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November 15, 2002</w:t>
      </w:r>
    </w:p>
    <w:p>
      <w:pPr>
        <w:spacing w:after="0" w:line="200" w:lineRule="exact"/>
        <w:rPr>
          <w:sz w:val="24"/>
          <w:szCs w:val="24"/>
          <w:color w:val="auto"/>
        </w:rPr>
      </w:pPr>
    </w:p>
    <w:p>
      <w:pPr>
        <w:spacing w:after="0" w:line="31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450 Fifth Street, N.W.,</w:t>
      </w:r>
    </w:p>
    <w:p>
      <w:pPr>
        <w:spacing w:after="0" w:line="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Washington, D.C.</w:t>
        <w:tab/>
        <w:t>20549</w:t>
      </w:r>
    </w:p>
    <w:p>
      <w:pPr>
        <w:spacing w:after="0" w:line="171"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Credicorp Ltd. - Report on Form 6-K</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4"/>
          <w:szCs w:val="24"/>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On behalf of Credicorp Ltd. (the "Company"), I hereby notify you of the following Material Events on the Company's Report on Form 6-K (the "Form 6-K"). The signed copy has been numbered sequentially from the first through the last page and the total number of pages contained in the Form 6-K has been set forth on the first page. The enclosed is being furnished but shall not be deemed filed for purposes of Section 18 of the Securities Exchange Act of 1934, as amended.</w:t>
      </w:r>
    </w:p>
    <w:p>
      <w:pPr>
        <w:spacing w:after="0" w:line="164" w:lineRule="exact"/>
        <w:rPr>
          <w:sz w:val="24"/>
          <w:szCs w:val="24"/>
          <w:color w:val="auto"/>
        </w:rPr>
      </w:pPr>
    </w:p>
    <w:p>
      <w:pPr>
        <w:ind w:right="3659"/>
        <w:spacing w:after="0" w:line="271" w:lineRule="auto"/>
        <w:rPr>
          <w:sz w:val="20"/>
          <w:szCs w:val="20"/>
          <w:color w:val="auto"/>
        </w:rPr>
      </w:pPr>
      <w:r>
        <w:rPr>
          <w:rFonts w:ascii="Courier New" w:cs="Courier New" w:eastAsia="Courier New" w:hAnsi="Courier New"/>
          <w:sz w:val="14"/>
          <w:szCs w:val="14"/>
          <w:color w:val="auto"/>
        </w:rPr>
        <w:t>Please direct any questions or comments you may have regarding this filing to the undersigned at 156 Calle Centenario, La Molina, Lima - 12 Peru.</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Ray Campos</w:t>
      </w:r>
    </w:p>
    <w:p>
      <w:pPr>
        <w:spacing w:after="0" w:line="342"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SECURITIES AND EXCHAGE COMMISSION</w:t>
      </w:r>
    </w:p>
    <w:p>
      <w:pPr>
        <w:spacing w:after="0" w:line="1"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Washington, DC 20549</w:t>
      </w:r>
    </w:p>
    <w:p>
      <w:pPr>
        <w:spacing w:after="0" w:line="342"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________</w:t>
      </w:r>
    </w:p>
    <w:p>
      <w:pPr>
        <w:spacing w:after="0" w:line="342"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FORM 6-K</w:t>
      </w:r>
    </w:p>
    <w:p>
      <w:pPr>
        <w:spacing w:after="0" w:line="342"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Pursuant to Rule 13a-16 or 15d-16</w:t>
      </w:r>
    </w:p>
    <w:p>
      <w:pPr>
        <w:spacing w:after="0" w:line="1"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7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For the November 14, 2002</w:t>
      </w:r>
    </w:p>
    <w:p>
      <w:pPr>
        <w:spacing w:after="0" w:line="342"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Credicorp Ltd.</w:t>
      </w:r>
    </w:p>
    <w:p>
      <w:pPr>
        <w:spacing w:after="0" w:line="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Clarendon House</w:t>
      </w:r>
    </w:p>
    <w:p>
      <w:pPr>
        <w:spacing w:after="0" w:line="1"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Church Street</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Hamilton HM 11 Bermuda</w:t>
      </w:r>
    </w:p>
    <w:p>
      <w:pPr>
        <w:spacing w:after="0" w:line="174" w:lineRule="exact"/>
        <w:rPr>
          <w:sz w:val="24"/>
          <w:szCs w:val="24"/>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2" w:lineRule="exact"/>
        <w:rPr>
          <w:sz w:val="24"/>
          <w:szCs w:val="24"/>
          <w:color w:val="auto"/>
        </w:rPr>
      </w:pPr>
    </w:p>
    <w:p>
      <w:pPr>
        <w:ind w:left="1860"/>
        <w:spacing w:after="0"/>
        <w:tabs>
          <w:tab w:leader="none" w:pos="4500" w:val="left"/>
        </w:tabs>
        <w:rPr>
          <w:sz w:val="20"/>
          <w:szCs w:val="20"/>
          <w:color w:val="auto"/>
        </w:rPr>
      </w:pPr>
      <w:r>
        <w:rPr>
          <w:rFonts w:ascii="Courier New" w:cs="Courier New" w:eastAsia="Courier New" w:hAnsi="Courier New"/>
          <w:sz w:val="15"/>
          <w:szCs w:val="15"/>
          <w:color w:val="auto"/>
        </w:rPr>
        <w:t>Form 20-F___x_</w:t>
      </w:r>
      <w:r>
        <w:rPr>
          <w:sz w:val="20"/>
          <w:szCs w:val="20"/>
          <w:color w:val="auto"/>
        </w:rPr>
        <w:tab/>
      </w:r>
      <w:r>
        <w:rPr>
          <w:rFonts w:ascii="Courier New" w:cs="Courier New" w:eastAsia="Courier New" w:hAnsi="Courier New"/>
          <w:sz w:val="14"/>
          <w:szCs w:val="14"/>
          <w:color w:val="auto"/>
        </w:rPr>
        <w:t>Form 40-F________</w:t>
      </w:r>
    </w:p>
    <w:p>
      <w:pPr>
        <w:spacing w:after="0" w:line="345" w:lineRule="exact"/>
        <w:rPr>
          <w:sz w:val="24"/>
          <w:szCs w:val="24"/>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1940"/>
        <w:spacing w:after="0"/>
        <w:tabs>
          <w:tab w:leader="none" w:pos="4580" w:val="left"/>
        </w:tabs>
        <w:rPr>
          <w:sz w:val="20"/>
          <w:szCs w:val="20"/>
          <w:color w:val="auto"/>
        </w:rPr>
      </w:pPr>
      <w:r>
        <w:rPr>
          <w:rFonts w:ascii="Courier New" w:cs="Courier New" w:eastAsia="Courier New" w:hAnsi="Courier New"/>
          <w:sz w:val="15"/>
          <w:szCs w:val="15"/>
          <w:color w:val="auto"/>
        </w:rPr>
        <w:t>Yes________</w:t>
      </w:r>
      <w:r>
        <w:rPr>
          <w:sz w:val="20"/>
          <w:szCs w:val="20"/>
          <w:color w:val="auto"/>
        </w:rPr>
        <w:tab/>
      </w:r>
      <w:r>
        <w:rPr>
          <w:rFonts w:ascii="Courier New" w:cs="Courier New" w:eastAsia="Courier New" w:hAnsi="Courier New"/>
          <w:sz w:val="14"/>
          <w:szCs w:val="14"/>
          <w:color w:val="auto"/>
        </w:rPr>
        <w:t>No_____x______</w:t>
      </w:r>
    </w:p>
    <w:p>
      <w:pPr>
        <w:spacing w:after="0" w:line="174" w:lineRule="exact"/>
        <w:rPr>
          <w:sz w:val="24"/>
          <w:szCs w:val="24"/>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w:t>
      </w:r>
    </w:p>
    <w:p>
      <w:pPr>
        <w:sectPr>
          <w:pgSz w:w="11900" w:h="16838" w:orient="portrait"/>
          <w:cols w:equalWidth="0" w:num="1">
            <w:col w:w="10219"/>
          </w:cols>
          <w:pgMar w:left="240" w:top="230" w:right="1440" w:bottom="1440" w:gutter="0" w:footer="0" w:header="0"/>
        </w:sectPr>
      </w:pPr>
    </w:p>
    <w:p>
      <w:pPr>
        <w:spacing w:after="0" w:line="346" w:lineRule="exact"/>
        <w:rPr>
          <w:sz w:val="24"/>
          <w:szCs w:val="24"/>
          <w:color w:val="auto"/>
        </w:rPr>
      </w:pPr>
    </w:p>
    <w:p>
      <w:pPr>
        <w:ind w:left="346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30" w:right="1440" w:bottom="1440" w:gutter="0" w:footer="0" w:header="0"/>
          <w:type w:val="continuous"/>
        </w:sectPr>
      </w:pPr>
    </w:p>
    <w:bookmarkStart w:id="1" w:name="page2"/>
    <w:bookmarkEnd w:id="1"/>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attached Material Events (Hechos de Importancia) are being furnished to the Securities and Exchange Commission pursuant to Rule 13a-16 and Form 6-K under the Securities Exchange Act of 1934, as amended.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This Report contains a copy of the following:</w:t>
      </w:r>
    </w:p>
    <w:p>
      <w:pPr>
        <w:spacing w:after="0" w:line="174" w:lineRule="exact"/>
        <w:rPr>
          <w:sz w:val="20"/>
          <w:szCs w:val="20"/>
          <w:color w:val="auto"/>
        </w:rPr>
      </w:pPr>
    </w:p>
    <w:p>
      <w:pPr>
        <w:ind w:left="449" w:right="3219" w:hanging="449"/>
        <w:spacing w:after="0" w:line="238" w:lineRule="auto"/>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Material Event, submitted to CONASEV and the Bolsa de Valores de Lima on November 4, 2002.</w:t>
      </w:r>
    </w:p>
    <w:p>
      <w:pPr>
        <w:spacing w:after="0" w:line="174"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Material Event, submitted to CONASEV and the Bolsa de Valores de Lima on November 14, 2002.</w:t>
      </w:r>
    </w:p>
    <w:p>
      <w:pPr>
        <w:spacing w:after="0" w:line="174"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Material Event, submitted to CONASEV and the Bolsa de Valores de Lima on November 14, 2002.</w:t>
      </w:r>
    </w:p>
    <w:p>
      <w:pPr>
        <w:spacing w:after="0" w:line="174"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Credicorp Ltd. and Subsidiaries, Consolidated Balance Sheet, as of September 30, 2002 and Consolidated Statement of Income for the Nine months ended September 30, 2002.</w:t>
      </w:r>
    </w:p>
    <w:p>
      <w:pPr>
        <w:spacing w:after="0" w:line="175" w:lineRule="exact"/>
        <w:rPr>
          <w:rFonts w:ascii="Courier New" w:cs="Courier New" w:eastAsia="Courier New" w:hAnsi="Courier New"/>
          <w:sz w:val="15"/>
          <w:szCs w:val="15"/>
          <w:color w:val="auto"/>
        </w:rPr>
      </w:pPr>
    </w:p>
    <w:p>
      <w:pPr>
        <w:jc w:val="both"/>
        <w:ind w:left="449" w:right="3479" w:hanging="449"/>
        <w:spacing w:after="0" w:line="239" w:lineRule="auto"/>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Credicorp Ltd. Press Release reporting financial results for the period ended September 2002, submitted to CONASEV, and the Bolsa de Valores de Lima on November 14, 2002.</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80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(1) Notice of Material Event regarding Credicorp Ltd., dated November 4, 2002</w:t>
      </w:r>
    </w:p>
    <w:p>
      <w:pPr>
        <w:sectPr>
          <w:pgSz w:w="11900" w:h="16838" w:orient="portrait"/>
          <w:cols w:equalWidth="0" w:num="1">
            <w:col w:w="10219"/>
          </w:cols>
          <w:pgMar w:left="240" w:top="801" w:right="1440" w:bottom="1440" w:gutter="0" w:footer="0" w:header="0"/>
        </w:sectPr>
      </w:pPr>
    </w:p>
    <w:p>
      <w:pPr>
        <w:spacing w:after="0" w:line="35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801"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La Molina, November 4, 2002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Company, Credicorp Ltd., in accordance with article 28 of Decree Law</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861, Capital Markets Law and the CONASEV resolution N o 307-95-EF/94.10, hereby notify you of the following Material Event "Hecho de Importancia".</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Mr. Jose Antonio Onrubia Romero has presented his resignation to the Board of our institution.</w:t>
      </w:r>
    </w:p>
    <w:p>
      <w:pPr>
        <w:spacing w:after="0" w:line="17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The President presented the text of Mr. Onrubia's letter of resignation to the Board in the session of Thursday, October 31, 2002. The board members expressed their sorrow for this decision and recognized the valuable services and contribution that Mr. Onrubia has given to the Board and this prestigious institution since its creation.</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Likewise we inform that in the same session Mr. Luis Enrique Yarur Rey was designated as the new Director of Credicorp, to cover the vacancy created by the resignation of Mr. Onrubia.</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As soon as the Act of the session in which Mr. Yarur is designated to the Board is approved and signed, a copy we shall forward due notification of such act.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Benedicto Ciguenas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Credicorp Ltd.</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(2) Notice of Material Event regarding Credicorp Ltd. dated November 14, 2002</w:t>
      </w:r>
    </w:p>
    <w:p>
      <w:pPr>
        <w:sectPr>
          <w:pgSz w:w="11900" w:h="16838" w:orient="portrait"/>
          <w:cols w:equalWidth="0" w:num="1">
            <w:col w:w="10219"/>
          </w:cols>
          <w:pgMar w:left="240" w:top="801" w:right="1440" w:bottom="1440" w:gutter="0" w:footer="0" w:header="0"/>
        </w:sectPr>
      </w:pP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801"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Lima - Peru</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14, 2002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Credicorp Ltd.'s main operating subsidiary, Banco de Credito del Peru in accordance with Peruvian Capital Markets Law, hereby notifies you of the following material event. Our board of Directors has announced that it has reached an agreement to purchase 99.94% of the equity shares of Banco Santander Central Hispano, Peru, a subsidiary of Banco Santander Central Hispano of Spain. This transaction includes 100% of the common voting shares of the mutual fund entity, Sociedad de Fondos Mutuos Santander Central Hispano S.A: (Peru). Both of these entities will be absorbed by merger into Banco de Credito del Peru's operations.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transaction will be carried out in accordance with the Peruvian Capital Markets Law via a Public Tender Offer whereby Banco de Credito del Peru will seek to acquire at least 99.9% of the outstanding shares of Santander Central Hispano, Peru, on the Lima stock exchange.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Credicorp Ltd.</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(3) Notice of Material Event regarding Credicorp Ltd., dated November 14, 2002</w:t>
      </w:r>
    </w:p>
    <w:p>
      <w:pPr>
        <w:sectPr>
          <w:pgSz w:w="11900" w:h="16838" w:orient="portrait"/>
          <w:cols w:equalWidth="0" w:num="1">
            <w:col w:w="10219"/>
          </w:cols>
          <w:pgMar w:left="240" w:top="801" w:right="1440" w:bottom="1440" w:gutter="0" w:footer="0" w:header="0"/>
        </w:sectPr>
      </w:pPr>
    </w:p>
    <w:p>
      <w:pPr>
        <w:spacing w:after="0" w:line="35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801"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November 14, 2002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Comision Nacional Supervisora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 Empresas y Valores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 "Material Event"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conformity with the articles10 and 28 of Capital Market Law and CONASEV Resolution No. 307-95-EF/94.10, we hereby notify you of the following Material Event, "Hecho de Importancia".</w:t>
      </w:r>
    </w:p>
    <w:p>
      <w:pPr>
        <w:spacing w:after="0" w:line="175"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Today, the Central Management of our company approved the consolidated financial statements for Credicorp and Subsidiaries as of September 30, 2002.</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Benedicto Ciguenas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Credicorp Ltd.</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9" w:right="1440" w:bottom="1440" w:gutter="0" w:footer="0" w:header="0"/>
        </w:sectPr>
      </w:pPr>
    </w:p>
    <w:bookmarkStart w:id="8" w:name="page9"/>
    <w:bookmarkEnd w:id="8"/>
    <w:p>
      <w:pPr>
        <w:ind w:left="9"/>
        <w:spacing w:after="0"/>
        <w:rPr>
          <w:sz w:val="20"/>
          <w:szCs w:val="20"/>
          <w:color w:val="auto"/>
        </w:rPr>
      </w:pPr>
      <w:r>
        <w:rPr>
          <w:rFonts w:ascii="Courier New" w:cs="Courier New" w:eastAsia="Courier New" w:hAnsi="Courier New"/>
          <w:sz w:val="15"/>
          <w:szCs w:val="15"/>
          <w:color w:val="auto"/>
        </w:rPr>
        <w:t>(4)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CONSOLIDATED BALANCE SHEET</w:t>
      </w:r>
    </w:p>
    <w:p>
      <w:pPr>
        <w:spacing w:after="0" w:line="1" w:lineRule="exact"/>
        <w:rPr>
          <w:sz w:val="20"/>
          <w:szCs w:val="20"/>
          <w:color w:val="auto"/>
        </w:rPr>
      </w:pPr>
    </w:p>
    <w:p>
      <w:pPr>
        <w:jc w:val="center"/>
        <w:ind w:right="6911"/>
        <w:spacing w:after="0"/>
        <w:rPr>
          <w:sz w:val="20"/>
          <w:szCs w:val="20"/>
          <w:color w:val="auto"/>
        </w:rPr>
      </w:pPr>
      <w:r>
        <w:rPr>
          <w:rFonts w:ascii="Courier New" w:cs="Courier New" w:eastAsia="Courier New" w:hAnsi="Courier New"/>
          <w:sz w:val="15"/>
          <w:szCs w:val="15"/>
          <w:color w:val="auto"/>
        </w:rPr>
        <w:t>AS OF SEPTEMBER 30, 2002 AND DECEMBER 31, 2001</w:t>
      </w:r>
    </w:p>
    <w:p>
      <w:pPr>
        <w:spacing w:after="0" w:line="1" w:lineRule="exact"/>
        <w:rPr>
          <w:sz w:val="20"/>
          <w:szCs w:val="20"/>
          <w:color w:val="auto"/>
        </w:rPr>
      </w:pPr>
    </w:p>
    <w:p>
      <w:pPr>
        <w:jc w:val="center"/>
        <w:ind w:right="6911"/>
        <w:spacing w:after="0"/>
        <w:rPr>
          <w:sz w:val="20"/>
          <w:szCs w:val="20"/>
          <w:color w:val="auto"/>
        </w:rPr>
      </w:pPr>
      <w:r>
        <w:rPr>
          <w:rFonts w:ascii="Courier New" w:cs="Courier New" w:eastAsia="Courier New" w:hAnsi="Courier New"/>
          <w:sz w:val="15"/>
          <w:szCs w:val="15"/>
          <w:color w:val="auto"/>
        </w:rPr>
        <w:t>(Amounts expressed in thousands of U.S. Dollars)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4089"/>
        <w:spacing w:after="0"/>
        <w:tabs>
          <w:tab w:leader="none" w:pos="5029" w:val="left"/>
          <w:tab w:leader="none" w:pos="9749" w:val="left"/>
          <w:tab w:leader="none" w:pos="10889"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5749"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LIABILITIES AND SHAREHOLDERS' EQUITY</w:t>
      </w:r>
    </w:p>
    <w:p>
      <w:pPr>
        <w:spacing w:after="0" w:line="3" w:lineRule="exact"/>
        <w:rPr>
          <w:sz w:val="20"/>
          <w:szCs w:val="20"/>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57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9"/>
        <w:spacing w:after="0"/>
        <w:tabs>
          <w:tab w:leader="none" w:pos="5749" w:val="left"/>
        </w:tabs>
        <w:rPr>
          <w:sz w:val="20"/>
          <w:szCs w:val="20"/>
          <w:color w:val="auto"/>
        </w:rPr>
      </w:pPr>
      <w:r>
        <w:rPr>
          <w:rFonts w:ascii="Courier New" w:cs="Courier New" w:eastAsia="Courier New" w:hAnsi="Courier New"/>
          <w:sz w:val="15"/>
          <w:szCs w:val="15"/>
          <w:color w:val="auto"/>
        </w:rPr>
        <w:t>CURRENT ASSETS</w:t>
      </w:r>
      <w:r>
        <w:rPr>
          <w:sz w:val="20"/>
          <w:szCs w:val="20"/>
          <w:color w:val="auto"/>
        </w:rPr>
        <w:tab/>
      </w:r>
      <w:r>
        <w:rPr>
          <w:rFonts w:ascii="Courier New" w:cs="Courier New" w:eastAsia="Courier New" w:hAnsi="Courier New"/>
          <w:sz w:val="14"/>
          <w:szCs w:val="14"/>
          <w:color w:val="auto"/>
        </w:rPr>
        <w:t>CURRENT LIABILITIES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89"/>
        <w:spacing w:after="0"/>
        <w:tabs>
          <w:tab w:leader="none" w:pos="3609" w:val="left"/>
          <w:tab w:leader="none" w:pos="4589" w:val="left"/>
          <w:tab w:leader="none" w:pos="5749" w:val="left"/>
          <w:tab w:leader="none" w:pos="9289" w:val="left"/>
          <w:tab w:leader="none" w:pos="10449" w:val="left"/>
        </w:tabs>
        <w:rPr>
          <w:sz w:val="20"/>
          <w:szCs w:val="20"/>
          <w:color w:val="auto"/>
        </w:rPr>
      </w:pPr>
      <w:r>
        <w:rPr>
          <w:rFonts w:ascii="Courier New" w:cs="Courier New" w:eastAsia="Courier New" w:hAnsi="Courier New"/>
          <w:sz w:val="15"/>
          <w:szCs w:val="15"/>
          <w:color w:val="auto"/>
        </w:rPr>
        <w:t>Cash and due from banks</w:t>
      </w:r>
      <w:r>
        <w:rPr>
          <w:sz w:val="20"/>
          <w:szCs w:val="20"/>
          <w:color w:val="auto"/>
        </w:rPr>
        <w:tab/>
      </w:r>
      <w:r>
        <w:rPr>
          <w:rFonts w:ascii="Courier New" w:cs="Courier New" w:eastAsia="Courier New" w:hAnsi="Courier New"/>
          <w:sz w:val="15"/>
          <w:szCs w:val="15"/>
          <w:color w:val="auto"/>
        </w:rPr>
        <w:t>2,003,455</w:t>
        <w:tab/>
        <w:t>1,847,266</w:t>
      </w:r>
      <w:r>
        <w:rPr>
          <w:sz w:val="20"/>
          <w:szCs w:val="20"/>
          <w:color w:val="auto"/>
        </w:rPr>
        <w:tab/>
      </w:r>
      <w:r>
        <w:rPr>
          <w:rFonts w:ascii="Courier New" w:cs="Courier New" w:eastAsia="Courier New" w:hAnsi="Courier New"/>
          <w:sz w:val="15"/>
          <w:szCs w:val="15"/>
          <w:color w:val="auto"/>
        </w:rPr>
        <w:t>Deposits and obligations</w:t>
      </w:r>
      <w:r>
        <w:rPr>
          <w:sz w:val="20"/>
          <w:szCs w:val="20"/>
          <w:color w:val="auto"/>
        </w:rPr>
        <w:tab/>
      </w:r>
      <w:r>
        <w:rPr>
          <w:rFonts w:ascii="Courier New" w:cs="Courier New" w:eastAsia="Courier New" w:hAnsi="Courier New"/>
          <w:sz w:val="15"/>
          <w:szCs w:val="15"/>
          <w:color w:val="auto"/>
        </w:rPr>
        <w:t>5,427,203</w:t>
      </w:r>
      <w:r>
        <w:rPr>
          <w:sz w:val="20"/>
          <w:szCs w:val="20"/>
          <w:color w:val="auto"/>
        </w:rPr>
        <w:tab/>
      </w:r>
      <w:r>
        <w:rPr>
          <w:rFonts w:ascii="Courier New" w:cs="Courier New" w:eastAsia="Courier New" w:hAnsi="Courier New"/>
          <w:sz w:val="14"/>
          <w:szCs w:val="14"/>
          <w:color w:val="auto"/>
        </w:rPr>
        <w:t>5,433,328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3889" w:val="left"/>
          <w:tab w:leader="none" w:pos="4869" w:val="left"/>
          <w:tab w:leader="none" w:pos="5749" w:val="left"/>
          <w:tab w:leader="none" w:pos="9569" w:val="left"/>
          <w:tab w:leader="none" w:pos="10709" w:val="left"/>
        </w:tabs>
        <w:rPr>
          <w:sz w:val="20"/>
          <w:szCs w:val="20"/>
          <w:color w:val="auto"/>
        </w:rPr>
      </w:pPr>
      <w:r>
        <w:rPr>
          <w:rFonts w:ascii="Courier New" w:cs="Courier New" w:eastAsia="Courier New" w:hAnsi="Courier New"/>
          <w:sz w:val="15"/>
          <w:szCs w:val="15"/>
          <w:color w:val="auto"/>
        </w:rPr>
        <w:t>Interbank Funds</w:t>
      </w:r>
      <w:r>
        <w:rPr>
          <w:sz w:val="20"/>
          <w:szCs w:val="20"/>
          <w:color w:val="auto"/>
        </w:rPr>
        <w:tab/>
      </w:r>
      <w:r>
        <w:rPr>
          <w:rFonts w:ascii="Courier New" w:cs="Courier New" w:eastAsia="Courier New" w:hAnsi="Courier New"/>
          <w:sz w:val="15"/>
          <w:szCs w:val="15"/>
          <w:color w:val="auto"/>
        </w:rPr>
        <w:t>17,069</w:t>
      </w:r>
      <w:r>
        <w:rPr>
          <w:sz w:val="20"/>
          <w:szCs w:val="20"/>
          <w:color w:val="auto"/>
        </w:rPr>
        <w:tab/>
      </w:r>
      <w:r>
        <w:rPr>
          <w:rFonts w:ascii="Courier New" w:cs="Courier New" w:eastAsia="Courier New" w:hAnsi="Courier New"/>
          <w:sz w:val="15"/>
          <w:szCs w:val="15"/>
          <w:color w:val="auto"/>
        </w:rPr>
        <w:t>50,186</w:t>
      </w:r>
      <w:r>
        <w:rPr>
          <w:sz w:val="20"/>
          <w:szCs w:val="20"/>
          <w:color w:val="auto"/>
        </w:rPr>
        <w:tab/>
      </w:r>
      <w:r>
        <w:rPr>
          <w:rFonts w:ascii="Courier New" w:cs="Courier New" w:eastAsia="Courier New" w:hAnsi="Courier New"/>
          <w:sz w:val="15"/>
          <w:szCs w:val="15"/>
          <w:color w:val="auto"/>
        </w:rPr>
        <w:t>Interbank Funds</w:t>
      </w:r>
      <w:r>
        <w:rPr>
          <w:sz w:val="20"/>
          <w:szCs w:val="20"/>
          <w:color w:val="auto"/>
        </w:rPr>
        <w:tab/>
      </w:r>
      <w:r>
        <w:rPr>
          <w:rFonts w:ascii="Courier New" w:cs="Courier New" w:eastAsia="Courier New" w:hAnsi="Courier New"/>
          <w:sz w:val="15"/>
          <w:szCs w:val="15"/>
          <w:color w:val="auto"/>
        </w:rPr>
        <w:t>12,806</w:t>
      </w:r>
      <w:r>
        <w:rPr>
          <w:sz w:val="20"/>
          <w:szCs w:val="20"/>
          <w:color w:val="auto"/>
        </w:rPr>
        <w:tab/>
      </w:r>
      <w:r>
        <w:rPr>
          <w:rFonts w:ascii="Courier New" w:cs="Courier New" w:eastAsia="Courier New" w:hAnsi="Courier New"/>
          <w:sz w:val="15"/>
          <w:szCs w:val="15"/>
          <w:color w:val="auto"/>
        </w:rPr>
        <w:t>25,202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520" w:type="dxa"/>
            <w:vAlign w:val="bottom"/>
          </w:tcPr>
          <w:p>
            <w:pPr>
              <w:jc w:val="right"/>
              <w:ind w:right="2146"/>
              <w:spacing w:after="0"/>
              <w:rPr>
                <w:sz w:val="20"/>
                <w:szCs w:val="20"/>
                <w:color w:val="auto"/>
              </w:rPr>
            </w:pPr>
            <w:r>
              <w:rPr>
                <w:rFonts w:ascii="Courier New" w:cs="Courier New" w:eastAsia="Courier New" w:hAnsi="Courier New"/>
                <w:sz w:val="15"/>
                <w:szCs w:val="15"/>
                <w:color w:val="auto"/>
                <w:w w:val="97"/>
              </w:rPr>
              <w:t>Marketable securities, net</w:t>
            </w:r>
          </w:p>
        </w:tc>
        <w:tc>
          <w:tcPr>
            <w:tcW w:w="980" w:type="dxa"/>
            <w:vAlign w:val="bottom"/>
          </w:tcPr>
          <w:p>
            <w:pPr>
              <w:spacing w:after="0"/>
              <w:rPr>
                <w:sz w:val="14"/>
                <w:szCs w:val="1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Deposits from other financial and</w:t>
            </w: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518,108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548,138</w:t>
            </w:r>
          </w:p>
        </w:tc>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international institutions</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207,096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319,163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3609" w:val="left"/>
          <w:tab w:leader="none" w:pos="4589" w:val="left"/>
          <w:tab w:leader="none" w:pos="5749" w:val="left"/>
          <w:tab w:leader="none" w:pos="9469" w:val="left"/>
          <w:tab w:leader="none" w:pos="10629" w:val="left"/>
        </w:tabs>
        <w:rPr>
          <w:sz w:val="20"/>
          <w:szCs w:val="20"/>
          <w:color w:val="auto"/>
        </w:rPr>
      </w:pPr>
      <w:r>
        <w:rPr>
          <w:rFonts w:ascii="Courier New" w:cs="Courier New" w:eastAsia="Courier New" w:hAnsi="Courier New"/>
          <w:sz w:val="15"/>
          <w:szCs w:val="15"/>
          <w:color w:val="auto"/>
        </w:rPr>
        <w:t>Loans net</w:t>
      </w:r>
      <w:r>
        <w:rPr>
          <w:sz w:val="20"/>
          <w:szCs w:val="20"/>
          <w:color w:val="auto"/>
        </w:rPr>
        <w:tab/>
      </w:r>
      <w:r>
        <w:rPr>
          <w:rFonts w:ascii="Courier New" w:cs="Courier New" w:eastAsia="Courier New" w:hAnsi="Courier New"/>
          <w:sz w:val="15"/>
          <w:szCs w:val="15"/>
          <w:color w:val="auto"/>
        </w:rPr>
        <w:t>3,558,785</w:t>
        <w:tab/>
        <w:t>3,720,046</w:t>
      </w:r>
      <w:r>
        <w:rPr>
          <w:sz w:val="20"/>
          <w:szCs w:val="20"/>
          <w:color w:val="auto"/>
        </w:rPr>
        <w:tab/>
      </w:r>
      <w:r>
        <w:rPr>
          <w:rFonts w:ascii="Courier New" w:cs="Courier New" w:eastAsia="Courier New" w:hAnsi="Courier New"/>
          <w:sz w:val="15"/>
          <w:szCs w:val="15"/>
          <w:color w:val="auto"/>
        </w:rPr>
        <w:t>Due to banks and correspondents</w:t>
      </w:r>
      <w:r>
        <w:rPr>
          <w:sz w:val="20"/>
          <w:szCs w:val="20"/>
          <w:color w:val="auto"/>
        </w:rPr>
        <w:tab/>
      </w:r>
      <w:r>
        <w:rPr>
          <w:rFonts w:ascii="Courier New" w:cs="Courier New" w:eastAsia="Courier New" w:hAnsi="Courier New"/>
          <w:sz w:val="15"/>
          <w:szCs w:val="15"/>
          <w:color w:val="auto"/>
        </w:rPr>
        <w:t>161,022</w:t>
      </w:r>
      <w:r>
        <w:rPr>
          <w:sz w:val="20"/>
          <w:szCs w:val="20"/>
          <w:color w:val="auto"/>
        </w:rPr>
        <w:tab/>
      </w:r>
      <w:r>
        <w:rPr>
          <w:rFonts w:ascii="Courier New" w:cs="Courier New" w:eastAsia="Courier New" w:hAnsi="Courier New"/>
          <w:sz w:val="14"/>
          <w:szCs w:val="14"/>
          <w:color w:val="auto"/>
        </w:rPr>
        <w:t>103,169</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800" w:type="dxa"/>
            <w:vAlign w:val="bottom"/>
          </w:tcPr>
          <w:p>
            <w:pPr>
              <w:jc w:val="right"/>
              <w:ind w:right="2426"/>
              <w:spacing w:after="0"/>
              <w:rPr>
                <w:sz w:val="20"/>
                <w:szCs w:val="20"/>
                <w:color w:val="auto"/>
              </w:rPr>
            </w:pPr>
            <w:r>
              <w:rPr>
                <w:rFonts w:ascii="Courier New" w:cs="Courier New" w:eastAsia="Courier New" w:hAnsi="Courier New"/>
                <w:sz w:val="15"/>
                <w:szCs w:val="15"/>
                <w:color w:val="auto"/>
                <w:w w:val="97"/>
              </w:rPr>
              <w:t>Accounts receivables (net)</w:t>
            </w:r>
          </w:p>
        </w:tc>
        <w:tc>
          <w:tcPr>
            <w:tcW w:w="70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Securities, notes and obligations</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4329" w:val="left"/>
          <w:tab w:leader="none" w:pos="5309" w:val="left"/>
          <w:tab w:leader="none" w:pos="5749" w:val="left"/>
          <w:tab w:leader="none" w:pos="10009" w:val="left"/>
          <w:tab w:leader="none" w:pos="11169" w:val="left"/>
        </w:tabs>
        <w:rPr>
          <w:sz w:val="20"/>
          <w:szCs w:val="20"/>
          <w:color w:val="auto"/>
        </w:rPr>
      </w:pPr>
      <w:r>
        <w:rPr>
          <w:rFonts w:ascii="Courier New" w:cs="Courier New" w:eastAsia="Courier New" w:hAnsi="Courier New"/>
          <w:sz w:val="15"/>
          <w:szCs w:val="15"/>
          <w:color w:val="auto"/>
        </w:rPr>
        <w:t>Other accounts receivables (net)</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Accounts payables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3"/>
          <w:szCs w:val="13"/>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4329" w:val="left"/>
          <w:tab w:leader="none" w:pos="5309" w:val="left"/>
          <w:tab w:leader="none" w:pos="5749" w:val="left"/>
          <w:tab w:leader="none" w:pos="10009" w:val="left"/>
          <w:tab w:leader="none" w:pos="11169" w:val="left"/>
        </w:tabs>
        <w:rPr>
          <w:sz w:val="20"/>
          <w:szCs w:val="20"/>
          <w:color w:val="auto"/>
        </w:rPr>
      </w:pPr>
      <w:r>
        <w:rPr>
          <w:rFonts w:ascii="Courier New" w:cs="Courier New" w:eastAsia="Courier New" w:hAnsi="Courier New"/>
          <w:sz w:val="15"/>
          <w:szCs w:val="15"/>
          <w:color w:val="auto"/>
        </w:rPr>
        <w:t>Other Assets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Other accounts payables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3"/>
          <w:szCs w:val="13"/>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3609" w:val="left"/>
          <w:tab w:leader="none" w:pos="4589" w:val="left"/>
          <w:tab w:leader="none" w:pos="5749" w:val="left"/>
          <w:tab w:leader="none" w:pos="10009" w:val="left"/>
          <w:tab w:leader="none" w:pos="11169" w:val="left"/>
        </w:tabs>
        <w:rPr>
          <w:sz w:val="20"/>
          <w:szCs w:val="20"/>
          <w:color w:val="auto"/>
        </w:rPr>
      </w:pPr>
      <w:r>
        <w:rPr>
          <w:rFonts w:ascii="Courier New" w:cs="Courier New" w:eastAsia="Courier New" w:hAnsi="Courier New"/>
          <w:sz w:val="15"/>
          <w:szCs w:val="15"/>
          <w:color w:val="auto"/>
        </w:rPr>
        <w:t>TOTAL CURRENT ASSETS</w:t>
      </w:r>
      <w:r>
        <w:rPr>
          <w:sz w:val="20"/>
          <w:szCs w:val="20"/>
          <w:color w:val="auto"/>
        </w:rPr>
        <w:tab/>
      </w:r>
      <w:r>
        <w:rPr>
          <w:rFonts w:ascii="Courier New" w:cs="Courier New" w:eastAsia="Courier New" w:hAnsi="Courier New"/>
          <w:sz w:val="15"/>
          <w:szCs w:val="15"/>
          <w:color w:val="auto"/>
        </w:rPr>
        <w:t>6,097,417</w:t>
        <w:tab/>
        <w:t>6,165,636</w:t>
      </w:r>
      <w:r>
        <w:rPr>
          <w:sz w:val="20"/>
          <w:szCs w:val="20"/>
          <w:color w:val="auto"/>
        </w:rPr>
        <w:tab/>
      </w:r>
      <w:r>
        <w:rPr>
          <w:rFonts w:ascii="Courier New" w:cs="Courier New" w:eastAsia="Courier New" w:hAnsi="Courier New"/>
          <w:sz w:val="15"/>
          <w:szCs w:val="15"/>
          <w:color w:val="auto"/>
        </w:rPr>
        <w:t>Provisions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3"/>
          <w:szCs w:val="13"/>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5769"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301,765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316,910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4329" w:val="left"/>
          <w:tab w:leader="none" w:pos="5309" w:val="left"/>
          <w:tab w:leader="none" w:pos="5749" w:val="left"/>
          <w:tab w:leader="none" w:pos="9289" w:val="left"/>
          <w:tab w:leader="none" w:pos="10449" w:val="left"/>
        </w:tabs>
        <w:rPr>
          <w:sz w:val="20"/>
          <w:szCs w:val="20"/>
          <w:color w:val="auto"/>
        </w:rPr>
      </w:pPr>
      <w:r>
        <w:rPr>
          <w:rFonts w:ascii="Courier New" w:cs="Courier New" w:eastAsia="Courier New" w:hAnsi="Courier New"/>
          <w:sz w:val="15"/>
          <w:szCs w:val="15"/>
          <w:color w:val="auto"/>
        </w:rPr>
        <w:t>Loan portfolio (net)</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TOTAL CURRENT LIABILITIES</w:t>
      </w:r>
      <w:r>
        <w:rPr>
          <w:sz w:val="20"/>
          <w:szCs w:val="20"/>
          <w:color w:val="auto"/>
        </w:rPr>
        <w:tab/>
      </w:r>
      <w:r>
        <w:rPr>
          <w:rFonts w:ascii="Courier New" w:cs="Courier New" w:eastAsia="Courier New" w:hAnsi="Courier New"/>
          <w:sz w:val="15"/>
          <w:szCs w:val="15"/>
          <w:color w:val="auto"/>
        </w:rPr>
        <w:t>6,109,892</w:t>
      </w:r>
      <w:r>
        <w:rPr>
          <w:sz w:val="20"/>
          <w:szCs w:val="20"/>
          <w:color w:val="auto"/>
        </w:rPr>
        <w:tab/>
      </w:r>
      <w:r>
        <w:rPr>
          <w:rFonts w:ascii="Courier New" w:cs="Courier New" w:eastAsia="Courier New" w:hAnsi="Courier New"/>
          <w:sz w:val="14"/>
          <w:szCs w:val="14"/>
          <w:color w:val="auto"/>
        </w:rPr>
        <w:t>6,197,772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Accounts receivables (net)</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4329" w:val="left"/>
          <w:tab w:leader="none" w:pos="5309" w:val="left"/>
          <w:tab w:leader="none" w:pos="5749" w:val="left"/>
          <w:tab w:leader="none" w:pos="9469" w:val="left"/>
          <w:tab w:leader="none" w:pos="10629" w:val="left"/>
        </w:tabs>
        <w:rPr>
          <w:sz w:val="20"/>
          <w:szCs w:val="20"/>
          <w:color w:val="auto"/>
        </w:rPr>
      </w:pPr>
      <w:r>
        <w:rPr>
          <w:rFonts w:ascii="Courier New" w:cs="Courier New" w:eastAsia="Courier New" w:hAnsi="Courier New"/>
          <w:sz w:val="15"/>
          <w:szCs w:val="15"/>
          <w:color w:val="auto"/>
        </w:rPr>
        <w:t>Other accounts receivables (net)</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Debt and financial obligations</w:t>
      </w:r>
      <w:r>
        <w:rPr>
          <w:sz w:val="20"/>
          <w:szCs w:val="20"/>
          <w:color w:val="auto"/>
        </w:rPr>
        <w:tab/>
      </w:r>
      <w:r>
        <w:rPr>
          <w:rFonts w:ascii="Courier New" w:cs="Courier New" w:eastAsia="Courier New" w:hAnsi="Courier New"/>
          <w:sz w:val="15"/>
          <w:szCs w:val="15"/>
          <w:color w:val="auto"/>
        </w:rPr>
        <w:t>131,556</w:t>
      </w:r>
      <w:r>
        <w:rPr>
          <w:sz w:val="20"/>
          <w:szCs w:val="20"/>
          <w:color w:val="auto"/>
        </w:rPr>
        <w:tab/>
      </w:r>
      <w:r>
        <w:rPr>
          <w:rFonts w:ascii="Courier New" w:cs="Courier New" w:eastAsia="Courier New" w:hAnsi="Courier New"/>
          <w:sz w:val="14"/>
          <w:szCs w:val="14"/>
          <w:color w:val="auto"/>
        </w:rPr>
        <w:t>213,081</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7"/>
              </w:rPr>
              <w:t>Disposable assets,</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foreclosed assets and</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Securities, notes and obligations</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out of use assets</w:t>
            </w:r>
          </w:p>
        </w:tc>
        <w:tc>
          <w:tcPr>
            <w:tcW w:w="226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3789" w:val="left"/>
          <w:tab w:leader="none" w:pos="4769" w:val="left"/>
          <w:tab w:leader="none" w:pos="5749" w:val="left"/>
          <w:tab w:leader="none" w:pos="9569" w:val="left"/>
          <w:tab w:leader="none" w:pos="10709" w:val="left"/>
        </w:tabs>
        <w:rPr>
          <w:sz w:val="20"/>
          <w:szCs w:val="20"/>
          <w:color w:val="auto"/>
        </w:rPr>
      </w:pPr>
      <w:r>
        <w:rPr>
          <w:rFonts w:ascii="Courier New" w:cs="Courier New" w:eastAsia="Courier New" w:hAnsi="Courier New"/>
          <w:sz w:val="15"/>
          <w:szCs w:val="15"/>
          <w:color w:val="auto"/>
        </w:rPr>
        <w:t>Investment securities available for sale</w:t>
        <w:tab/>
        <w:t>618,286</w:t>
      </w:r>
      <w:r>
        <w:rPr>
          <w:sz w:val="20"/>
          <w:szCs w:val="20"/>
          <w:color w:val="auto"/>
        </w:rPr>
        <w:tab/>
      </w:r>
      <w:r>
        <w:rPr>
          <w:rFonts w:ascii="Courier New" w:cs="Courier New" w:eastAsia="Courier New" w:hAnsi="Courier New"/>
          <w:sz w:val="15"/>
          <w:szCs w:val="15"/>
          <w:color w:val="auto"/>
        </w:rPr>
        <w:t>587,349</w:t>
      </w:r>
      <w:r>
        <w:rPr>
          <w:sz w:val="20"/>
          <w:szCs w:val="20"/>
          <w:color w:val="auto"/>
        </w:rPr>
        <w:tab/>
      </w:r>
      <w:r>
        <w:rPr>
          <w:rFonts w:ascii="Courier New" w:cs="Courier New" w:eastAsia="Courier New" w:hAnsi="Courier New"/>
          <w:sz w:val="15"/>
          <w:szCs w:val="15"/>
          <w:color w:val="auto"/>
        </w:rPr>
        <w:t>Other accounts payables</w:t>
      </w:r>
      <w:r>
        <w:rPr>
          <w:sz w:val="20"/>
          <w:szCs w:val="20"/>
          <w:color w:val="auto"/>
        </w:rPr>
        <w:tab/>
      </w:r>
      <w:r>
        <w:rPr>
          <w:rFonts w:ascii="Courier New" w:cs="Courier New" w:eastAsia="Courier New" w:hAnsi="Courier New"/>
          <w:sz w:val="15"/>
          <w:szCs w:val="15"/>
          <w:color w:val="auto"/>
        </w:rPr>
        <w:t>30,564</w:t>
      </w:r>
      <w:r>
        <w:rPr>
          <w:sz w:val="20"/>
          <w:szCs w:val="20"/>
          <w:color w:val="auto"/>
        </w:rPr>
        <w:tab/>
      </w:r>
      <w:r>
        <w:rPr>
          <w:rFonts w:ascii="Courier New" w:cs="Courier New" w:eastAsia="Courier New" w:hAnsi="Courier New"/>
          <w:sz w:val="15"/>
          <w:szCs w:val="15"/>
          <w:color w:val="auto"/>
        </w:rPr>
        <w:t>23,801</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4329" w:val="left"/>
          <w:tab w:leader="none" w:pos="5309" w:val="left"/>
          <w:tab w:leader="none" w:pos="5749" w:val="left"/>
          <w:tab w:leader="none" w:pos="9469" w:val="left"/>
          <w:tab w:leader="none" w:pos="10629" w:val="left"/>
        </w:tabs>
        <w:rPr>
          <w:sz w:val="20"/>
          <w:szCs w:val="20"/>
          <w:color w:val="auto"/>
        </w:rPr>
      </w:pPr>
      <w:r>
        <w:rPr>
          <w:rFonts w:ascii="Courier New" w:cs="Courier New" w:eastAsia="Courier New" w:hAnsi="Courier New"/>
          <w:sz w:val="15"/>
          <w:szCs w:val="15"/>
          <w:color w:val="auto"/>
        </w:rPr>
        <w:t>Real state investments (net)</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Provisions</w:t>
      </w:r>
      <w:r>
        <w:rPr>
          <w:sz w:val="20"/>
          <w:szCs w:val="20"/>
          <w:color w:val="auto"/>
        </w:rPr>
        <w:tab/>
      </w:r>
      <w:r>
        <w:rPr>
          <w:rFonts w:ascii="Courier New" w:cs="Courier New" w:eastAsia="Courier New" w:hAnsi="Courier New"/>
          <w:sz w:val="15"/>
          <w:szCs w:val="15"/>
          <w:color w:val="auto"/>
        </w:rPr>
        <w:t>263,703</w:t>
      </w:r>
      <w:r>
        <w:rPr>
          <w:sz w:val="20"/>
          <w:szCs w:val="20"/>
          <w:color w:val="auto"/>
        </w:rPr>
        <w:tab/>
      </w:r>
      <w:r>
        <w:rPr>
          <w:rFonts w:ascii="Courier New" w:cs="Courier New" w:eastAsia="Courier New" w:hAnsi="Courier New"/>
          <w:sz w:val="14"/>
          <w:szCs w:val="14"/>
          <w:color w:val="auto"/>
        </w:rPr>
        <w:t>238,159</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3789" w:val="left"/>
          <w:tab w:leader="none" w:pos="4769" w:val="left"/>
          <w:tab w:leader="none" w:pos="5749" w:val="left"/>
          <w:tab w:leader="none" w:pos="10009" w:val="left"/>
          <w:tab w:leader="none" w:pos="11169" w:val="left"/>
        </w:tabs>
        <w:rPr>
          <w:sz w:val="20"/>
          <w:szCs w:val="20"/>
          <w:color w:val="auto"/>
        </w:rPr>
      </w:pPr>
      <w:r>
        <w:rPr>
          <w:rFonts w:ascii="Courier New" w:cs="Courier New" w:eastAsia="Courier New" w:hAnsi="Courier New"/>
          <w:sz w:val="15"/>
          <w:szCs w:val="15"/>
          <w:color w:val="auto"/>
        </w:rPr>
        <w:t>Property, plant and equipment, net</w:t>
      </w:r>
      <w:r>
        <w:rPr>
          <w:sz w:val="20"/>
          <w:szCs w:val="20"/>
          <w:color w:val="auto"/>
        </w:rPr>
        <w:tab/>
      </w:r>
      <w:r>
        <w:rPr>
          <w:rFonts w:ascii="Courier New" w:cs="Courier New" w:eastAsia="Courier New" w:hAnsi="Courier New"/>
          <w:sz w:val="15"/>
          <w:szCs w:val="15"/>
          <w:color w:val="auto"/>
        </w:rPr>
        <w:t>244,050</w:t>
      </w:r>
      <w:r>
        <w:rPr>
          <w:sz w:val="20"/>
          <w:szCs w:val="20"/>
          <w:color w:val="auto"/>
        </w:rPr>
        <w:tab/>
      </w:r>
      <w:r>
        <w:rPr>
          <w:rFonts w:ascii="Courier New" w:cs="Courier New" w:eastAsia="Courier New" w:hAnsi="Courier New"/>
          <w:sz w:val="15"/>
          <w:szCs w:val="15"/>
          <w:color w:val="auto"/>
        </w:rPr>
        <w:t>258,870</w:t>
      </w:r>
      <w:r>
        <w:rPr>
          <w:sz w:val="20"/>
          <w:szCs w:val="20"/>
          <w:color w:val="auto"/>
        </w:rPr>
        <w:tab/>
      </w:r>
      <w:r>
        <w:rPr>
          <w:rFonts w:ascii="Courier New" w:cs="Courier New" w:eastAsia="Courier New" w:hAnsi="Courier New"/>
          <w:sz w:val="15"/>
          <w:szCs w:val="15"/>
          <w:color w:val="auto"/>
        </w:rPr>
        <w:t>Income tax and deferred liabilities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3"/>
          <w:szCs w:val="13"/>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4329" w:val="left"/>
          <w:tab w:leader="none" w:pos="5309" w:val="left"/>
          <w:tab w:leader="none" w:pos="5749" w:val="left"/>
          <w:tab w:leader="none" w:pos="10009" w:val="left"/>
          <w:tab w:leader="none" w:pos="11169" w:val="left"/>
        </w:tabs>
        <w:rPr>
          <w:sz w:val="20"/>
          <w:szCs w:val="20"/>
          <w:color w:val="auto"/>
        </w:rPr>
      </w:pPr>
      <w:r>
        <w:rPr>
          <w:rFonts w:ascii="Courier New" w:cs="Courier New" w:eastAsia="Courier New" w:hAnsi="Courier New"/>
          <w:sz w:val="15"/>
          <w:szCs w:val="15"/>
          <w:color w:val="auto"/>
        </w:rPr>
        <w:t>Intangible assets (net)</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Other liabilities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3"/>
          <w:szCs w:val="13"/>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Income tax and deferred assets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rPr>
              <w:t>NON CURRENT LIABILITIES</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425,823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475,041</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8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438,762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569,986</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rPr>
              <w:t>LIABILITIES</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6,535,715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6,672,813</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64,311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112,255</w:t>
            </w:r>
          </w:p>
        </w:tc>
      </w:tr>
    </w:tbl>
    <w:p>
      <w:pPr>
        <w:spacing w:after="0" w:line="3" w:lineRule="exact"/>
        <w:rPr>
          <w:sz w:val="20"/>
          <w:szCs w:val="20"/>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57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SHAREHOLDERS' EQUITY</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5769"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Paid in Capital</w:t>
            </w:r>
          </w:p>
        </w:tc>
        <w:tc>
          <w:tcPr>
            <w:tcW w:w="21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398,735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397,307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5769"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140,500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139,020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8260" w:type="dxa"/>
            <w:vAlign w:val="bottom"/>
          </w:tcPr>
          <w:p>
            <w:pPr>
              <w:ind w:left="5640"/>
              <w:spacing w:after="0"/>
              <w:rPr>
                <w:sz w:val="20"/>
                <w:szCs w:val="20"/>
                <w:color w:val="auto"/>
              </w:rPr>
            </w:pPr>
            <w:r>
              <w:rPr>
                <w:rFonts w:ascii="Courier New" w:cs="Courier New" w:eastAsia="Courier New" w:hAnsi="Courier New"/>
                <w:sz w:val="15"/>
                <w:szCs w:val="15"/>
                <w:color w:val="auto"/>
              </w:rPr>
              <w:t>Reserves</w:t>
            </w:r>
          </w:p>
        </w:tc>
        <w:tc>
          <w:tcPr>
            <w:tcW w:w="2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69,527</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69,527</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20" w:type="dxa"/>
            <w:vAlign w:val="bottom"/>
          </w:tcPr>
          <w:p>
            <w:pPr>
              <w:spacing w:after="0"/>
              <w:rPr>
                <w:sz w:val="14"/>
                <w:szCs w:val="14"/>
                <w:color w:val="auto"/>
              </w:rPr>
            </w:pPr>
          </w:p>
        </w:tc>
        <w:tc>
          <w:tcPr>
            <w:tcW w:w="8260" w:type="dxa"/>
            <w:vAlign w:val="bottom"/>
          </w:tcPr>
          <w:p>
            <w:pPr>
              <w:ind w:left="5640"/>
              <w:spacing w:after="0"/>
              <w:rPr>
                <w:sz w:val="20"/>
                <w:szCs w:val="20"/>
                <w:color w:val="auto"/>
              </w:rPr>
            </w:pPr>
            <w:r>
              <w:rPr>
                <w:rFonts w:ascii="Courier New" w:cs="Courier New" w:eastAsia="Courier New" w:hAnsi="Courier New"/>
                <w:sz w:val="15"/>
                <w:szCs w:val="15"/>
                <w:color w:val="auto"/>
              </w:rPr>
              <w:t>Other Reserves</w:t>
            </w:r>
          </w:p>
        </w:tc>
        <w:tc>
          <w:tcPr>
            <w:tcW w:w="2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34,577</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34,577</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20" w:type="dxa"/>
            <w:vAlign w:val="bottom"/>
          </w:tcPr>
          <w:p>
            <w:pPr>
              <w:spacing w:after="0"/>
              <w:rPr>
                <w:sz w:val="14"/>
                <w:szCs w:val="14"/>
                <w:color w:val="auto"/>
              </w:rPr>
            </w:pPr>
          </w:p>
        </w:tc>
        <w:tc>
          <w:tcPr>
            <w:tcW w:w="8260" w:type="dxa"/>
            <w:vAlign w:val="bottom"/>
          </w:tcPr>
          <w:p>
            <w:pPr>
              <w:ind w:left="5640"/>
              <w:spacing w:after="0"/>
              <w:rPr>
                <w:sz w:val="20"/>
                <w:szCs w:val="20"/>
                <w:color w:val="auto"/>
              </w:rPr>
            </w:pPr>
            <w:r>
              <w:rPr>
                <w:rFonts w:ascii="Courier New" w:cs="Courier New" w:eastAsia="Courier New" w:hAnsi="Courier New"/>
                <w:sz w:val="15"/>
                <w:szCs w:val="15"/>
                <w:color w:val="auto"/>
              </w:rPr>
              <w:t>Retained earnings</w:t>
            </w:r>
          </w:p>
        </w:tc>
        <w:tc>
          <w:tcPr>
            <w:tcW w:w="2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155,150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156,342</w:t>
            </w:r>
          </w:p>
        </w:tc>
      </w:tr>
    </w:tbl>
    <w:p>
      <w:pPr>
        <w:spacing w:after="0" w:line="3"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9"/>
        <w:spacing w:after="0"/>
        <w:tabs>
          <w:tab w:leader="none" w:pos="3609" w:val="left"/>
          <w:tab w:leader="none" w:pos="4589" w:val="left"/>
          <w:tab w:leader="none" w:pos="5749" w:val="left"/>
          <w:tab w:leader="none" w:pos="9469" w:val="left"/>
          <w:tab w:leader="none" w:pos="10629" w:val="left"/>
        </w:tabs>
        <w:rPr>
          <w:sz w:val="20"/>
          <w:szCs w:val="20"/>
          <w:color w:val="auto"/>
        </w:rPr>
      </w:pPr>
      <w:r>
        <w:rPr>
          <w:rFonts w:ascii="Courier New" w:cs="Courier New" w:eastAsia="Courier New" w:hAnsi="Courier New"/>
          <w:sz w:val="15"/>
          <w:szCs w:val="15"/>
          <w:color w:val="auto"/>
        </w:rPr>
        <w:t>TOTAL NON CURRENT ASSETS</w:t>
      </w:r>
      <w:r>
        <w:rPr>
          <w:sz w:val="20"/>
          <w:szCs w:val="20"/>
          <w:color w:val="auto"/>
        </w:rPr>
        <w:tab/>
      </w:r>
      <w:r>
        <w:rPr>
          <w:rFonts w:ascii="Courier New" w:cs="Courier New" w:eastAsia="Courier New" w:hAnsi="Courier New"/>
          <w:sz w:val="15"/>
          <w:szCs w:val="15"/>
          <w:color w:val="auto"/>
        </w:rPr>
        <w:t>1,301,098</w:t>
        <w:tab/>
        <w:t>1,416,205</w:t>
      </w:r>
      <w:r>
        <w:rPr>
          <w:sz w:val="20"/>
          <w:szCs w:val="20"/>
          <w:color w:val="auto"/>
        </w:rPr>
        <w:tab/>
      </w:r>
      <w:r>
        <w:rPr>
          <w:rFonts w:ascii="Courier New" w:cs="Courier New" w:eastAsia="Courier New" w:hAnsi="Courier New"/>
          <w:sz w:val="15"/>
          <w:szCs w:val="15"/>
          <w:color w:val="auto"/>
        </w:rPr>
        <w:t>TOTAL SHAREHOLDERS' EQUITY</w:t>
      </w:r>
      <w:r>
        <w:rPr>
          <w:sz w:val="20"/>
          <w:szCs w:val="20"/>
          <w:color w:val="auto"/>
        </w:rPr>
        <w:tab/>
      </w:r>
      <w:r>
        <w:rPr>
          <w:rFonts w:ascii="Courier New" w:cs="Courier New" w:eastAsia="Courier New" w:hAnsi="Courier New"/>
          <w:sz w:val="15"/>
          <w:szCs w:val="15"/>
          <w:color w:val="auto"/>
        </w:rPr>
        <w:t>798,489</w:t>
      </w:r>
      <w:r>
        <w:rPr>
          <w:sz w:val="20"/>
          <w:szCs w:val="20"/>
          <w:color w:val="auto"/>
        </w:rPr>
        <w:tab/>
      </w:r>
      <w:r>
        <w:rPr>
          <w:rFonts w:ascii="Courier New" w:cs="Courier New" w:eastAsia="Courier New" w:hAnsi="Courier New"/>
          <w:sz w:val="14"/>
          <w:szCs w:val="14"/>
          <w:color w:val="auto"/>
        </w:rPr>
        <w:t>796,773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5500" w:type="dxa"/>
            <w:vAlign w:val="bottom"/>
          </w:tcPr>
          <w:p>
            <w:pPr>
              <w:jc w:val="right"/>
              <w:ind w:right="4366"/>
              <w:spacing w:after="0"/>
              <w:rPr>
                <w:sz w:val="20"/>
                <w:szCs w:val="20"/>
                <w:color w:val="auto"/>
              </w:rPr>
            </w:pPr>
            <w:r>
              <w:rPr>
                <w:rFonts w:ascii="Courier New" w:cs="Courier New" w:eastAsia="Courier New" w:hAnsi="Courier New"/>
                <w:sz w:val="15"/>
                <w:szCs w:val="15"/>
                <w:color w:val="auto"/>
                <w:w w:val="96"/>
              </w:rPr>
              <w:t>TOTAL ASSETS</w:t>
            </w:r>
          </w:p>
        </w:tc>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 AND NET</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7,398,515  7,581,841</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SHAREHOLDERS'S EQUITY</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7,398,515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7,581,841</w:t>
            </w:r>
          </w:p>
        </w:tc>
      </w:tr>
    </w:tbl>
    <w:p>
      <w:pPr>
        <w:spacing w:after="0" w:line="3"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33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w:t>
      </w:r>
    </w:p>
    <w:p>
      <w:pPr>
        <w:sectPr>
          <w:pgSz w:w="11900" w:h="16838" w:orient="portrait"/>
          <w:cols w:equalWidth="0" w:num="1">
            <w:col w:w="11529"/>
          </w:cols>
          <w:pgMar w:left="231" w:top="628" w:right="139" w:bottom="1440" w:gutter="0" w:footer="0" w:header="0"/>
        </w:sectPr>
      </w:pPr>
    </w:p>
    <w:bookmarkStart w:id="9" w:name="page10"/>
    <w:bookmarkEnd w:id="9"/>
    <w:p>
      <w:pPr>
        <w:spacing w:after="0" w:line="23" w:lineRule="exact"/>
        <w:rPr>
          <w:sz w:val="20"/>
          <w:szCs w:val="20"/>
          <w:color w:val="auto"/>
        </w:rPr>
      </w:pPr>
    </w:p>
    <w:p>
      <w:pPr>
        <w:jc w:val="center"/>
        <w:ind w:right="5671"/>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jc w:val="center"/>
        <w:ind w:right="5671"/>
        <w:spacing w:after="0"/>
        <w:rPr>
          <w:sz w:val="20"/>
          <w:szCs w:val="20"/>
          <w:color w:val="auto"/>
        </w:rPr>
      </w:pPr>
      <w:r>
        <w:rPr>
          <w:rFonts w:ascii="Courier New" w:cs="Courier New" w:eastAsia="Courier New" w:hAnsi="Courier New"/>
          <w:sz w:val="15"/>
          <w:szCs w:val="15"/>
          <w:color w:val="auto"/>
        </w:rPr>
        <w:t>INCOME STATEMENTS</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For the periods ended September 30, 2002 and 2001</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(In Thousands of U.S. Dollars)</w:t>
      </w:r>
    </w:p>
    <w:p>
      <w:pPr>
        <w:spacing w:after="0" w:line="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7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 the 3 month For the 3 month For the 9 monthFor the 9 month</w:t>
      </w:r>
    </w:p>
    <w:p>
      <w:pPr>
        <w:ind w:left="47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period July 1st period July 1st  period Jan.</w:t>
      </w:r>
      <w:r>
        <w:rPr>
          <w:rFonts w:ascii="Courier New" w:cs="Courier New" w:eastAsia="Courier New" w:hAnsi="Courier New"/>
          <w:sz w:val="14"/>
          <w:szCs w:val="14"/>
          <w:color w:val="auto"/>
        </w:rPr>
        <w:t>period Jan.</w:t>
      </w:r>
    </w:p>
    <w:p>
      <w:pPr>
        <w:spacing w:after="0" w:line="1" w:lineRule="exact"/>
        <w:rPr>
          <w:sz w:val="20"/>
          <w:szCs w:val="20"/>
          <w:color w:val="auto"/>
        </w:rPr>
      </w:pPr>
    </w:p>
    <w:p>
      <w:pPr>
        <w:ind w:left="4889"/>
        <w:spacing w:after="0"/>
        <w:tabs>
          <w:tab w:leader="none" w:pos="6289" w:val="left"/>
          <w:tab w:leader="none" w:pos="7869" w:val="left"/>
          <w:tab w:leader="none" w:pos="9209" w:val="left"/>
        </w:tabs>
        <w:rPr>
          <w:sz w:val="20"/>
          <w:szCs w:val="20"/>
          <w:color w:val="auto"/>
        </w:rPr>
      </w:pPr>
      <w:r>
        <w:rPr>
          <w:rFonts w:ascii="Courier New" w:cs="Courier New" w:eastAsia="Courier New" w:hAnsi="Courier New"/>
          <w:sz w:val="15"/>
          <w:szCs w:val="15"/>
          <w:color w:val="auto"/>
        </w:rPr>
        <w:t>to September</w:t>
      </w:r>
      <w:r>
        <w:rPr>
          <w:sz w:val="20"/>
          <w:szCs w:val="20"/>
          <w:color w:val="auto"/>
        </w:rPr>
        <w:tab/>
      </w:r>
      <w:r>
        <w:rPr>
          <w:rFonts w:ascii="Courier New" w:cs="Courier New" w:eastAsia="Courier New" w:hAnsi="Courier New"/>
          <w:sz w:val="15"/>
          <w:szCs w:val="15"/>
          <w:color w:val="auto"/>
        </w:rPr>
        <w:t>to September</w:t>
      </w:r>
      <w:r>
        <w:rPr>
          <w:sz w:val="20"/>
          <w:szCs w:val="20"/>
          <w:color w:val="auto"/>
        </w:rPr>
        <w:tab/>
      </w:r>
      <w:r>
        <w:rPr>
          <w:rFonts w:ascii="Courier New" w:cs="Courier New" w:eastAsia="Courier New" w:hAnsi="Courier New"/>
          <w:sz w:val="15"/>
          <w:szCs w:val="15"/>
          <w:color w:val="auto"/>
        </w:rPr>
        <w:t>1st to</w:t>
      </w:r>
      <w:r>
        <w:rPr>
          <w:sz w:val="20"/>
          <w:szCs w:val="20"/>
          <w:color w:val="auto"/>
        </w:rPr>
        <w:tab/>
      </w:r>
      <w:r>
        <w:rPr>
          <w:rFonts w:ascii="Courier New" w:cs="Courier New" w:eastAsia="Courier New" w:hAnsi="Courier New"/>
          <w:sz w:val="14"/>
          <w:szCs w:val="14"/>
          <w:color w:val="auto"/>
        </w:rPr>
        <w:t>1st to</w:t>
      </w:r>
    </w:p>
    <w:p>
      <w:pPr>
        <w:spacing w:after="0" w:line="1" w:lineRule="exact"/>
        <w:rPr>
          <w:sz w:val="20"/>
          <w:szCs w:val="20"/>
          <w:color w:val="auto"/>
        </w:rPr>
      </w:pPr>
    </w:p>
    <w:p>
      <w:pPr>
        <w:ind w:left="5049"/>
        <w:spacing w:after="0"/>
        <w:tabs>
          <w:tab w:leader="none" w:pos="6449" w:val="left"/>
          <w:tab w:leader="none" w:pos="7609" w:val="left"/>
          <w:tab w:leader="none" w:pos="8949" w:val="left"/>
        </w:tabs>
        <w:rPr>
          <w:sz w:val="20"/>
          <w:szCs w:val="20"/>
          <w:color w:val="auto"/>
        </w:rPr>
      </w:pPr>
      <w:r>
        <w:rPr>
          <w:rFonts w:ascii="Courier New" w:cs="Courier New" w:eastAsia="Courier New" w:hAnsi="Courier New"/>
          <w:sz w:val="15"/>
          <w:szCs w:val="15"/>
          <w:color w:val="auto"/>
        </w:rPr>
        <w:t>30, 2002</w:t>
      </w:r>
      <w:r>
        <w:rPr>
          <w:sz w:val="20"/>
          <w:szCs w:val="20"/>
          <w:color w:val="auto"/>
        </w:rPr>
        <w:tab/>
      </w:r>
      <w:r>
        <w:rPr>
          <w:rFonts w:ascii="Courier New" w:cs="Courier New" w:eastAsia="Courier New" w:hAnsi="Courier New"/>
          <w:sz w:val="15"/>
          <w:szCs w:val="15"/>
          <w:color w:val="auto"/>
        </w:rPr>
        <w:t>30, 2001</w:t>
      </w:r>
      <w:r>
        <w:rPr>
          <w:sz w:val="20"/>
          <w:szCs w:val="20"/>
          <w:color w:val="auto"/>
        </w:rPr>
        <w:tab/>
      </w:r>
      <w:r>
        <w:rPr>
          <w:rFonts w:ascii="Courier New" w:cs="Courier New" w:eastAsia="Courier New" w:hAnsi="Courier New"/>
          <w:sz w:val="15"/>
          <w:szCs w:val="15"/>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1" w:lineRule="exact"/>
        <w:rPr>
          <w:sz w:val="20"/>
          <w:szCs w:val="20"/>
          <w:color w:val="auto"/>
        </w:rPr>
      </w:pPr>
    </w:p>
    <w:p>
      <w:pPr>
        <w:ind w:left="8069"/>
        <w:spacing w:after="0"/>
        <w:tabs>
          <w:tab w:leader="none" w:pos="9389"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3" w:lineRule="exact"/>
        <w:rPr>
          <w:sz w:val="20"/>
          <w:szCs w:val="20"/>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119,630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173,142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390,560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539,711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119,630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173,142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390,560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539,711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on Deposits with banks</w:t>
            </w:r>
          </w:p>
        </w:tc>
        <w:tc>
          <w:tcPr>
            <w:tcW w:w="2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10,420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17,849</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26,286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54,989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Interest and commissions from Interbank funds</w:t>
            </w:r>
          </w:p>
        </w:tc>
        <w:tc>
          <w:tcPr>
            <w:tcW w:w="16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on trading securities</w:t>
            </w:r>
          </w:p>
        </w:tc>
        <w:tc>
          <w:tcPr>
            <w:tcW w:w="2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9,915</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20,026</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43,444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62,246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on Loans</w:t>
            </w:r>
          </w:p>
        </w:tc>
        <w:tc>
          <w:tcPr>
            <w:tcW w:w="2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98,991</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134,915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319,027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420,469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on notes receivables</w:t>
            </w:r>
          </w:p>
        </w:tc>
        <w:tc>
          <w:tcPr>
            <w:tcW w:w="24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Interest and dividends on investment</w:t>
            </w:r>
          </w:p>
        </w:tc>
        <w:tc>
          <w:tcPr>
            <w:tcW w:w="20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304</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352</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Fees and other income on financial operations</w:t>
            </w:r>
          </w:p>
        </w:tc>
        <w:tc>
          <w:tcPr>
            <w:tcW w:w="16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Others</w:t>
            </w:r>
          </w:p>
        </w:tc>
        <w:tc>
          <w:tcPr>
            <w:tcW w:w="3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0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operating revenue</w:t>
            </w:r>
          </w:p>
        </w:tc>
        <w:tc>
          <w:tcPr>
            <w:tcW w:w="27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4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(42,139)</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(78,775)</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(134,483)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(257,981)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(42,139)</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(78,775)</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(134,483)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(257,981)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Interest and fees on obligations with the public</w:t>
            </w:r>
          </w:p>
        </w:tc>
        <w:tc>
          <w:tcPr>
            <w:tcW w:w="15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9"/>
        <w:spacing w:after="0"/>
        <w:tabs>
          <w:tab w:leader="none" w:pos="5929" w:val="left"/>
          <w:tab w:leader="none" w:pos="7349" w:val="left"/>
          <w:tab w:leader="none" w:pos="8669" w:val="left"/>
          <w:tab w:leader="none" w:pos="10009" w:val="left"/>
        </w:tabs>
        <w:rPr>
          <w:sz w:val="20"/>
          <w:szCs w:val="20"/>
          <w:color w:val="auto"/>
        </w:rPr>
      </w:pPr>
      <w:r>
        <w:rPr>
          <w:rFonts w:ascii="Courier New" w:cs="Courier New" w:eastAsia="Courier New" w:hAnsi="Courier New"/>
          <w:sz w:val="15"/>
          <w:szCs w:val="15"/>
          <w:color w:val="auto"/>
        </w:rPr>
        <w:t>Interest and fees on interbank funds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3"/>
          <w:szCs w:val="13"/>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Interest on deposits from other financial and</w:t>
      </w:r>
    </w:p>
    <w:p>
      <w:pPr>
        <w:spacing w:after="0" w:line="1" w:lineRule="exact"/>
        <w:rPr>
          <w:sz w:val="20"/>
          <w:szCs w:val="20"/>
          <w:color w:val="auto"/>
        </w:rPr>
      </w:pPr>
    </w:p>
    <w:p>
      <w:pPr>
        <w:ind w:left="269"/>
        <w:spacing w:after="0"/>
        <w:tabs>
          <w:tab w:leader="none" w:pos="5389" w:val="left"/>
          <w:tab w:leader="none" w:pos="6809" w:val="left"/>
          <w:tab w:leader="none" w:pos="8149" w:val="left"/>
          <w:tab w:leader="none" w:pos="9389" w:val="left"/>
        </w:tabs>
        <w:rPr>
          <w:sz w:val="20"/>
          <w:szCs w:val="20"/>
          <w:color w:val="auto"/>
        </w:rPr>
      </w:pPr>
      <w:r>
        <w:rPr>
          <w:rFonts w:ascii="Courier New" w:cs="Courier New" w:eastAsia="Courier New" w:hAnsi="Courier New"/>
          <w:sz w:val="15"/>
          <w:szCs w:val="15"/>
          <w:color w:val="auto"/>
        </w:rPr>
        <w:t>international institutions</w:t>
      </w:r>
      <w:r>
        <w:rPr>
          <w:sz w:val="20"/>
          <w:szCs w:val="20"/>
          <w:color w:val="auto"/>
        </w:rPr>
        <w:tab/>
      </w:r>
      <w:r>
        <w:rPr>
          <w:rFonts w:ascii="Courier New" w:cs="Courier New" w:eastAsia="Courier New" w:hAnsi="Courier New"/>
          <w:sz w:val="15"/>
          <w:szCs w:val="15"/>
          <w:color w:val="auto"/>
        </w:rPr>
        <w:t>(28,090)</w:t>
      </w:r>
      <w:r>
        <w:rPr>
          <w:sz w:val="20"/>
          <w:szCs w:val="20"/>
          <w:color w:val="auto"/>
        </w:rPr>
        <w:tab/>
      </w:r>
      <w:r>
        <w:rPr>
          <w:rFonts w:ascii="Courier New" w:cs="Courier New" w:eastAsia="Courier New" w:hAnsi="Courier New"/>
          <w:sz w:val="15"/>
          <w:szCs w:val="15"/>
          <w:color w:val="auto"/>
        </w:rPr>
        <w:t>(55,709)</w:t>
      </w:r>
      <w:r>
        <w:rPr>
          <w:sz w:val="20"/>
          <w:szCs w:val="20"/>
          <w:color w:val="auto"/>
        </w:rPr>
        <w:tab/>
      </w:r>
      <w:r>
        <w:rPr>
          <w:rFonts w:ascii="Courier New" w:cs="Courier New" w:eastAsia="Courier New" w:hAnsi="Courier New"/>
          <w:sz w:val="15"/>
          <w:szCs w:val="15"/>
          <w:color w:val="auto"/>
        </w:rPr>
        <w:t>(89,392)</w:t>
      </w:r>
      <w:r>
        <w:rPr>
          <w:sz w:val="20"/>
          <w:szCs w:val="20"/>
          <w:color w:val="auto"/>
        </w:rPr>
        <w:tab/>
      </w:r>
      <w:r>
        <w:rPr>
          <w:rFonts w:ascii="Courier New" w:cs="Courier New" w:eastAsia="Courier New" w:hAnsi="Courier New"/>
          <w:sz w:val="14"/>
          <w:szCs w:val="14"/>
          <w:color w:val="auto"/>
        </w:rPr>
        <w:t>(178,861)</w:t>
      </w:r>
    </w:p>
    <w:p>
      <w:pPr>
        <w:spacing w:after="0" w:line="3" w:lineRule="exact"/>
        <w:rPr>
          <w:sz w:val="20"/>
          <w:szCs w:val="20"/>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Interest on short term debt to banks and</w:t>
      </w:r>
    </w:p>
    <w:p>
      <w:pPr>
        <w:spacing w:after="0" w:line="1"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correspondets</w:t>
            </w:r>
          </w:p>
        </w:tc>
        <w:tc>
          <w:tcPr>
            <w:tcW w:w="30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(5,464)</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(13,222)</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(20,149)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(48,790)</w:t>
            </w:r>
          </w:p>
        </w:tc>
      </w:tr>
    </w:tbl>
    <w:p>
      <w:pPr>
        <w:spacing w:after="0" w:line="3" w:lineRule="exact"/>
        <w:rPr>
          <w:sz w:val="20"/>
          <w:szCs w:val="20"/>
          <w:color w:val="auto"/>
        </w:rPr>
      </w:pPr>
    </w:p>
    <w:p>
      <w:pPr>
        <w:ind w:left="169" w:hanging="169"/>
        <w:spacing w:after="0"/>
        <w:tabs>
          <w:tab w:leader="none" w:pos="16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Interest on long term debt to banks and</w:t>
      </w:r>
    </w:p>
    <w:p>
      <w:pPr>
        <w:spacing w:after="0" w:line="1"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correspondents</w:t>
            </w:r>
          </w:p>
        </w:tc>
        <w:tc>
          <w:tcPr>
            <w:tcW w:w="29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Interest and fees on other financial obligations</w:t>
            </w:r>
          </w:p>
        </w:tc>
        <w:tc>
          <w:tcPr>
            <w:tcW w:w="15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Other interest expense</w:t>
            </w:r>
          </w:p>
        </w:tc>
        <w:tc>
          <w:tcPr>
            <w:tcW w:w="2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(8,585)</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(9,844)</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(24,942)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(30,330)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Operating costs</w:t>
            </w:r>
          </w:p>
        </w:tc>
        <w:tc>
          <w:tcPr>
            <w:tcW w:w="3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GROSS FINANCIAL MARGIN</w:t>
            </w:r>
          </w:p>
        </w:tc>
        <w:tc>
          <w:tcPr>
            <w:tcW w:w="2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77,491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94,367</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256,077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281,730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Provision for lower market value of investments</w:t>
            </w:r>
          </w:p>
        </w:tc>
        <w:tc>
          <w:tcPr>
            <w:tcW w:w="16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Provision for possible loan losses, net</w:t>
            </w: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(32,236)</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(29,956)</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(87,911)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(93,963)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2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45,255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64,411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168,166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187,767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3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89,649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89,456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266,656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249,551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31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(25,463)</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(24,444)</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(73,395)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(75,016)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3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109,441</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129,423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361,427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362,302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2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(94,881)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(109,032)</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(295,877)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(311,525)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1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2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14,560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20,391</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65,550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50,777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30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Financial expense</w:t>
            </w:r>
          </w:p>
        </w:tc>
        <w:tc>
          <w:tcPr>
            <w:tcW w:w="29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income and expense</w:t>
            </w:r>
          </w:p>
        </w:tc>
        <w:tc>
          <w:tcPr>
            <w:tcW w:w="27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(900)</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(550)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(2,866)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(3,410)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5929" w:val="left"/>
          <w:tab w:leader="none" w:pos="7349" w:val="left"/>
          <w:tab w:leader="none" w:pos="8669" w:val="left"/>
          <w:tab w:leader="none" w:pos="10009" w:val="left"/>
        </w:tabs>
        <w:rPr>
          <w:sz w:val="20"/>
          <w:szCs w:val="20"/>
          <w:color w:val="auto"/>
        </w:rPr>
      </w:pPr>
      <w:r>
        <w:rPr>
          <w:rFonts w:ascii="Courier New" w:cs="Courier New" w:eastAsia="Courier New" w:hAnsi="Courier New"/>
          <w:sz w:val="15"/>
          <w:szCs w:val="15"/>
          <w:color w:val="auto"/>
        </w:rPr>
        <w:t>Result from exposure to inflation</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3"/>
          <w:szCs w:val="13"/>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5489" w:val="left"/>
          <w:tab w:leader="none" w:pos="6909" w:val="left"/>
          <w:tab w:leader="none" w:pos="8229" w:val="left"/>
          <w:tab w:leader="none" w:pos="9569" w:val="left"/>
        </w:tabs>
        <w:rPr>
          <w:sz w:val="20"/>
          <w:szCs w:val="20"/>
          <w:color w:val="auto"/>
        </w:rPr>
      </w:pPr>
      <w:r>
        <w:rPr>
          <w:rFonts w:ascii="Courier New" w:cs="Courier New" w:eastAsia="Courier New" w:hAnsi="Courier New"/>
          <w:sz w:val="15"/>
          <w:szCs w:val="15"/>
          <w:color w:val="auto"/>
        </w:rPr>
        <w:t>Income before income taxes and extraordinary items</w:t>
      </w:r>
      <w:r>
        <w:rPr>
          <w:sz w:val="20"/>
          <w:szCs w:val="20"/>
          <w:color w:val="auto"/>
        </w:rPr>
        <w:tab/>
      </w:r>
      <w:r>
        <w:rPr>
          <w:rFonts w:ascii="Courier New" w:cs="Courier New" w:eastAsia="Courier New" w:hAnsi="Courier New"/>
          <w:sz w:val="15"/>
          <w:szCs w:val="15"/>
          <w:color w:val="auto"/>
        </w:rPr>
        <w:t>13,660</w:t>
      </w:r>
      <w:r>
        <w:rPr>
          <w:sz w:val="20"/>
          <w:szCs w:val="20"/>
          <w:color w:val="auto"/>
        </w:rPr>
        <w:tab/>
      </w:r>
      <w:r>
        <w:rPr>
          <w:rFonts w:ascii="Courier New" w:cs="Courier New" w:eastAsia="Courier New" w:hAnsi="Courier New"/>
          <w:sz w:val="15"/>
          <w:szCs w:val="15"/>
          <w:color w:val="auto"/>
        </w:rPr>
        <w:t>19,841</w:t>
      </w:r>
      <w:r>
        <w:rPr>
          <w:sz w:val="20"/>
          <w:szCs w:val="20"/>
          <w:color w:val="auto"/>
        </w:rPr>
        <w:tab/>
      </w:r>
      <w:r>
        <w:rPr>
          <w:rFonts w:ascii="Courier New" w:cs="Courier New" w:eastAsia="Courier New" w:hAnsi="Courier New"/>
          <w:sz w:val="15"/>
          <w:szCs w:val="15"/>
          <w:color w:val="auto"/>
        </w:rPr>
        <w:t>62,684</w:t>
      </w:r>
      <w:r>
        <w:rPr>
          <w:sz w:val="20"/>
          <w:szCs w:val="20"/>
          <w:color w:val="auto"/>
        </w:rPr>
        <w:tab/>
      </w:r>
      <w:r>
        <w:rPr>
          <w:rFonts w:ascii="Courier New" w:cs="Courier New" w:eastAsia="Courier New" w:hAnsi="Courier New"/>
          <w:sz w:val="14"/>
          <w:szCs w:val="14"/>
          <w:color w:val="auto"/>
        </w:rPr>
        <w:t>47,367</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62" w:orient="portrait"/>
          <w:cols w:equalWidth="0" w:num="1">
            <w:col w:w="10389"/>
          </w:cols>
          <w:pgMar w:left="231" w:top="1140" w:right="1279" w:bottom="0" w:gutter="0" w:footer="0" w:header="0"/>
        </w:sectPr>
      </w:pPr>
    </w:p>
    <w:bookmarkStart w:id="10" w:name="page11"/>
    <w:bookmarkEnd w:id="10"/>
    <w:tbl>
      <w:tblPr>
        <w:tblLayout w:type="fixed"/>
        <w:tblInd w:w="9"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Participations</w:t>
            </w:r>
          </w:p>
        </w:tc>
        <w:tc>
          <w:tcPr>
            <w:tcW w:w="3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(8,809)</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(5,515)</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(26,641)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(12,952)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w:t>
            </w:r>
          </w:p>
        </w:tc>
        <w:tc>
          <w:tcPr>
            <w:tcW w:w="2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4,851</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14,326</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36,043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34,415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Extraordinary income</w:t>
            </w:r>
          </w:p>
        </w:tc>
        <w:tc>
          <w:tcPr>
            <w:tcW w:w="28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Extraordinary expenses</w:t>
            </w:r>
          </w:p>
        </w:tc>
        <w:tc>
          <w:tcPr>
            <w:tcW w:w="27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interests</w:t>
            </w:r>
          </w:p>
        </w:tc>
        <w:tc>
          <w:tcPr>
            <w:tcW w:w="2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4,851</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14,326</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36,043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34,415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(1,771)</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(3,199)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(7,177)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(6,412)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3,080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11,127</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28,866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28,003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Prefered dividends</w:t>
            </w:r>
          </w:p>
        </w:tc>
        <w:tc>
          <w:tcPr>
            <w:tcW w:w="29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ATTRIBUTABLE</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2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3,080</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11,127</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28,866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28,003</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800" w:type="dxa"/>
            <w:vAlign w:val="bottom"/>
            <w:gridSpan w:val="3"/>
          </w:tcPr>
          <w:p>
            <w:pPr>
              <w:spacing w:after="0"/>
              <w:rPr>
                <w:sz w:val="20"/>
                <w:szCs w:val="20"/>
                <w:color w:val="auto"/>
              </w:rPr>
            </w:pPr>
            <w:r>
              <w:rPr>
                <w:rFonts w:ascii="Courier New" w:cs="Courier New" w:eastAsia="Courier New" w:hAnsi="Courier New"/>
                <w:sz w:val="15"/>
                <w:szCs w:val="15"/>
                <w:color w:val="auto"/>
              </w:rPr>
              <w:t>Earnings per share</w:t>
            </w:r>
          </w:p>
        </w:tc>
        <w:tc>
          <w:tcPr>
            <w:tcW w:w="2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0.038622</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0.138877</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0.361970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0.349509</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Diluted earnings</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2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0.038622</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0.138877</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0.361970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0.349509</w:t>
            </w:r>
          </w:p>
        </w:tc>
      </w:tr>
    </w:tbl>
    <w:p>
      <w:pPr>
        <w:spacing w:after="0" w:line="3" w:lineRule="exact"/>
        <w:rPr>
          <w:sz w:val="20"/>
          <w:szCs w:val="20"/>
          <w:color w:val="auto"/>
        </w:rPr>
      </w:pPr>
    </w:p>
    <w:p>
      <w:pPr>
        <w:ind w:left="169" w:hanging="169"/>
        <w:spacing w:after="0"/>
        <w:tabs>
          <w:tab w:leader="none" w:pos="16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34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w:t>
      </w:r>
    </w:p>
    <w:p>
      <w:pPr>
        <w:sectPr>
          <w:pgSz w:w="11900" w:h="16838" w:orient="portrait"/>
          <w:cols w:equalWidth="0" w:num="1">
            <w:col w:w="10389"/>
          </w:cols>
          <w:pgMar w:left="231" w:top="139" w:right="1279" w:bottom="1440" w:gutter="0" w:footer="0" w:header="0"/>
        </w:sectPr>
      </w:pPr>
    </w:p>
    <w:bookmarkStart w:id="11" w:name="page12"/>
    <w:bookmarkEnd w:id="11"/>
    <w:p>
      <w:pPr>
        <w:ind w:left="1329"/>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Changes in Shareholder's Equity</w:t>
      </w:r>
    </w:p>
    <w:p>
      <w:pPr>
        <w:spacing w:after="0" w:line="1" w:lineRule="exact"/>
        <w:rPr>
          <w:sz w:val="20"/>
          <w:szCs w:val="20"/>
          <w:color w:val="auto"/>
        </w:rPr>
      </w:pPr>
    </w:p>
    <w:p>
      <w:pPr>
        <w:jc w:val="center"/>
        <w:ind w:right="5851"/>
        <w:spacing w:after="0"/>
        <w:rPr>
          <w:sz w:val="20"/>
          <w:szCs w:val="20"/>
          <w:color w:val="auto"/>
        </w:rPr>
      </w:pPr>
      <w:r>
        <w:rPr>
          <w:rFonts w:ascii="Courier New" w:cs="Courier New" w:eastAsia="Courier New" w:hAnsi="Courier New"/>
          <w:sz w:val="15"/>
          <w:szCs w:val="15"/>
          <w:color w:val="auto"/>
        </w:rPr>
        <w:t>For the periods ended September 30 of 2002 and 2001</w:t>
      </w:r>
    </w:p>
    <w:p>
      <w:pPr>
        <w:spacing w:after="0" w:line="1" w:lineRule="exact"/>
        <w:rPr>
          <w:sz w:val="20"/>
          <w:szCs w:val="20"/>
          <w:color w:val="auto"/>
        </w:rPr>
      </w:pPr>
    </w:p>
    <w:p>
      <w:pPr>
        <w:jc w:val="center"/>
        <w:ind w:right="5751"/>
        <w:spacing w:after="0"/>
        <w:rPr>
          <w:sz w:val="20"/>
          <w:szCs w:val="20"/>
          <w:color w:val="auto"/>
        </w:rPr>
      </w:pPr>
      <w:r>
        <w:rPr>
          <w:rFonts w:ascii="Courier New" w:cs="Courier New" w:eastAsia="Courier New" w:hAnsi="Courier New"/>
          <w:sz w:val="15"/>
          <w:szCs w:val="15"/>
          <w:color w:val="auto"/>
        </w:rPr>
        <w:t>(In Thousands of U.S. Dollars)</w:t>
      </w:r>
    </w:p>
    <w:p>
      <w:pPr>
        <w:spacing w:after="0" w:line="3"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589"/>
        <w:spacing w:after="0"/>
        <w:tabs>
          <w:tab w:leader="none" w:pos="6369" w:val="left"/>
          <w:tab w:leader="none" w:pos="7349" w:val="left"/>
          <w:tab w:leader="none" w:pos="8149" w:val="left"/>
          <w:tab w:leader="none" w:pos="9129" w:val="left"/>
          <w:tab w:leader="none" w:pos="10369" w:val="left"/>
        </w:tabs>
        <w:rPr>
          <w:sz w:val="20"/>
          <w:szCs w:val="20"/>
          <w:color w:val="auto"/>
        </w:rPr>
      </w:pPr>
      <w:r>
        <w:rPr>
          <w:rFonts w:ascii="Courier New" w:cs="Courier New" w:eastAsia="Courier New" w:hAnsi="Courier New"/>
          <w:sz w:val="15"/>
          <w:szCs w:val="15"/>
          <w:color w:val="auto"/>
        </w:rPr>
        <w:t>Common</w:t>
        <w:tab/>
        <w:t>Capital</w:t>
      </w:r>
      <w:r>
        <w:rPr>
          <w:sz w:val="20"/>
          <w:szCs w:val="20"/>
          <w:color w:val="auto"/>
        </w:rPr>
        <w:tab/>
      </w:r>
      <w:r>
        <w:rPr>
          <w:rFonts w:ascii="Courier New" w:cs="Courier New" w:eastAsia="Courier New" w:hAnsi="Courier New"/>
          <w:sz w:val="15"/>
          <w:szCs w:val="15"/>
          <w:color w:val="auto"/>
        </w:rPr>
        <w:t>Legal</w:t>
      </w:r>
      <w:r>
        <w:rPr>
          <w:sz w:val="20"/>
          <w:szCs w:val="20"/>
          <w:color w:val="auto"/>
        </w:rPr>
        <w:tab/>
      </w:r>
      <w:r>
        <w:rPr>
          <w:rFonts w:ascii="Courier New" w:cs="Courier New" w:eastAsia="Courier New" w:hAnsi="Courier New"/>
          <w:sz w:val="15"/>
          <w:szCs w:val="15"/>
          <w:color w:val="auto"/>
        </w:rPr>
        <w:t>Special</w:t>
      </w:r>
      <w:r>
        <w:rPr>
          <w:sz w:val="20"/>
          <w:szCs w:val="20"/>
          <w:color w:val="auto"/>
        </w:rPr>
        <w:tab/>
      </w:r>
      <w:r>
        <w:rPr>
          <w:rFonts w:ascii="Courier New" w:cs="Courier New" w:eastAsia="Courier New" w:hAnsi="Courier New"/>
          <w:sz w:val="15"/>
          <w:szCs w:val="15"/>
          <w:color w:val="auto"/>
        </w:rPr>
        <w:t>Retained</w:t>
      </w:r>
      <w:r>
        <w:rPr>
          <w:sz w:val="20"/>
          <w:szCs w:val="20"/>
          <w:color w:val="auto"/>
        </w:rPr>
        <w:tab/>
      </w:r>
      <w:r>
        <w:rPr>
          <w:rFonts w:ascii="Courier New" w:cs="Courier New" w:eastAsia="Courier New" w:hAnsi="Courier New"/>
          <w:sz w:val="14"/>
          <w:szCs w:val="14"/>
          <w:color w:val="auto"/>
        </w:rPr>
        <w:t>Total</w:t>
      </w:r>
    </w:p>
    <w:p>
      <w:pPr>
        <w:spacing w:after="0" w:line="1" w:lineRule="exact"/>
        <w:rPr>
          <w:sz w:val="20"/>
          <w:szCs w:val="20"/>
          <w:color w:val="auto"/>
        </w:rPr>
      </w:pPr>
    </w:p>
    <w:p>
      <w:pPr>
        <w:ind w:left="5689"/>
        <w:spacing w:after="0"/>
        <w:tabs>
          <w:tab w:leader="none" w:pos="6449" w:val="left"/>
          <w:tab w:leader="none" w:pos="7349" w:val="left"/>
          <w:tab w:leader="none" w:pos="8229" w:val="left"/>
          <w:tab w:leader="none" w:pos="9209" w:val="left"/>
        </w:tabs>
        <w:rPr>
          <w:sz w:val="20"/>
          <w:szCs w:val="20"/>
          <w:color w:val="auto"/>
        </w:rPr>
      </w:pPr>
      <w:r>
        <w:rPr>
          <w:rFonts w:ascii="Courier New" w:cs="Courier New" w:eastAsia="Courier New" w:hAnsi="Courier New"/>
          <w:sz w:val="15"/>
          <w:szCs w:val="15"/>
          <w:color w:val="auto"/>
        </w:rPr>
        <w:t>Shares</w:t>
        <w:tab/>
        <w:t>Surplus</w:t>
        <w:tab/>
        <w:t>Reserve</w:t>
        <w:tab/>
        <w:t>Reserve</w:t>
      </w:r>
      <w:r>
        <w:rPr>
          <w:sz w:val="20"/>
          <w:szCs w:val="20"/>
          <w:color w:val="auto"/>
        </w:rPr>
        <w:tab/>
      </w:r>
      <w:r>
        <w:rPr>
          <w:rFonts w:ascii="Courier New" w:cs="Courier New" w:eastAsia="Courier New" w:hAnsi="Courier New"/>
          <w:sz w:val="15"/>
          <w:szCs w:val="15"/>
          <w:color w:val="auto"/>
        </w:rPr>
        <w:t>Earnings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Balances at January 1, 2001</w:t>
            </w:r>
          </w:p>
        </w:tc>
        <w:tc>
          <w:tcPr>
            <w:tcW w:w="3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400,605  145,065</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69,527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28,659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138,873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782,728</w:t>
            </w:r>
          </w:p>
        </w:tc>
      </w:tr>
    </w:tbl>
    <w:p>
      <w:pPr>
        <w:spacing w:after="0" w:line="3"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Changes in accounting practices and correction of material</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1.  errors</w:t>
            </w:r>
          </w:p>
        </w:tc>
        <w:tc>
          <w:tcPr>
            <w:tcW w:w="3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2. Distribution and appropriation of profits</w:t>
            </w:r>
          </w:p>
        </w:tc>
        <w:tc>
          <w:tcPr>
            <w:tcW w:w="15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3. Dividends and participations</w:t>
            </w:r>
          </w:p>
        </w:tc>
        <w:tc>
          <w:tcPr>
            <w:tcW w:w="21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(8,017)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4. New capital additions</w:t>
            </w:r>
          </w:p>
        </w:tc>
        <w:tc>
          <w:tcPr>
            <w:tcW w:w="24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5. Changes in premiums and donations</w:t>
            </w:r>
          </w:p>
        </w:tc>
        <w:tc>
          <w:tcPr>
            <w:tcW w:w="19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6. Increase or decrease due to mergers or spinoffs</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7. Asset revaluations</w:t>
            </w:r>
          </w:p>
        </w:tc>
        <w:tc>
          <w:tcPr>
            <w:tcW w:w="25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8. Capitalization of equity accounts</w:t>
            </w:r>
          </w:p>
        </w:tc>
        <w:tc>
          <w:tcPr>
            <w:tcW w:w="19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9. Capital reductions</w:t>
            </w:r>
          </w:p>
        </w:tc>
        <w:tc>
          <w:tcPr>
            <w:tcW w:w="25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10. Profit (loss) net of the current period</w:t>
            </w:r>
          </w:p>
        </w:tc>
        <w:tc>
          <w:tcPr>
            <w:tcW w:w="16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28,003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28,003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gridSpan w:val="4"/>
          </w:tcPr>
          <w:p>
            <w:pPr>
              <w:spacing w:after="0"/>
              <w:rPr>
                <w:sz w:val="20"/>
                <w:szCs w:val="20"/>
                <w:color w:val="auto"/>
              </w:rPr>
            </w:pPr>
            <w:r>
              <w:rPr>
                <w:rFonts w:ascii="Courier New" w:cs="Courier New" w:eastAsia="Courier New" w:hAnsi="Courier New"/>
                <w:sz w:val="15"/>
                <w:szCs w:val="15"/>
                <w:color w:val="auto"/>
              </w:rPr>
              <w:t>11. Other increase (decrease) of equity accounts</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1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3940" w:type="dxa"/>
            <w:vAlign w:val="bottom"/>
          </w:tcPr>
          <w:p>
            <w:pPr>
              <w:ind w:left="40"/>
              <w:spacing w:after="0"/>
              <w:rPr>
                <w:sz w:val="20"/>
                <w:szCs w:val="20"/>
                <w:color w:val="auto"/>
              </w:rPr>
            </w:pPr>
            <w:r>
              <w:rPr>
                <w:rFonts w:ascii="Courier New" w:cs="Courier New" w:eastAsia="Courier New" w:hAnsi="Courier New"/>
                <w:sz w:val="15"/>
                <w:szCs w:val="15"/>
                <w:color w:val="auto"/>
              </w:rPr>
              <w:t>September 30, 2001</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400,605</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145,065</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69,527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28,659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158,859</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802,715</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1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3940" w:type="dxa"/>
            <w:vAlign w:val="bottom"/>
          </w:tcPr>
          <w:p>
            <w:pPr>
              <w:ind w:left="40"/>
              <w:spacing w:after="0"/>
              <w:rPr>
                <w:sz w:val="20"/>
                <w:szCs w:val="20"/>
                <w:color w:val="auto"/>
              </w:rPr>
            </w:pPr>
            <w:r>
              <w:rPr>
                <w:rFonts w:ascii="Courier New" w:cs="Courier New" w:eastAsia="Courier New" w:hAnsi="Courier New"/>
                <w:sz w:val="15"/>
                <w:szCs w:val="15"/>
                <w:color w:val="auto"/>
              </w:rPr>
              <w:t>January 1, 2002</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397,307</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139,020</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69,527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34,577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156,342</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796,773</w:t>
            </w:r>
          </w:p>
        </w:tc>
      </w:tr>
    </w:tbl>
    <w:p>
      <w:pPr>
        <w:spacing w:after="0" w:line="3"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Changes in accounting practices and correction of material</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1.  errors</w:t>
            </w:r>
          </w:p>
        </w:tc>
        <w:tc>
          <w:tcPr>
            <w:tcW w:w="3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2. Distribution and appropriation of profits</w:t>
            </w:r>
          </w:p>
        </w:tc>
        <w:tc>
          <w:tcPr>
            <w:tcW w:w="15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3. Dividends and participations</w:t>
            </w:r>
          </w:p>
        </w:tc>
        <w:tc>
          <w:tcPr>
            <w:tcW w:w="21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(15,987)   (15,987)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4. New capital additions</w:t>
            </w:r>
          </w:p>
        </w:tc>
        <w:tc>
          <w:tcPr>
            <w:tcW w:w="24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5. Changes in premiums and donations</w:t>
            </w:r>
          </w:p>
        </w:tc>
        <w:tc>
          <w:tcPr>
            <w:tcW w:w="19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6. Increase or decrease due to mergers or spinoffs</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7. Asset revaluations</w:t>
            </w:r>
          </w:p>
        </w:tc>
        <w:tc>
          <w:tcPr>
            <w:tcW w:w="25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8. Capitalization of equity accounts</w:t>
            </w:r>
          </w:p>
        </w:tc>
        <w:tc>
          <w:tcPr>
            <w:tcW w:w="19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9. Capital reductions</w:t>
            </w:r>
          </w:p>
        </w:tc>
        <w:tc>
          <w:tcPr>
            <w:tcW w:w="25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 w:type="dxa"/>
            <w:vAlign w:val="bottom"/>
            <w:gridSpan w:val="2"/>
          </w:tcPr>
          <w:p>
            <w:pPr>
              <w:spacing w:after="0"/>
              <w:rPr>
                <w:sz w:val="20"/>
                <w:szCs w:val="20"/>
                <w:color w:val="auto"/>
              </w:rPr>
            </w:pPr>
            <w:r>
              <w:rPr>
                <w:rFonts w:ascii="Courier New" w:cs="Courier New" w:eastAsia="Courier New" w:hAnsi="Courier New"/>
                <w:sz w:val="15"/>
                <w:szCs w:val="15"/>
                <w:color w:val="auto"/>
              </w:rPr>
              <w:t>10.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Profit (loss) net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of the current period</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28,866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28,866</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1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00" w:type="dxa"/>
            <w:vAlign w:val="bottom"/>
            <w:gridSpan w:val="2"/>
          </w:tcPr>
          <w:p>
            <w:pPr>
              <w:spacing w:after="0"/>
              <w:rPr>
                <w:sz w:val="20"/>
                <w:szCs w:val="20"/>
                <w:color w:val="auto"/>
              </w:rPr>
            </w:pPr>
            <w:r>
              <w:rPr>
                <w:rFonts w:ascii="Courier New" w:cs="Courier New" w:eastAsia="Courier New" w:hAnsi="Courier New"/>
                <w:sz w:val="15"/>
                <w:szCs w:val="15"/>
                <w:color w:val="auto"/>
              </w:rPr>
              <w:t>11.</w:t>
            </w:r>
          </w:p>
        </w:tc>
        <w:tc>
          <w:tcPr>
            <w:tcW w:w="4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 increase (decrease) of equity accounts</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1,428</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1,480</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(14,071)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(11,163)</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1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Balances at September</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30, 2002</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398,735</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140,500</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69,527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34,577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155,150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798,489</w:t>
            </w:r>
          </w:p>
        </w:tc>
      </w:tr>
    </w:tbl>
    <w:p>
      <w:pPr>
        <w:spacing w:after="0" w:line="3"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34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w:t>
      </w:r>
    </w:p>
    <w:p>
      <w:pPr>
        <w:sectPr>
          <w:pgSz w:w="11900" w:h="16838" w:orient="portrait"/>
          <w:cols w:equalWidth="0" w:num="1">
            <w:col w:w="11269"/>
          </w:cols>
          <w:pgMar w:left="231" w:top="1311" w:right="399" w:bottom="1440" w:gutter="0" w:footer="0" w:header="0"/>
        </w:sectPr>
      </w:pPr>
    </w:p>
    <w:bookmarkStart w:id="12" w:name="page13"/>
    <w:bookmarkEnd w:id="12"/>
    <w:p>
      <w:pPr>
        <w:spacing w:after="0" w:line="23" w:lineRule="exact"/>
        <w:rPr>
          <w:sz w:val="20"/>
          <w:szCs w:val="20"/>
          <w:color w:val="auto"/>
        </w:rPr>
      </w:pPr>
    </w:p>
    <w:p>
      <w:pPr>
        <w:jc w:val="center"/>
        <w:ind w:right="4810"/>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jc w:val="center"/>
        <w:ind w:right="4810"/>
        <w:spacing w:after="0"/>
        <w:rPr>
          <w:sz w:val="20"/>
          <w:szCs w:val="20"/>
          <w:color w:val="auto"/>
        </w:rPr>
      </w:pPr>
      <w:r>
        <w:rPr>
          <w:rFonts w:ascii="Courier New" w:cs="Courier New" w:eastAsia="Courier New" w:hAnsi="Courier New"/>
          <w:sz w:val="15"/>
          <w:szCs w:val="15"/>
          <w:color w:val="auto"/>
        </w:rPr>
        <w:t>Statement of Cash Flows</w:t>
      </w:r>
    </w:p>
    <w:p>
      <w:pPr>
        <w:spacing w:after="0" w:line="1" w:lineRule="exact"/>
        <w:rPr>
          <w:sz w:val="20"/>
          <w:szCs w:val="20"/>
          <w:color w:val="auto"/>
        </w:rPr>
      </w:pPr>
    </w:p>
    <w:p>
      <w:pPr>
        <w:jc w:val="center"/>
        <w:ind w:right="4910"/>
        <w:spacing w:after="0"/>
        <w:tabs>
          <w:tab w:leader="none" w:pos="160" w:val="left"/>
        </w:tabs>
        <w:rPr>
          <w:sz w:val="20"/>
          <w:szCs w:val="20"/>
          <w:color w:val="auto"/>
        </w:rPr>
      </w:pPr>
      <w:r>
        <w:rPr>
          <w:rFonts w:ascii="Courier New" w:cs="Courier New" w:eastAsia="Courier New" w:hAnsi="Courier New"/>
          <w:sz w:val="15"/>
          <w:szCs w:val="15"/>
          <w:color w:val="auto"/>
        </w:rPr>
        <w:t>For the periods ended September 30 of</w:t>
      </w:r>
      <w:r>
        <w:rPr>
          <w:sz w:val="20"/>
          <w:szCs w:val="20"/>
          <w:color w:val="auto"/>
        </w:rPr>
        <w:tab/>
      </w:r>
      <w:r>
        <w:rPr>
          <w:rFonts w:ascii="Courier New" w:cs="Courier New" w:eastAsia="Courier New" w:hAnsi="Courier New"/>
          <w:sz w:val="14"/>
          <w:szCs w:val="14"/>
          <w:color w:val="auto"/>
        </w:rPr>
        <w:t>2002 and 2001</w:t>
      </w:r>
    </w:p>
    <w:p>
      <w:pPr>
        <w:spacing w:after="0" w:line="1" w:lineRule="exact"/>
        <w:rPr>
          <w:sz w:val="20"/>
          <w:szCs w:val="20"/>
          <w:color w:val="auto"/>
        </w:rPr>
      </w:pPr>
    </w:p>
    <w:p>
      <w:pPr>
        <w:jc w:val="center"/>
        <w:ind w:right="4890"/>
        <w:spacing w:after="0"/>
        <w:rPr>
          <w:sz w:val="20"/>
          <w:szCs w:val="20"/>
          <w:color w:val="auto"/>
        </w:rPr>
      </w:pPr>
      <w:r>
        <w:rPr>
          <w:rFonts w:ascii="Courier New" w:cs="Courier New" w:eastAsia="Courier New" w:hAnsi="Courier New"/>
          <w:sz w:val="15"/>
          <w:szCs w:val="15"/>
          <w:color w:val="auto"/>
        </w:rPr>
        <w:t>(In Thousands of U.S. Dollars)</w:t>
      </w:r>
    </w:p>
    <w:p>
      <w:pPr>
        <w:spacing w:after="0" w:line="3" w:lineRule="exact"/>
        <w:rPr>
          <w:sz w:val="20"/>
          <w:szCs w:val="20"/>
          <w:color w:val="auto"/>
        </w:rPr>
      </w:pPr>
    </w:p>
    <w:p>
      <w:pPr>
        <w:ind w:left="169" w:hanging="169"/>
        <w:spacing w:after="0"/>
        <w:tabs>
          <w:tab w:leader="none" w:pos="16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54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 the 6 month For the 6 month</w:t>
      </w:r>
    </w:p>
    <w:p>
      <w:pPr>
        <w:ind w:left="55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period Jan.</w:t>
      </w:r>
      <w:r>
        <w:rPr>
          <w:rFonts w:ascii="Courier New" w:cs="Courier New" w:eastAsia="Courier New" w:hAnsi="Courier New"/>
          <w:sz w:val="14"/>
          <w:szCs w:val="14"/>
          <w:color w:val="auto"/>
        </w:rPr>
        <w:t>period Jan.</w:t>
      </w:r>
    </w:p>
    <w:p>
      <w:pPr>
        <w:spacing w:after="0" w:line="1" w:lineRule="exact"/>
        <w:rPr>
          <w:sz w:val="20"/>
          <w:szCs w:val="20"/>
          <w:color w:val="auto"/>
        </w:rPr>
      </w:pPr>
    </w:p>
    <w:p>
      <w:pPr>
        <w:ind w:left="5769"/>
        <w:spacing w:after="0"/>
        <w:tabs>
          <w:tab w:leader="none" w:pos="7169" w:val="left"/>
        </w:tabs>
        <w:rPr>
          <w:sz w:val="20"/>
          <w:szCs w:val="20"/>
          <w:color w:val="auto"/>
        </w:rPr>
      </w:pPr>
      <w:r>
        <w:rPr>
          <w:rFonts w:ascii="Courier New" w:cs="Courier New" w:eastAsia="Courier New" w:hAnsi="Courier New"/>
          <w:sz w:val="15"/>
          <w:szCs w:val="15"/>
          <w:color w:val="auto"/>
        </w:rPr>
        <w:t>1st to</w:t>
      </w:r>
      <w:r>
        <w:rPr>
          <w:sz w:val="20"/>
          <w:szCs w:val="20"/>
          <w:color w:val="auto"/>
        </w:rPr>
        <w:tab/>
      </w:r>
      <w:r>
        <w:rPr>
          <w:rFonts w:ascii="Courier New" w:cs="Courier New" w:eastAsia="Courier New" w:hAnsi="Courier New"/>
          <w:sz w:val="14"/>
          <w:szCs w:val="14"/>
          <w:color w:val="auto"/>
        </w:rPr>
        <w:t>1st to</w:t>
      </w:r>
    </w:p>
    <w:p>
      <w:pPr>
        <w:spacing w:after="0" w:line="1" w:lineRule="exact"/>
        <w:rPr>
          <w:sz w:val="20"/>
          <w:szCs w:val="20"/>
          <w:color w:val="auto"/>
        </w:rPr>
      </w:pPr>
    </w:p>
    <w:p>
      <w:pPr>
        <w:ind w:left="5509"/>
        <w:spacing w:after="0"/>
        <w:tabs>
          <w:tab w:leader="none" w:pos="6909" w:val="left"/>
        </w:tabs>
        <w:rPr>
          <w:sz w:val="20"/>
          <w:szCs w:val="20"/>
          <w:color w:val="auto"/>
        </w:rPr>
      </w:pPr>
      <w:r>
        <w:rPr>
          <w:rFonts w:ascii="Courier New" w:cs="Courier New" w:eastAsia="Courier New" w:hAnsi="Courier New"/>
          <w:sz w:val="15"/>
          <w:szCs w:val="15"/>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1" w:lineRule="exact"/>
        <w:rPr>
          <w:sz w:val="20"/>
          <w:szCs w:val="20"/>
          <w:color w:val="auto"/>
        </w:rPr>
      </w:pPr>
    </w:p>
    <w:p>
      <w:pPr>
        <w:ind w:left="5949"/>
        <w:spacing w:after="0"/>
        <w:tabs>
          <w:tab w:leader="none" w:pos="7349"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3" w:lineRule="exact"/>
        <w:rPr>
          <w:sz w:val="20"/>
          <w:szCs w:val="20"/>
          <w:color w:val="auto"/>
        </w:rPr>
      </w:pPr>
    </w:p>
    <w:p>
      <w:pPr>
        <w:ind w:left="169" w:hanging="169"/>
        <w:spacing w:after="0"/>
        <w:tabs>
          <w:tab w:leader="none" w:pos="16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RECONCILIATION OF NET RESULTS WITH CASH AND CASH EQUIVALENTS PROVIDED BY OPERATIONS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INCOME (LOSS) FOR THE PERIOD</w:t>
            </w:r>
          </w:p>
        </w:tc>
        <w:tc>
          <w:tcPr>
            <w:tcW w:w="2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28,866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28,003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ADJUSTMENTS TO NET RESULTS OF THE PERIOD</w:t>
            </w:r>
          </w:p>
        </w:tc>
        <w:tc>
          <w:tcPr>
            <w:tcW w:w="22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32,828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34,335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Loan loss provision</w:t>
            </w:r>
          </w:p>
        </w:tc>
        <w:tc>
          <w:tcPr>
            <w:tcW w:w="3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87,911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93,963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Provision for securities and seized assets</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20,333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21,285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provisions</w:t>
            </w:r>
          </w:p>
        </w:tc>
        <w:tc>
          <w:tcPr>
            <w:tcW w:w="3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Profit (loss) from the sale of securities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(6,544)</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(1,191)</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Profit (loss) from the sale of properties and equipment</w:t>
            </w:r>
          </w:p>
        </w:tc>
        <w:tc>
          <w:tcPr>
            <w:tcW w:w="16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Others</w:t>
            </w:r>
          </w:p>
        </w:tc>
        <w:tc>
          <w:tcPr>
            <w:tcW w:w="16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169" w:hanging="169"/>
        <w:spacing w:after="0"/>
        <w:tabs>
          <w:tab w:leader="none" w:pos="16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DEBITS AND CREDITS FROM NET CHANGES IN ASSETS AND LIABILITIES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Increase (decrease) in receivables and other accounts</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3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(2,049)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(2,126)</w:t>
            </w:r>
          </w:p>
        </w:tc>
      </w:tr>
    </w:tbl>
    <w:p>
      <w:pPr>
        <w:spacing w:after="0" w:line="3" w:lineRule="exact"/>
        <w:rPr>
          <w:sz w:val="20"/>
          <w:szCs w:val="20"/>
          <w:color w:val="auto"/>
        </w:rPr>
      </w:pPr>
    </w:p>
    <w:p>
      <w:pPr>
        <w:ind w:left="169" w:hanging="169"/>
        <w:spacing w:after="0"/>
        <w:tabs>
          <w:tab w:leader="none" w:pos="16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Increase (decrease) in notes payables and other accounts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payables</w:t>
            </w:r>
          </w:p>
        </w:tc>
        <w:tc>
          <w:tcPr>
            <w:tcW w:w="2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1,171</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35,594</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1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Increase</w:t>
            </w:r>
          </w:p>
        </w:tc>
        <w:tc>
          <w:tcPr>
            <w:tcW w:w="4040" w:type="dxa"/>
            <w:vAlign w:val="bottom"/>
          </w:tcPr>
          <w:p>
            <w:pPr>
              <w:ind w:left="40"/>
              <w:spacing w:after="0"/>
              <w:rPr>
                <w:sz w:val="20"/>
                <w:szCs w:val="20"/>
                <w:color w:val="auto"/>
              </w:rPr>
            </w:pPr>
            <w:r>
              <w:rPr>
                <w:rFonts w:ascii="Courier New" w:cs="Courier New" w:eastAsia="Courier New" w:hAnsi="Courier New"/>
                <w:sz w:val="15"/>
                <w:szCs w:val="15"/>
                <w:color w:val="auto"/>
              </w:rPr>
              <w:t>(decrease) in other assets</w:t>
            </w:r>
          </w:p>
        </w:tc>
        <w:tc>
          <w:tcPr>
            <w:tcW w:w="2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120,302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(20,756)</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1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Increase</w:t>
            </w:r>
          </w:p>
        </w:tc>
        <w:tc>
          <w:tcPr>
            <w:tcW w:w="4040" w:type="dxa"/>
            <w:vAlign w:val="bottom"/>
          </w:tcPr>
          <w:p>
            <w:pPr>
              <w:ind w:left="40"/>
              <w:spacing w:after="0"/>
              <w:rPr>
                <w:sz w:val="20"/>
                <w:szCs w:val="20"/>
                <w:color w:val="auto"/>
              </w:rPr>
            </w:pPr>
            <w:r>
              <w:rPr>
                <w:rFonts w:ascii="Courier New" w:cs="Courier New" w:eastAsia="Courier New" w:hAnsi="Courier New"/>
                <w:sz w:val="15"/>
                <w:szCs w:val="15"/>
                <w:color w:val="auto"/>
              </w:rPr>
              <w:t>(decrease) in other liabilities</w:t>
            </w:r>
          </w:p>
        </w:tc>
        <w:tc>
          <w:tcPr>
            <w:tcW w:w="22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(47,944)</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7,598</w:t>
            </w:r>
          </w:p>
        </w:tc>
      </w:tr>
    </w:tbl>
    <w:p>
      <w:pPr>
        <w:spacing w:after="0" w:line="3" w:lineRule="exact"/>
        <w:rPr>
          <w:sz w:val="20"/>
          <w:szCs w:val="20"/>
          <w:color w:val="auto"/>
        </w:rPr>
      </w:pPr>
    </w:p>
    <w:p>
      <w:pPr>
        <w:ind w:left="169" w:hanging="169"/>
        <w:spacing w:after="0"/>
        <w:tabs>
          <w:tab w:leader="none" w:pos="16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INCREASE (DECREASE) IN CASH AND CASH EQUIVALENTS PROVIDED BY</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3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234,874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196,705</w:t>
            </w:r>
          </w:p>
        </w:tc>
      </w:tr>
    </w:tbl>
    <w:p>
      <w:pPr>
        <w:spacing w:after="0" w:line="3" w:lineRule="exact"/>
        <w:rPr>
          <w:sz w:val="20"/>
          <w:szCs w:val="20"/>
          <w:color w:val="auto"/>
        </w:rPr>
      </w:pPr>
    </w:p>
    <w:p>
      <w:pPr>
        <w:ind w:left="169" w:hanging="169"/>
        <w:spacing w:after="0"/>
        <w:tabs>
          <w:tab w:leader="none" w:pos="16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INVESTING ACTIVITIES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Increase from sale of properties and equipment</w:t>
            </w:r>
          </w:p>
        </w:tc>
        <w:tc>
          <w:tcPr>
            <w:tcW w:w="19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00" w:type="dxa"/>
            <w:vAlign w:val="bottom"/>
            <w:gridSpan w:val="4"/>
          </w:tcPr>
          <w:p>
            <w:pPr>
              <w:spacing w:after="0"/>
              <w:rPr>
                <w:sz w:val="20"/>
                <w:szCs w:val="20"/>
                <w:color w:val="auto"/>
              </w:rPr>
            </w:pPr>
            <w:r>
              <w:rPr>
                <w:rFonts w:ascii="Courier New" w:cs="Courier New" w:eastAsia="Courier New" w:hAnsi="Courier New"/>
                <w:sz w:val="15"/>
                <w:szCs w:val="15"/>
                <w:color w:val="auto"/>
                <w:w w:val="99"/>
              </w:rPr>
              <w:t>Increase from sale of</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other non financial assets</w:t>
            </w: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30,638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Purchase</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properties and equipment</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(8,295)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(12,693)</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Purchase</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other non</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financial assets</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(53,235)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(214,229)</w:t>
            </w:r>
          </w:p>
        </w:tc>
      </w:tr>
    </w:tbl>
    <w:p>
      <w:pPr>
        <w:spacing w:after="0" w:line="3" w:lineRule="exact"/>
        <w:rPr>
          <w:sz w:val="20"/>
          <w:szCs w:val="20"/>
          <w:color w:val="auto"/>
        </w:rPr>
      </w:pPr>
    </w:p>
    <w:p>
      <w:pPr>
        <w:ind w:left="169" w:hanging="169"/>
        <w:spacing w:after="0"/>
        <w:tabs>
          <w:tab w:leader="none" w:pos="16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INCREASE (DECREASE) IN CASH AND CASH EQUIVALENTS PROVIDED BY</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(30,892)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(226,922)</w:t>
            </w:r>
          </w:p>
        </w:tc>
      </w:tr>
    </w:tbl>
    <w:p>
      <w:pPr>
        <w:spacing w:after="0" w:line="3" w:lineRule="exact"/>
        <w:rPr>
          <w:sz w:val="20"/>
          <w:szCs w:val="20"/>
          <w:color w:val="auto"/>
        </w:rPr>
      </w:pPr>
    </w:p>
    <w:p>
      <w:pPr>
        <w:ind w:left="169" w:hanging="169"/>
        <w:spacing w:after="0"/>
        <w:tabs>
          <w:tab w:leader="none" w:pos="16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FINANCING ACTIVITIES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Increase (decrease) net of deposits and obligations</w:t>
            </w:r>
          </w:p>
        </w:tc>
        <w:tc>
          <w:tcPr>
            <w:tcW w:w="18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(118,192)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365,262</w:t>
            </w:r>
          </w:p>
        </w:tc>
      </w:tr>
    </w:tbl>
    <w:p>
      <w:pPr>
        <w:spacing w:after="0" w:line="3" w:lineRule="exact"/>
        <w:rPr>
          <w:sz w:val="20"/>
          <w:szCs w:val="20"/>
          <w:color w:val="auto"/>
        </w:rPr>
      </w:pPr>
    </w:p>
    <w:p>
      <w:pPr>
        <w:ind w:left="169" w:hanging="169"/>
        <w:spacing w:after="0"/>
        <w:tabs>
          <w:tab w:leader="none" w:pos="16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Increase (decrease) net of obligations to banks and</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correspondents</w:t>
            </w:r>
          </w:p>
        </w:tc>
        <w:tc>
          <w:tcPr>
            <w:tcW w:w="3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(36,068)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20,358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Increase (decrease) net of other financial liabilities</w:t>
            </w:r>
          </w:p>
        </w:tc>
        <w:tc>
          <w:tcPr>
            <w:tcW w:w="15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Increase (decrease) capital and capital surplus</w:t>
            </w:r>
          </w:p>
        </w:tc>
        <w:tc>
          <w:tcPr>
            <w:tcW w:w="19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(Increase) decrease net of the loan portfolio</w:t>
            </w:r>
          </w:p>
        </w:tc>
        <w:tc>
          <w:tcPr>
            <w:tcW w:w="20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73,350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60,911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net of investments</w:t>
            </w:r>
          </w:p>
        </w:tc>
        <w:tc>
          <w:tcPr>
            <w:tcW w:w="19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Dividends received (paid)</w:t>
            </w:r>
          </w:p>
        </w:tc>
        <w:tc>
          <w:tcPr>
            <w:tcW w:w="19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of other financial assets</w:t>
            </w:r>
          </w:p>
        </w:tc>
        <w:tc>
          <w:tcPr>
            <w:tcW w:w="19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169" w:hanging="169"/>
        <w:spacing w:after="0"/>
        <w:tabs>
          <w:tab w:leader="none" w:pos="16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INCREASE (DECREASE) IN CASH AND CASH EQUIVALENTS PROVIDED BY</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(80,910)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446,531</w:t>
            </w:r>
          </w:p>
        </w:tc>
      </w:tr>
    </w:tbl>
    <w:p>
      <w:pPr>
        <w:spacing w:after="0" w:line="3" w:lineRule="exact"/>
        <w:rPr>
          <w:sz w:val="20"/>
          <w:szCs w:val="20"/>
          <w:color w:val="auto"/>
        </w:rPr>
      </w:pPr>
    </w:p>
    <w:p>
      <w:pPr>
        <w:ind w:left="169" w:hanging="169"/>
        <w:spacing w:after="0"/>
        <w:tabs>
          <w:tab w:leader="none" w:pos="16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123,072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416,314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62" w:orient="portrait"/>
          <w:cols w:equalWidth="0" w:num="1">
            <w:col w:w="10228"/>
          </w:cols>
          <w:pgMar w:left="231" w:top="1311" w:right="1440" w:bottom="0" w:gutter="0" w:footer="0" w:header="0"/>
        </w:sectPr>
      </w:pPr>
    </w:p>
    <w:bookmarkStart w:id="13" w:name="page14"/>
    <w:bookmarkEnd w:id="13"/>
    <w:tbl>
      <w:tblPr>
        <w:tblLayout w:type="fixed"/>
        <w:tblInd w:w="9"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THE BEGINNING OF THE YEAR</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1,897,452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1,752,577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THE END OF THE YEAR</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2,020,524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2,168,891</w:t>
            </w:r>
          </w:p>
        </w:tc>
      </w:tr>
    </w:tbl>
    <w:p>
      <w:pPr>
        <w:spacing w:after="0" w:line="3" w:lineRule="exact"/>
        <w:rPr>
          <w:sz w:val="20"/>
          <w:szCs w:val="20"/>
          <w:color w:val="auto"/>
        </w:rPr>
      </w:pPr>
    </w:p>
    <w:p>
      <w:pPr>
        <w:ind w:left="169" w:hanging="169"/>
        <w:spacing w:after="0"/>
        <w:tabs>
          <w:tab w:leader="none" w:pos="16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34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139" w:right="1440" w:bottom="1440" w:gutter="0" w:footer="0" w:header="0"/>
        </w:sectPr>
      </w:pPr>
    </w:p>
    <w:bookmarkStart w:id="14" w:name="page15"/>
    <w:bookmarkEnd w:id="14"/>
    <w:tbl>
      <w:tblPr>
        <w:tblLayout w:type="fixed"/>
        <w:tblInd w:w="9"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FOR IMMEDIATE RELEASE:</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For additional information please contact:</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Jose Hung</w:t>
            </w:r>
          </w:p>
        </w:tc>
        <w:tc>
          <w:tcPr>
            <w:tcW w:w="29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Alfredo Montero</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Investor Relations</w:t>
            </w:r>
          </w:p>
        </w:tc>
        <w:tc>
          <w:tcPr>
            <w:tcW w:w="29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Banco de Credito</w:t>
            </w:r>
          </w:p>
        </w:tc>
        <w:tc>
          <w:tcPr>
            <w:tcW w:w="29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Banco de Credito, Miamigency</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Phone: (511) 349-0590</w:t>
            </w: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w w:val="99"/>
              </w:rPr>
              <w:t>Phone: (305)</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448-0971</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E-mail: jhung@bcp.com.pe</w:t>
            </w: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w w:val="99"/>
              </w:rPr>
              <w:t>Fax:   (305)</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448-0981</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Web site: http://www.credicorpnet.com</w:t>
            </w:r>
          </w:p>
        </w:tc>
        <w:tc>
          <w:tcPr>
            <w:tcW w:w="298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E-mail: amontero@bcpmiami.com</w:t>
            </w:r>
          </w:p>
        </w:tc>
      </w:tr>
    </w:tbl>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CREDICORP LTD. ANNOUNCES FINANCIAL RESULTS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QUARTER ENDED SEPTEMBER 30, 2002</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(Lima, Peru, November 14, 2002) - Credicorp Ltd. ("Credicorp") (NYSE:BAP; LSE:BAPC1) today announced its financial results for the quarter ended September 30, 2002.</w:t>
      </w:r>
    </w:p>
    <w:p>
      <w:pPr>
        <w:spacing w:after="0" w:line="175"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For the nine month period ended September 30, 2002, Credicorp reported a consolidated net income of US$28.9 million, slightly over US$28.0 million obtained in the same period of year 2001, resulting in US$0.36 and US$0.35 per share, respectively. In the third quarter 2002, Credicorp had net income of US$3.1 million, or US$0.04 per share, compared to US$11.1 million in the same period of year 2001, or US$0.14 per share. Results in the first nine months of 2002 were slightly over the same period in 2001, being noteworthy the reduced net interest income and higher income taxes in the current year period, which were offset by higher non-financial income, lower loan loss provisions and decreased operating expenses. The third quarter 2002 net income declined compared to results in the same quarter of 2001 mainly because of lower net interest income, partly offset by higher non-financial income and lower operating expenses.</w:t>
      </w:r>
    </w:p>
    <w:p>
      <w:pPr>
        <w:spacing w:after="0" w:line="178"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I. CREDICORP LTD. AND SUBSIDIARIES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SUMMARY OF RESULTS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 U.S.$ millions, except net income per share)</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189"/>
        <w:spacing w:after="0"/>
        <w:tabs>
          <w:tab w:leader="none" w:pos="5569"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9"/>
        <w:spacing w:after="0"/>
        <w:tabs>
          <w:tab w:leader="none" w:pos="3709" w:val="left"/>
          <w:tab w:leader="none" w:pos="4589" w:val="left"/>
          <w:tab w:leader="none" w:pos="5489" w:val="left"/>
          <w:tab w:leader="none" w:pos="6449" w:val="left"/>
        </w:tabs>
        <w:rPr>
          <w:sz w:val="20"/>
          <w:szCs w:val="20"/>
          <w:color w:val="auto"/>
        </w:rPr>
      </w:pPr>
      <w:r>
        <w:rPr>
          <w:rFonts w:ascii="Courier New" w:cs="Courier New" w:eastAsia="Courier New" w:hAnsi="Courier New"/>
          <w:sz w:val="15"/>
          <w:szCs w:val="15"/>
          <w:color w:val="auto"/>
        </w:rPr>
        <w:t>30.09.01</w:t>
        <w:tab/>
        <w:t>30.06.02</w:t>
        <w:tab/>
        <w:t>30.09.02</w:t>
        <w:tab/>
        <w:t>30.09.01</w:t>
        <w:tab/>
        <w:t>30.09.02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94.4</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90.4</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77.5</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281.7</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256.1</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Provisions for possible loan</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losses, net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30.0</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30.3</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32.2</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94.0</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87.9</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81.2</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89.5</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89.6</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241.1</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266.7</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Claims on insurance activities</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24.4</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26.9</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25.5</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75.0</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73.4</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102.6</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100.5</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94.9</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305.0</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295.9</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Translation result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(0.9)</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Income before income tax and</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920" w:type="dxa"/>
            <w:vAlign w:val="bottom"/>
          </w:tcPr>
          <w:p>
            <w:pPr>
              <w:ind w:left="520"/>
              <w:spacing w:after="0"/>
              <w:rPr>
                <w:sz w:val="20"/>
                <w:szCs w:val="20"/>
                <w:color w:val="auto"/>
              </w:rPr>
            </w:pPr>
            <w:r>
              <w:rPr>
                <w:rFonts w:ascii="Courier New" w:cs="Courier New" w:eastAsia="Courier New" w:hAnsi="Courier New"/>
                <w:sz w:val="15"/>
                <w:szCs w:val="15"/>
                <w:color w:val="auto"/>
              </w:rPr>
              <w:t>minority interest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17.9</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22.2</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13.7</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45.5</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Income Tax</w:t>
            </w:r>
          </w:p>
        </w:tc>
        <w:tc>
          <w:tcPr>
            <w:tcW w:w="1360" w:type="dxa"/>
            <w:vAlign w:val="bottom"/>
          </w:tcPr>
          <w:p>
            <w:pPr>
              <w:ind w:left="660"/>
              <w:spacing w:after="0"/>
              <w:rPr>
                <w:sz w:val="20"/>
                <w:szCs w:val="20"/>
                <w:color w:val="auto"/>
              </w:rPr>
            </w:pPr>
            <w:r>
              <w:rPr>
                <w:rFonts w:ascii="Courier New" w:cs="Courier New" w:eastAsia="Courier New" w:hAnsi="Courier New"/>
                <w:sz w:val="15"/>
                <w:szCs w:val="15"/>
                <w:color w:val="auto"/>
              </w:rPr>
              <w:t>(3.6)</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(9.1)</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(26.6)</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360" w:type="dxa"/>
            <w:vAlign w:val="bottom"/>
          </w:tcPr>
          <w:p>
            <w:pPr>
              <w:ind w:left="660"/>
              <w:spacing w:after="0"/>
              <w:rPr>
                <w:sz w:val="20"/>
                <w:szCs w:val="20"/>
                <w:color w:val="auto"/>
              </w:rPr>
            </w:pPr>
            <w:r>
              <w:rPr>
                <w:rFonts w:ascii="Courier New" w:cs="Courier New" w:eastAsia="Courier New" w:hAnsi="Courier New"/>
                <w:sz w:val="15"/>
                <w:szCs w:val="15"/>
                <w:color w:val="auto"/>
              </w:rPr>
              <w:t>(3.2)</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(2.1)</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1"/>
        </w:trPr>
        <w:tc>
          <w:tcPr>
            <w:tcW w:w="2440" w:type="dxa"/>
            <w:vAlign w:val="bottom"/>
          </w:tcPr>
          <w:p>
            <w:pPr>
              <w:ind w:left="880"/>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ind w:left="660"/>
              <w:spacing w:after="0"/>
              <w:rPr>
                <w:sz w:val="20"/>
                <w:szCs w:val="20"/>
                <w:color w:val="auto"/>
              </w:rPr>
            </w:pPr>
            <w:r>
              <w:rPr>
                <w:rFonts w:ascii="Courier New" w:cs="Courier New" w:eastAsia="Courier New" w:hAnsi="Courier New"/>
                <w:sz w:val="15"/>
                <w:szCs w:val="15"/>
                <w:color w:val="auto"/>
              </w:rPr>
              <w:t>11.1</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11.0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28.0</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3089" w:val="left"/>
          <w:tab w:leader="none" w:pos="4069" w:val="left"/>
          <w:tab w:leader="none" w:pos="4949" w:val="left"/>
          <w:tab w:leader="none" w:pos="5829" w:val="left"/>
          <w:tab w:leader="none" w:pos="6809" w:val="left"/>
        </w:tabs>
        <w:rPr>
          <w:sz w:val="20"/>
          <w:szCs w:val="20"/>
          <w:color w:val="auto"/>
        </w:rPr>
      </w:pPr>
      <w:r>
        <w:rPr>
          <w:rFonts w:ascii="Courier New" w:cs="Courier New" w:eastAsia="Courier New" w:hAnsi="Courier New"/>
          <w:sz w:val="15"/>
          <w:szCs w:val="15"/>
          <w:color w:val="auto"/>
        </w:rPr>
        <w:t>Net Income per share (1)</w:t>
      </w:r>
      <w:r>
        <w:rPr>
          <w:sz w:val="20"/>
          <w:szCs w:val="20"/>
          <w:color w:val="auto"/>
        </w:rPr>
        <w:tab/>
      </w:r>
      <w:r>
        <w:rPr>
          <w:rFonts w:ascii="Courier New" w:cs="Courier New" w:eastAsia="Courier New" w:hAnsi="Courier New"/>
          <w:sz w:val="15"/>
          <w:szCs w:val="15"/>
          <w:color w:val="auto"/>
        </w:rPr>
        <w:t>0.14</w:t>
      </w:r>
      <w:r>
        <w:rPr>
          <w:sz w:val="20"/>
          <w:szCs w:val="20"/>
          <w:color w:val="auto"/>
        </w:rPr>
        <w:tab/>
      </w:r>
      <w:r>
        <w:rPr>
          <w:rFonts w:ascii="Courier New" w:cs="Courier New" w:eastAsia="Courier New" w:hAnsi="Courier New"/>
          <w:sz w:val="15"/>
          <w:szCs w:val="15"/>
          <w:color w:val="auto"/>
        </w:rPr>
        <w:t>0.14</w:t>
      </w:r>
      <w:r>
        <w:rPr>
          <w:sz w:val="20"/>
          <w:szCs w:val="20"/>
          <w:color w:val="auto"/>
        </w:rPr>
        <w:tab/>
      </w:r>
      <w:r>
        <w:rPr>
          <w:rFonts w:ascii="Courier New" w:cs="Courier New" w:eastAsia="Courier New" w:hAnsi="Courier New"/>
          <w:sz w:val="15"/>
          <w:szCs w:val="15"/>
          <w:color w:val="auto"/>
        </w:rPr>
        <w:t>0.04</w:t>
      </w:r>
      <w:r>
        <w:rPr>
          <w:sz w:val="20"/>
          <w:szCs w:val="20"/>
          <w:color w:val="auto"/>
        </w:rPr>
        <w:tab/>
      </w:r>
      <w:r>
        <w:rPr>
          <w:rFonts w:ascii="Courier New" w:cs="Courier New" w:eastAsia="Courier New" w:hAnsi="Courier New"/>
          <w:sz w:val="15"/>
          <w:szCs w:val="15"/>
          <w:color w:val="auto"/>
        </w:rPr>
        <w:t>0.35</w:t>
      </w:r>
      <w:r>
        <w:rPr>
          <w:sz w:val="20"/>
          <w:szCs w:val="20"/>
          <w:color w:val="auto"/>
        </w:rPr>
        <w:tab/>
      </w:r>
      <w:r>
        <w:rPr>
          <w:rFonts w:ascii="Courier New" w:cs="Courier New" w:eastAsia="Courier New" w:hAnsi="Courier New"/>
          <w:sz w:val="15"/>
          <w:szCs w:val="15"/>
          <w:color w:val="auto"/>
        </w:rPr>
        <w:t>0.36</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left="449" w:right="3119" w:hanging="449"/>
        <w:spacing w:after="0" w:line="239"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79.8 million net outstanding shares at 2Q02 and 3Q02, 80.2 million in other periods. The total number of shares is 94.4 million, however, as 14.6 million are held by affiliates as treasury shares, the net consolidated outstanding shares are 79.8 million.</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628" w:right="1440" w:bottom="1440" w:gutter="0" w:footer="0" w:header="0"/>
        </w:sectPr>
      </w:pPr>
    </w:p>
    <w:bookmarkStart w:id="15" w:name="page16"/>
    <w:bookmarkEnd w:id="15"/>
    <w:p>
      <w:pPr>
        <w:spacing w:after="0"/>
        <w:tabs>
          <w:tab w:leader="none" w:pos="420" w:val="left"/>
        </w:tabs>
        <w:rPr>
          <w:sz w:val="20"/>
          <w:szCs w:val="20"/>
          <w:color w:val="auto"/>
        </w:rPr>
      </w:pPr>
      <w:r>
        <w:rPr>
          <w:rFonts w:ascii="Courier New" w:cs="Courier New" w:eastAsia="Courier New" w:hAnsi="Courier New"/>
          <w:sz w:val="15"/>
          <w:szCs w:val="15"/>
          <w:color w:val="auto"/>
        </w:rPr>
        <w:t>I.1</w:t>
        <w:tab/>
        <w:t>PERUVIAN ECONOMIC SITUATION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GDP growth, that was 3.8% in both July and August 2002, exceeded expectations. After a 7.5% increase in April. With growth of 3.0% achieved in the first quarter 2002, and 5.3% in the second quarter, cumulative growth through August 2002 reached 4.1%, compared to a 1.2% decline in the same period of 2001. GDP figures confirm a recovery, with continuous increases since August 2001, but which is perceived as weak and uneven. Growth of last July and August is partly due to increased tax collections, that benefitted from non-recurrent administrative changes. Nevertheless, the recovery of the construction sector, of non-primary manufacturing (which include cement production) and of consumption is noteworthy. In the following months GDP will slowdown after passing the Antamina effect and because internal demand continues depressed, affected by the low level of investment.</w:t>
      </w:r>
    </w:p>
    <w:p>
      <w:pPr>
        <w:spacing w:after="0" w:line="180"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Cumulative GDP growth through August 2002 was 4.1%, with increases in all sectors except Fishing (-3.2%), with the highest growth rates seen in the Mining (16.5%), Construction (9.3%), Electricity and Water (5.4%) and Agriculture</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(5.0%). Manufacturing grows 2.6% and, since the second quarter 2002, due to growth in non-primary production, where increased textiles, food production and non-metallic minerals (cement) should be noted. Compared to the preceding year, through August 2001 GDP declined -1.2%, decreasing mostly Construction (-10.5%), Fishing (-5.8%), Manufacturing (-2.0%) and Agriculture (-1.6%).</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Continuing a positive trend that began in the last quarter of last year, aggregate demand data, available only through August of 2002, show that Internal Demand increased 3.2% in that period, after increasing 1.2% and 4.0% in the first and second quarters of 2002, repectively. Growth in the second quarter 2002, is mostly due to increased private and public consumption, 4.2% and 4.6%, respectively. Nevertheless, total investment declined -1.9% in the second quarter, consecutively dropping since the third quarter of 2000.</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third quarter of 2002, the consumer price index in Peru increased 0.6%, similar to inflation in the preceding quarter which changed deflations in the four preceding quarters. Consumer price inflation in the current period is mainly due to higher fuel prices, public services and housing. Cumulative inflation through September 2002 was 1.2%, and remains below the 2.5% target established for total 2002 by the Central Bank.</w:t>
      </w:r>
    </w:p>
    <w:p>
      <w:pPr>
        <w:spacing w:after="0" w:line="175"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The average bank market Nuevos Soles exchange rate in Peru was S/.3.644 at September 30, 2002, devaluing 3.8% in the quarter, which continued increases since last May, for a total of 5.8% devaluation since year-end 2001.</w:t>
      </w:r>
    </w:p>
    <w:p>
      <w:pPr>
        <w:spacing w:after="0" w:line="15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International reserves of the Central Bank continued their positive trend during the third quarter of 2002, growing from US$9,126 million at June 30, 2002 to US$9,857 million at September 30.</w:t>
      </w:r>
    </w:p>
    <w:p>
      <w:pPr>
        <w:spacing w:after="0" w:line="175"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During the third quarter 2002 both deposit and loan volumes had a slight positive trend. Deposits in the fifteen commercial banks in the system reached S/.49.4 billion (US$13.6 billion), according to the Asociacion de Bancos del Peru (ASBANC) as of September 30, 2002, a 6.2% increase in nominal terms compared to June 30, 2002, partly due to the devaluation in the period.</w:t>
      </w:r>
    </w:p>
    <w:p>
      <w:pPr>
        <w:spacing w:after="0" w:line="162"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During the quarter ended September 30, 2002, total loans in the banking system increased 1.9%, in nominal terms, to S/.37.7 billion (US$10.4 billion), and grow 4.7% with respect to the year-ago loan balances. During the quarter, local currency loans (18.9% of total loans) grew 1.6%, while foreign currency loans decreased 1.7% (in U.S. Dollar terms).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As of September 30, 2002, the Peruvian bank's average past due ratio was 8.2%, similar to the rate in June 2002, but is lower than the 10.1% past due ratio at September 2001. It should be noted that these ratios are below actual ones due to the benefits of government sponsored programs that exchanged Treasury Bonds for past due loans. BCP decided not to take advantage of these programs.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Commercial banks' past due loans increased 2.7% during the current quarter to S/.3.1 billion (US$851 million), but are lower by 14.6% compared to bad loans at September 2001 (in nominal terms). At September 30, 2002, loan loss provisions were S/.3.9 billion (US$1.1 billion), 2.0% higher during this quarter. The system-wide past due loan coverage ratio remained at approximately 124.2% since last June.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16" w:name="page17"/>
    <w:bookmarkEnd w:id="16"/>
    <w:p>
      <w:pPr>
        <w:ind w:left="9" w:right="3219" w:firstLine="444"/>
        <w:spacing w:after="0" w:line="259" w:lineRule="auto"/>
        <w:rPr>
          <w:sz w:val="20"/>
          <w:szCs w:val="20"/>
          <w:color w:val="auto"/>
        </w:rPr>
      </w:pPr>
      <w:r>
        <w:rPr>
          <w:rFonts w:ascii="Courier New" w:cs="Courier New" w:eastAsia="Courier New" w:hAnsi="Courier New"/>
          <w:sz w:val="14"/>
          <w:szCs w:val="14"/>
          <w:color w:val="auto"/>
        </w:rPr>
        <w:t>During the third quarter 2002 commercial banks' local currency interest rates increased, changing their negative trend due to the exchange rate volatility and the Central Bank's policy change in favor of monetary contraction. Local currency average loan rates (TAMN) were 20.4% in third quarter 2002, increasing from 19.9% in the preceding second quarter of 2002, while deposits rates (TIPMN) grew to 3.4% from 3.0%, respectively. The average local currency interbank rates increased from 2.6% in second quarter of 2002 to 5.6% in the current quarter. Foreign currency loan rates (TAMEX) were 10.0% in third quarter 2002, lower than 10.1% in the preceding period, while deposit rates (TIPMEX) decreased to 1.5% from 1.6% in the second quarter of 2002.</w:t>
      </w:r>
    </w:p>
    <w:p>
      <w:pPr>
        <w:spacing w:after="0" w:line="334"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I.2</w:t>
        <w:tab/>
        <w:t>INTEREST INCOME AND OTHER INCOME</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Net interest income in the third quarter of 2002 was US$77.5 million, 17.9%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less than that earned in the same period of 2001, mostly due to lower loan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volumes and decreased interest rates on loans and on fixed income securities.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Loans declined mostly due to the sale of Banco Capirtal and to lower volume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Bolivian subsidiary. The net interest margin (net interest income over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average interest earning assets), on an annualized basis, was 5.37% during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third quarter of 2002, lower than 5.97% in the year-ago quarter, and compared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6.30% in the second quarter 2002. Net interest margin decreased with respect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preceding quarter principally due to lower lending rates in local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foreign currency, noting an overall excess of liquid funds, and lower returns 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fixed income securities specially in Banco Tequendama. The volume in interest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earning assets, as an average between quarterly ending balances, reached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US$5,772 million in the period, decreasing 8.7% compared to US$6,325 million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third quarter of 2001.</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Non-interest income was US$89.6 million in the third quarter of 2002, increasing 10.5% compared to US$81.2 million in the same period of 2001, principally due to increased fee income and from insurance premiums. Income from banking fees in the third quarter of 2002 increased 11.8% compared to revenue in the year-ago period, reaching US$43.8 million. Losses on sale of securities grew to US$5.7 million in the current quarter mostly from lower value of the fixed income portfolio in ASHC and Banco Tequendama, due to Colombian Peso devaluation. Non-interest income components were as follows: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80" w:type="dxa"/>
            <w:vAlign w:val="bottom"/>
          </w:tcPr>
          <w:p>
            <w:pPr>
              <w:ind w:left="3540"/>
              <w:spacing w:after="0"/>
              <w:rPr>
                <w:sz w:val="20"/>
                <w:szCs w:val="20"/>
                <w:color w:val="auto"/>
              </w:rPr>
            </w:pPr>
            <w:r>
              <w:rPr>
                <w:rFonts w:ascii="Courier New" w:cs="Courier New" w:eastAsia="Courier New" w:hAnsi="Courier New"/>
                <w:sz w:val="15"/>
                <w:szCs w:val="15"/>
                <w:color w:val="auto"/>
              </w:rPr>
              <w:t>3Q01</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2Q02</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3Q02</w:t>
            </w:r>
          </w:p>
        </w:tc>
        <w:tc>
          <w:tcPr>
            <w:tcW w:w="11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3Q02 vs.</w:t>
            </w:r>
          </w:p>
        </w:tc>
        <w:tc>
          <w:tcPr>
            <w:tcW w:w="80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3Q02 vs.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 US$Mn)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2Q02</w:t>
            </w:r>
          </w:p>
        </w:tc>
        <w:tc>
          <w:tcPr>
            <w:tcW w:w="80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4"/>
              </w:rPr>
              <w:t>3Q01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Commissions for banking services(1)</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39.2</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41.2</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Net premiums</w:t>
            </w:r>
          </w:p>
        </w:tc>
        <w:tc>
          <w:tcPr>
            <w:tcW w:w="16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31.4</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Gains from sale of</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N/A</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Gains from foreign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exchange</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Other non-interest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Total Non-Interest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81.1</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89.5</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89.6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left="449" w:right="3119" w:hanging="449"/>
        <w:spacing w:after="0"/>
        <w:tabs>
          <w:tab w:leader="none" w:pos="4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Credicorp's results show reclassifications by BCP, made on prior periods for comparison purposes, in the income from banking fees and general expenses concepts, of expenses incurred to provide certain services and recovered from clients through fees. Starting in 2Q02, financial statements show fee income net of these expenses, which were previously reported as part of general expenses.</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631" w:right="1440" w:bottom="1440" w:gutter="0" w:footer="0" w:header="0"/>
        </w:sectPr>
      </w:pPr>
    </w:p>
    <w:bookmarkStart w:id="17" w:name="page18"/>
    <w:bookmarkEnd w:id="17"/>
    <w:p>
      <w:pPr>
        <w:spacing w:after="0"/>
        <w:tabs>
          <w:tab w:leader="none" w:pos="420" w:val="left"/>
        </w:tabs>
        <w:rPr>
          <w:sz w:val="20"/>
          <w:szCs w:val="20"/>
          <w:color w:val="auto"/>
        </w:rPr>
      </w:pPr>
      <w:r>
        <w:rPr>
          <w:rFonts w:ascii="Courier New" w:cs="Courier New" w:eastAsia="Courier New" w:hAnsi="Courier New"/>
          <w:sz w:val="15"/>
          <w:szCs w:val="15"/>
          <w:color w:val="auto"/>
        </w:rPr>
        <w:t>I.3</w:t>
        <w:tab/>
        <w:t>OTHER NON-INTEREST EXPENSES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non-interest expenses, which include provisions for assets received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lieu of loan repayment and employee profit sharing expense, amounted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US$94.9 million in third quarter 2002, 7.6% lower than in the same period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 year. Credicorp's other expense components had the following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ind w:left="3360"/>
              <w:spacing w:after="0"/>
              <w:rPr>
                <w:sz w:val="20"/>
                <w:szCs w:val="20"/>
                <w:color w:val="auto"/>
              </w:rPr>
            </w:pPr>
            <w:r>
              <w:rPr>
                <w:rFonts w:ascii="Courier New" w:cs="Courier New" w:eastAsia="Courier New" w:hAnsi="Courier New"/>
                <w:sz w:val="15"/>
                <w:szCs w:val="15"/>
                <w:color w:val="auto"/>
              </w:rPr>
              <w:t>3Q01</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2Q02</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3Q02</w:t>
            </w:r>
          </w:p>
        </w:tc>
        <w:tc>
          <w:tcPr>
            <w:tcW w:w="10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3Q02 vs.</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3Q02 vs.</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 change and US$Mn)</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2Q02</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3Q01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Salaries and employee benefits</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44.8</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General, administrative, and</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taxes(1)</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33.7</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-45.6%</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Total Other Expenses</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102.6</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See note in the preceding table.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efficiency ratio (adjusted operating expenses, determined by netting provisions for assets received in lieu of loan repayment, employee profit sharing expenses and non-recurrent expenses) as a percentage of total income, without extraordinary concepts, improved to 49.1% in the third quarter of 2002 having been 53.9% in the same period last year. As explained in Section II.4, BCP registered US$5.2 million of non-recurrent expenses in this quarter. Adjusted operating expenses as a percentage of average total assets was 4.5% the current period, lower than 4.7% in the year-ago quarter.</w:t>
      </w:r>
    </w:p>
    <w:p>
      <w:pPr>
        <w:spacing w:after="0" w:line="34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I.4</w:t>
        <w:tab/>
        <w:t>ASSETS AND LIABILITIES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Credicorp's totals assets were US$7.4 billion at September 30, 2002, 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 the balance at the start of the quarter, but declines 7.9% compared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at September 2001. The loan portfolio as of September 30, 2002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US$3.9 billion, decreasing 4.4% during the present quarter, and are 10.3% lower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the balance of September 2001. Deposits and other obligations reached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US$5.6 billion at September 30, 2002, a 2.2% increase with respect to June 2002,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but decrease 6.6% in the year since September 2001. Due to banks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correspondents, which closed at US$305.4 million, remained almost unchanged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present quarter, but are 36.4% lower than the US$479.7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at September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quality indicators are shown in the following table: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(In US$Mn)</w:t>
            </w:r>
          </w:p>
        </w:tc>
        <w:tc>
          <w:tcPr>
            <w:tcW w:w="1300" w:type="dxa"/>
            <w:vAlign w:val="bottom"/>
          </w:tcPr>
          <w:p>
            <w:pPr>
              <w:ind w:left="660"/>
              <w:spacing w:after="0"/>
              <w:rPr>
                <w:sz w:val="20"/>
                <w:szCs w:val="20"/>
                <w:color w:val="auto"/>
              </w:rPr>
            </w:pPr>
            <w:r>
              <w:rPr>
                <w:rFonts w:ascii="Courier New" w:cs="Courier New" w:eastAsia="Courier New" w:hAnsi="Courier New"/>
                <w:sz w:val="15"/>
                <w:szCs w:val="15"/>
                <w:color w:val="auto"/>
              </w:rPr>
              <w:t>3Q01</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2Q02</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3Q02</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gridSpan w:val="4"/>
          </w:tcPr>
          <w:p>
            <w:pPr>
              <w:spacing w:after="0"/>
              <w:rPr>
                <w:sz w:val="20"/>
                <w:szCs w:val="20"/>
                <w:color w:val="auto"/>
              </w:rPr>
            </w:pPr>
            <w:r>
              <w:rPr>
                <w:rFonts w:ascii="Courier New" w:cs="Courier New" w:eastAsia="Courier New" w:hAnsi="Courier New"/>
                <w:sz w:val="15"/>
                <w:szCs w:val="15"/>
                <w:color w:val="auto"/>
              </w:rPr>
              <w:t>Total loans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4,313.5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4,045.4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3,869.6</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Past due</w:t>
            </w: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loans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316.3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310.4</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Loan</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loss reserves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355.8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310.8</w:t>
            </w:r>
          </w:p>
        </w:tc>
      </w:tr>
      <w:tr>
        <w:trPr>
          <w:trHeight w:val="341"/>
        </w:trPr>
        <w:tc>
          <w:tcPr>
            <w:tcW w:w="400" w:type="dxa"/>
            <w:vAlign w:val="bottom"/>
          </w:tcPr>
          <w:p>
            <w:pPr>
              <w:spacing w:after="0"/>
              <w:rPr>
                <w:sz w:val="20"/>
                <w:szCs w:val="20"/>
                <w:color w:val="auto"/>
              </w:rPr>
            </w:pPr>
            <w:r>
              <w:rPr>
                <w:rFonts w:ascii="Courier New" w:cs="Courier New" w:eastAsia="Courier New" w:hAnsi="Courier New"/>
                <w:sz w:val="15"/>
                <w:szCs w:val="15"/>
                <w:color w:val="auto"/>
              </w:rPr>
              <w:t>Past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due</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Total loans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Reserves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Past due</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100.1%</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balance of past due loans decreased from US$316.3 million in the preceding quarter to US$310.4 million at the end of the current quarter, after charge-offs amounting to US$27.1 million.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18" w:name="page19"/>
    <w:bookmarkEnd w:id="18"/>
    <w:p>
      <w:pPr>
        <w:ind w:left="9"/>
        <w:spacing w:after="0"/>
        <w:tabs>
          <w:tab w:leader="none" w:pos="429" w:val="left"/>
        </w:tabs>
        <w:rPr>
          <w:sz w:val="20"/>
          <w:szCs w:val="20"/>
          <w:color w:val="auto"/>
        </w:rPr>
      </w:pPr>
      <w:r>
        <w:rPr>
          <w:rFonts w:ascii="Courier New" w:cs="Courier New" w:eastAsia="Courier New" w:hAnsi="Courier New"/>
          <w:sz w:val="15"/>
          <w:szCs w:val="15"/>
          <w:color w:val="auto"/>
        </w:rPr>
        <w:t>I.5</w:t>
        <w:tab/>
        <w:t>SUBSIDIARIES</w:t>
      </w:r>
    </w:p>
    <w:p>
      <w:pPr>
        <w:spacing w:after="0" w:line="174" w:lineRule="exact"/>
        <w:rPr>
          <w:sz w:val="20"/>
          <w:szCs w:val="20"/>
          <w:color w:val="auto"/>
        </w:rPr>
      </w:pPr>
    </w:p>
    <w:p>
      <w:pPr>
        <w:ind w:left="9" w:right="3479"/>
        <w:spacing w:after="0" w:line="238" w:lineRule="auto"/>
        <w:rPr>
          <w:sz w:val="20"/>
          <w:szCs w:val="20"/>
          <w:color w:val="auto"/>
        </w:rPr>
      </w:pPr>
      <w:r>
        <w:rPr>
          <w:rFonts w:ascii="Courier New" w:cs="Courier New" w:eastAsia="Courier New" w:hAnsi="Courier New"/>
          <w:sz w:val="15"/>
          <w:szCs w:val="15"/>
          <w:color w:val="auto"/>
        </w:rPr>
        <w:t>Credicorp's principal subsidiaries contributed to consolidated net income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(US$Mn)</w:t>
            </w:r>
          </w:p>
        </w:tc>
        <w:tc>
          <w:tcPr>
            <w:tcW w:w="1680" w:type="dxa"/>
            <w:vAlign w:val="bottom"/>
          </w:tcPr>
          <w:p>
            <w:pPr>
              <w:ind w:left="1020"/>
              <w:spacing w:after="0"/>
              <w:rPr>
                <w:sz w:val="20"/>
                <w:szCs w:val="20"/>
                <w:color w:val="auto"/>
              </w:rPr>
            </w:pPr>
            <w:r>
              <w:rPr>
                <w:rFonts w:ascii="Courier New" w:cs="Courier New" w:eastAsia="Courier New" w:hAnsi="Courier New"/>
                <w:sz w:val="15"/>
                <w:szCs w:val="15"/>
                <w:color w:val="auto"/>
              </w:rPr>
              <w:t>3Q01</w:t>
            </w:r>
          </w:p>
        </w:tc>
        <w:tc>
          <w:tcPr>
            <w:tcW w:w="980" w:type="dxa"/>
            <w:vAlign w:val="bottom"/>
          </w:tcPr>
          <w:p>
            <w:pPr>
              <w:ind w:left="300"/>
              <w:spacing w:after="0"/>
              <w:rPr>
                <w:sz w:val="20"/>
                <w:szCs w:val="20"/>
                <w:color w:val="auto"/>
              </w:rPr>
            </w:pPr>
            <w:r>
              <w:rPr>
                <w:rFonts w:ascii="Courier New" w:cs="Courier New" w:eastAsia="Courier New" w:hAnsi="Courier New"/>
                <w:sz w:val="15"/>
                <w:szCs w:val="15"/>
                <w:color w:val="auto"/>
              </w:rPr>
              <w:t>2Q02</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3Q02</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9m01</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9m02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Banco de Credito</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US$15.6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US$13.3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US$10.0</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US$34.0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US$37.3</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Atlantic</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PPS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Banco Tequendama</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Credicorp and others*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-6.6</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w:t>
            </w:r>
          </w:p>
        </w:tc>
      </w:tr>
      <w:tr>
        <w:trPr>
          <w:trHeight w:val="34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Consolidated Net Income</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US$11.1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US$11.0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US$ 3.1</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US$28.0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US$28.8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left="9" w:right="3579" w:hanging="9"/>
        <w:spacing w:after="0" w:line="238" w:lineRule="auto"/>
        <w:tabs>
          <w:tab w:leader="none" w:pos="1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Inversiones Credito and Grupo Capital (for contributions through Nov. 2001).</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preceding table, the Credicorp and others concept contribute a loss of US$6.6 million in the current quarter, which is mostly due to exchange losses of US$2.8 million caused by the devaluation of the Colombian Peso and the Venezuelan Bolivar, and of US$3.8 million of provisions on impaired assets transferred from Banco Tequendama. Compared to the third quarter of 2001, Credicorp made US$0.2 million in provisions related to similar substandard loans and foreclosed assets transferred from Banco Tequendama, totalling US$2.4 million through September 2001.</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present quarter, BCP contributed US$10.0 million to Credicorp's net income, while its results according to Peruvian accounting principles reported in Section II, amounted to US$16.8 million, with the difference mainly due to lower translation gains registered on Credicorp's records (US$1.9 million) compared to inflation adjustment gains (US$7.5 million), which includes exchange gains on foreign currency asset positions in BCP's accounting based on domestic currency.</w:t>
      </w:r>
    </w:p>
    <w:p>
      <w:pPr>
        <w:spacing w:after="0" w:line="176"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In the case of PPS's contribution (US$2.7 million) to Credicorp's net income in this quarter, the difference with local books figures (US$3.4 million) is mostly explained by the deduction of minority interests (US$0.8 million) in PPS.</w:t>
      </w:r>
    </w:p>
    <w:p>
      <w:pPr>
        <w:spacing w:after="0" w:line="176"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Banco Tequendama contributed with a net loss of US$3.1 million to the consolidated net income in the third quarter of 2002, mostly due to value impairment of investments (US$3.0 million) and translation losses from devaluation of the Colombian Peso (US$1.5 million), which are in addition to translation losses registered by Credicorp as mentioned above.</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Below are brief comments on some of the subsidiaries not discussed in the following sections of this report: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Banco de Credito de Bolivia ("BCB"), Bolivia</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Credicorp holds a 99.7% interest in BCB, directly and through various subsidiaries, and it is consolidated within BCP's financial statements. The Bolivian economy, after an stagnant year 2001, is expected to grow 2% in 2002, lower than previously expected due to the government's fiscal difficulties and lower foreign investments. President Sanchez de Lozada, that took office in August, faces problems in financing the budget deficit that amounts to 8% of GDP, which is requiring a set of tax measures that will be presented in November. The general price level grew only 1.1% through September (0.02% as of June 2002), reflecting the weakness in demand, and continues to be below devaluation which was 7.6% in the same period.</w:t>
      </w:r>
    </w:p>
    <w:p>
      <w:pPr>
        <w:spacing w:after="0" w:line="178"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Loan volume in the banking system continued to decline, after falling by 10.8% in 2000 and 16.4% in 2001, a drop of 10.3% is noted in the first nine months of 2002, to finish at US$2,734 million. Loan quality continued to deteriorate, from a past due ratio of 16.1% in December 2001, to 21.6% in September 2002. Total deposits in the system amounted to US$2,578 million at September 2002, lower by 18.4% compared to December 2001.</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969" w:right="1440" w:bottom="1440" w:gutter="0" w:footer="0" w:header="0"/>
        </w:sectPr>
      </w:pPr>
    </w:p>
    <w:bookmarkStart w:id="19" w:name="page20"/>
    <w:bookmarkEnd w:id="19"/>
    <w:p>
      <w:pPr>
        <w:ind w:right="3119" w:firstLine="444"/>
        <w:spacing w:after="0"/>
        <w:rPr>
          <w:sz w:val="20"/>
          <w:szCs w:val="20"/>
          <w:color w:val="auto"/>
        </w:rPr>
      </w:pPr>
      <w:r>
        <w:rPr>
          <w:rFonts w:ascii="Courier New" w:cs="Courier New" w:eastAsia="Courier New" w:hAnsi="Courier New"/>
          <w:sz w:val="15"/>
          <w:szCs w:val="15"/>
          <w:color w:val="auto"/>
        </w:rPr>
        <w:t>BCB's market share in deposits decreased from 13.5% at June 2002 to 12.5% at the end of September 2002, remaining as the fifth bank of twelve banks in the system. In terms of loans, BCB ranked as the fourth in the system with 11.9% market share, decreasing from 12.4% it had last June. The decrease in market share is explained by the priority given to assuring profitability of the products, in an environment of excess liquidity and increased credit risk.</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As of September 30, 2002, BCB had total loans of US$322.4 million which compares to the US$355.4 million at June 2002, and US$441.2 million at September of last year. At the end of the third quarter 2002, BCB's past due loans reached US$81.4 million, or 25.3% of total loans, higher than 23.8% at June 2002 and 14.2% at December 2001. Coverage of past due loans with loan loss provisions decreases from 57.6% as of December 2001 to 47.9% in September 2002.</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first nine months of 2002, loan provisions charged against results amounted to US$12.4 million, remaining similar to the amount charged in the same period in 2001. Through September 2002, an additional US$15.0 million in loan provisions have been incurred at the BCP level to cover BCB's impaired assets. Net income for the nine months was only US$140 thousand, compared to US$1.3 million in the first nine months of last year, decreasing principally due to lower net interest income, partially offset by higher gains on sale of securities.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Banco Tequendama, Colombia</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official GDP growth estimate for Colombia in 2002 was raised from 1.2% to 1.6%, given the relatively high growth of 2.2% in the second quarter. Economic activity continues depressed after the slow-down in 2001, when GDP grew 1.6%, compared to 2.8% in 2000. Growth in the second quarter was partly due to the expansion of the construction (8.8%) and agriculture (5.3%) sectors.</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Following the 6.1% devaluation in the second quarter 2002, the exchange rate fell an additional 18.8% in the third, ending at Co$2,851 per US$1. Inflation decreases from 2.0% in the second quarter 2002 to 0.5% in the current period, and is below 0.7% in the year-ago quarter. Inflation is expected at 6% for total 2002.</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the quarter, interest rates continued a slow decline, with the DTF rate decreasing from 8.21% last June to 7.63% at the end of September 2002, following successive lower Central Bank intervention rates with the objective of helping the recovery of economic activity. Nevertheless, due to devaluation, interest rates on domestic government debt (TES) increased, reversing their downward trend, and lowered their market value.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Banking system statistics show that loans decrease from US$15.7 billion at December 2001, to US$13.8 billion at the close of August 2002 (in CO$ nominal terms), with the past-due ratio increasing to 13.9%, from 10.3% at year-end 2001. Total deposits in the banking entities were US$17.9 billion at the end of August 2002, decreasing 14.0% since December 2001.</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September 30, 2002, Banco Tequendama's loans were US$210.4 million, decreasing 12.0% compared to US$239.0 million last June 2002, and also from US$242.9 millon as of September 2001. At the end of the quarter, deposits totaled US$159.2 million, decreasing compared to US$193.1 million in June 2002 and also from US$191.0 million at the year-ago period. The past due loan ratio was 4.7% in September 2002, decreasing from 5.5% at the end of last June, while coverage with provisions was 73.8%, compared to 76.8%, respectively. Banco Tequendama's loan market share, as of August 2002, was 1.50%, lower than 1.49% obtained in December 2001. At the same dates, deposit market share increased to 0.85% from 0.78%.</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20" w:name="page21"/>
    <w:bookmarkEnd w:id="20"/>
    <w:p>
      <w:pPr>
        <w:ind w:left="449" w:hanging="449"/>
        <w:spacing w:after="0"/>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BANCO DE CREDITO DEL PERU AND SUBSIDIARIES ("BCP")</w:t>
      </w:r>
    </w:p>
    <w:p>
      <w:pPr>
        <w:spacing w:after="0" w:line="34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II.1</w:t>
      </w:r>
      <w:r>
        <w:rPr>
          <w:sz w:val="20"/>
          <w:szCs w:val="20"/>
          <w:color w:val="auto"/>
        </w:rPr>
        <w:tab/>
      </w:r>
      <w:r>
        <w:rPr>
          <w:rFonts w:ascii="Courier New" w:cs="Courier New" w:eastAsia="Courier New" w:hAnsi="Courier New"/>
          <w:sz w:val="14"/>
          <w:szCs w:val="14"/>
          <w:color w:val="auto"/>
        </w:rPr>
        <w:t>NET INCOME</w:t>
      </w:r>
    </w:p>
    <w:p>
      <w:pPr>
        <w:spacing w:after="0" w:line="174" w:lineRule="exact"/>
        <w:rPr>
          <w:sz w:val="20"/>
          <w:szCs w:val="20"/>
          <w:color w:val="auto"/>
        </w:rPr>
      </w:pPr>
    </w:p>
    <w:p>
      <w:pPr>
        <w:ind w:left="9" w:right="3180" w:firstLine="444"/>
        <w:spacing w:after="0"/>
        <w:rPr>
          <w:sz w:val="20"/>
          <w:szCs w:val="20"/>
          <w:color w:val="auto"/>
        </w:rPr>
      </w:pPr>
      <w:r>
        <w:rPr>
          <w:rFonts w:ascii="Courier New" w:cs="Courier New" w:eastAsia="Courier New" w:hAnsi="Courier New"/>
          <w:sz w:val="15"/>
          <w:szCs w:val="15"/>
          <w:color w:val="auto"/>
        </w:rPr>
        <w:t>Consolidated net income for the nine month period ended September 30, 2002 was S/.186.0 million (US$51.0 million), increasing 36.5% compared to net income of S/.136.2 million (US$37.4 million) in the same period of 2001. Net income for the quarter ended September 30, 2002 was S/.61.3 million (US$16.8 million), increasing 3.5% from S/.59.3 million (US$16.3 million) in the same period of 2001. Net income in both the nine month period and the third quarter of 2002 increased compared to the year-ago periods principally due to higher non-interest income and exchange gains, registered as part of inflation adjustment gains, that offset decreased net interest income and higher operating expenses.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1"/>
        <w:spacing w:after="0"/>
        <w:rPr>
          <w:sz w:val="20"/>
          <w:szCs w:val="20"/>
          <w:color w:val="auto"/>
        </w:rPr>
      </w:pPr>
      <w:r>
        <w:rPr>
          <w:rFonts w:ascii="Courier New" w:cs="Courier New" w:eastAsia="Courier New" w:hAnsi="Courier New"/>
          <w:sz w:val="15"/>
          <w:szCs w:val="15"/>
          <w:color w:val="auto"/>
        </w:rPr>
        <w:t>BANCO DE CREDITO DEL PERU AND SUBSIDIARIES</w:t>
      </w:r>
    </w:p>
    <w:p>
      <w:pPr>
        <w:spacing w:after="0" w:line="1" w:lineRule="exact"/>
        <w:rPr>
          <w:sz w:val="20"/>
          <w:szCs w:val="20"/>
          <w:color w:val="auto"/>
        </w:rPr>
      </w:pPr>
    </w:p>
    <w:p>
      <w:pPr>
        <w:jc w:val="center"/>
        <w:ind w:right="171"/>
        <w:spacing w:after="0"/>
        <w:rPr>
          <w:sz w:val="20"/>
          <w:szCs w:val="20"/>
          <w:color w:val="auto"/>
        </w:rPr>
      </w:pPr>
      <w:r>
        <w:rPr>
          <w:rFonts w:ascii="Courier New" w:cs="Courier New" w:eastAsia="Courier New" w:hAnsi="Courier New"/>
          <w:sz w:val="15"/>
          <w:szCs w:val="15"/>
          <w:color w:val="auto"/>
        </w:rPr>
        <w:t>SUMMARY OF RESULTS (1)</w:t>
      </w:r>
    </w:p>
    <w:p>
      <w:pPr>
        <w:spacing w:after="0" w:line="1" w:lineRule="exact"/>
        <w:rPr>
          <w:sz w:val="20"/>
          <w:szCs w:val="20"/>
          <w:color w:val="auto"/>
        </w:rPr>
      </w:pPr>
    </w:p>
    <w:p>
      <w:pPr>
        <w:jc w:val="center"/>
        <w:ind w:right="251"/>
        <w:spacing w:after="0"/>
        <w:rPr>
          <w:sz w:val="20"/>
          <w:szCs w:val="20"/>
          <w:color w:val="auto"/>
        </w:rPr>
      </w:pPr>
      <w:r>
        <w:rPr>
          <w:rFonts w:ascii="Courier New" w:cs="Courier New" w:eastAsia="Courier New" w:hAnsi="Courier New"/>
          <w:sz w:val="15"/>
          <w:szCs w:val="15"/>
          <w:color w:val="auto"/>
        </w:rPr>
        <w:t>(In constant S/. and U.S.$ millions, except net income per share)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3109" w:right="180" w:firstLine="976"/>
        <w:spacing w:after="0" w:line="239" w:lineRule="auto"/>
        <w:rPr>
          <w:sz w:val="20"/>
          <w:szCs w:val="20"/>
          <w:color w:val="auto"/>
        </w:rPr>
      </w:pPr>
      <w:r>
        <w:rPr>
          <w:rFonts w:ascii="Courier New" w:cs="Courier New" w:eastAsia="Courier New" w:hAnsi="Courier New"/>
          <w:sz w:val="15"/>
          <w:szCs w:val="15"/>
          <w:color w:val="auto"/>
        </w:rPr>
        <w:t>Three months ended Nine months ended ------------------------------------------------------------------------------- 30.09.01 30.06.02 30.09.02 30.09.02 30.09.01 30.09.02 30.09.02</w:t>
      </w:r>
    </w:p>
    <w:p>
      <w:pPr>
        <w:spacing w:after="0" w:line="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US$</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w:t>
            </w:r>
          </w:p>
        </w:tc>
      </w:tr>
      <w:tr>
        <w:trPr>
          <w:trHeight w:val="512"/>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296.4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277.6</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262.5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$72.0</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876.7</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818.0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$224.5</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Provisions for loan losses, net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103.5</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110.3</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$30.3</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315.3</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$82.7</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172.1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188.9</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195.5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$53.6</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487.0</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$155.6</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281.6</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294.1</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291.8</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$80.1</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851.6</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$240.6</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Result from exposure  to inflation</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27.3</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(14.5)</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341"/>
        </w:trPr>
        <w:tc>
          <w:tcPr>
            <w:tcW w:w="3240" w:type="dxa"/>
            <w:vAlign w:val="bottom"/>
          </w:tcPr>
          <w:p>
            <w:pPr>
              <w:ind w:left="440"/>
              <w:spacing w:after="0"/>
              <w:rPr>
                <w:sz w:val="20"/>
                <w:szCs w:val="20"/>
                <w:color w:val="auto"/>
              </w:rPr>
            </w:pPr>
            <w:r>
              <w:rPr>
                <w:rFonts w:ascii="Courier New" w:cs="Courier New" w:eastAsia="Courier New" w:hAnsi="Courier New"/>
                <w:sz w:val="15"/>
                <w:szCs w:val="15"/>
                <w:color w:val="auto"/>
              </w:rPr>
              <w:t>Income before income tax</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92.7</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83.2</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$22.8</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182.3</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Tax</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26.8</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21.9</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46.1</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341"/>
        </w:trPr>
        <w:tc>
          <w:tcPr>
            <w:tcW w:w="3240" w:type="dxa"/>
            <w:vAlign w:val="bottom"/>
          </w:tcPr>
          <w:p>
            <w:pPr>
              <w:ind w:left="1060"/>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65.8</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61.3</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$16.8</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136.2</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 per share (2)</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0.055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0.061</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0.057</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$0.016</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0.127</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$0.047</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9" w:right="3360" w:hanging="449"/>
        <w:spacing w:after="0" w:line="258" w:lineRule="auto"/>
        <w:tabs>
          <w:tab w:leader="none" w:pos="44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prepared according to Peruvian GAAP. The financial information is in constant soles as of September 30, 2002. Figures in US$ have been translated at the exchange rate of S/.3.644 to the dollar.</w:t>
      </w:r>
    </w:p>
    <w:p>
      <w:pPr>
        <w:ind w:left="449" w:hanging="449"/>
        <w:spacing w:after="0"/>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1,076 million outstanding shares in all periods.</w:t>
      </w: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II.2</w:t>
      </w:r>
      <w:r>
        <w:rPr>
          <w:sz w:val="20"/>
          <w:szCs w:val="20"/>
          <w:color w:val="auto"/>
        </w:rPr>
        <w:tab/>
      </w:r>
      <w:r>
        <w:rPr>
          <w:rFonts w:ascii="Courier New" w:cs="Courier New" w:eastAsia="Courier New" w:hAnsi="Courier New"/>
          <w:sz w:val="14"/>
          <w:szCs w:val="14"/>
          <w:color w:val="auto"/>
        </w:rPr>
        <w:t>NET INTEREST INCOME</w:t>
      </w:r>
    </w:p>
    <w:p>
      <w:pPr>
        <w:spacing w:after="0" w:line="174" w:lineRule="exact"/>
        <w:rPr>
          <w:sz w:val="20"/>
          <w:szCs w:val="20"/>
          <w:color w:val="auto"/>
        </w:rPr>
      </w:pPr>
    </w:p>
    <w:p>
      <w:pPr>
        <w:ind w:left="9" w:right="3180" w:firstLine="444"/>
        <w:spacing w:after="0"/>
        <w:rPr>
          <w:sz w:val="20"/>
          <w:szCs w:val="20"/>
          <w:color w:val="auto"/>
        </w:rPr>
      </w:pPr>
      <w:r>
        <w:rPr>
          <w:rFonts w:ascii="Courier New" w:cs="Courier New" w:eastAsia="Courier New" w:hAnsi="Courier New"/>
          <w:sz w:val="15"/>
          <w:szCs w:val="15"/>
          <w:color w:val="auto"/>
        </w:rPr>
        <w:t>Interest income, net of interest payments, in the third quarter of 2002 reached S/.262.5 million (US$72.0 million), decreasing 11.4% compared to the same period of last year, and 5.4% compared to the preceding second quarter of 2002. The decline versus the prior year quarter is due to lower interest margins and also to decreased loan volume, within a continuing excess liquidity environment in both local and foreign currencies.</w:t>
      </w:r>
    </w:p>
    <w:p>
      <w:pPr>
        <w:spacing w:after="0" w:line="175" w:lineRule="exact"/>
        <w:rPr>
          <w:sz w:val="20"/>
          <w:szCs w:val="20"/>
          <w:color w:val="auto"/>
        </w:rPr>
      </w:pPr>
    </w:p>
    <w:p>
      <w:pPr>
        <w:ind w:left="9" w:right="3280" w:firstLine="444"/>
        <w:spacing w:after="0"/>
        <w:rPr>
          <w:sz w:val="20"/>
          <w:szCs w:val="20"/>
          <w:color w:val="auto"/>
        </w:rPr>
      </w:pPr>
      <w:r>
        <w:rPr>
          <w:rFonts w:ascii="Courier New" w:cs="Courier New" w:eastAsia="Courier New" w:hAnsi="Courier New"/>
          <w:sz w:val="15"/>
          <w:szCs w:val="15"/>
          <w:color w:val="auto"/>
        </w:rPr>
        <w:t>During the third quarter of 2002, the net interest margin was 5.57%, decreasing from 6.03% in the second quarter of 2002, and also compared to 6.20% during the same period in 2001. During the current quarter the margin decreased mostly due to declining loan rates, both in local and foreign currency, which were not fully offset by also lower deposit interest rates and lower cost of funds.</w:t>
      </w:r>
    </w:p>
    <w:p>
      <w:pPr>
        <w:spacing w:after="0" w:line="343"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II.3</w:t>
      </w:r>
      <w:r>
        <w:rPr>
          <w:sz w:val="20"/>
          <w:szCs w:val="20"/>
          <w:color w:val="auto"/>
        </w:rPr>
        <w:tab/>
      </w:r>
      <w:r>
        <w:rPr>
          <w:rFonts w:ascii="Courier New" w:cs="Courier New" w:eastAsia="Courier New" w:hAnsi="Courier New"/>
          <w:sz w:val="14"/>
          <w:szCs w:val="14"/>
          <w:color w:val="auto"/>
        </w:rPr>
        <w:t>NON-INTEREST INCOME</w:t>
      </w:r>
    </w:p>
    <w:p>
      <w:pPr>
        <w:spacing w:after="0" w:line="174" w:lineRule="exact"/>
        <w:rPr>
          <w:sz w:val="20"/>
          <w:szCs w:val="20"/>
          <w:color w:val="auto"/>
        </w:rPr>
      </w:pPr>
    </w:p>
    <w:p>
      <w:pPr>
        <w:ind w:left="9" w:right="3180" w:firstLine="444"/>
        <w:spacing w:after="0" w:line="239" w:lineRule="auto"/>
        <w:rPr>
          <w:sz w:val="20"/>
          <w:szCs w:val="20"/>
          <w:color w:val="auto"/>
        </w:rPr>
      </w:pPr>
      <w:r>
        <w:rPr>
          <w:rFonts w:ascii="Courier New" w:cs="Courier New" w:eastAsia="Courier New" w:hAnsi="Courier New"/>
          <w:sz w:val="15"/>
          <w:szCs w:val="15"/>
          <w:color w:val="auto"/>
        </w:rPr>
        <w:t>Non-interest income, including fee revenue and other non-interest items, in the third quarter of 2002 amounted to S/.195.5 million (US$53.7 million), 13.6% higher than income earned during the same period of 2001, mainly due to increased fees from banking services.</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89"/>
          </w:cols>
          <w:pgMar w:left="231" w:top="628" w:right="1379" w:bottom="1440" w:gutter="0" w:footer="0" w:header="0"/>
        </w:sectPr>
      </w:pPr>
    </w:p>
    <w:bookmarkStart w:id="21" w:name="page22"/>
    <w:bookmarkEnd w:id="21"/>
    <w:p>
      <w:pPr>
        <w:ind w:right="3399" w:firstLine="444"/>
        <w:spacing w:after="0"/>
        <w:rPr>
          <w:sz w:val="20"/>
          <w:szCs w:val="20"/>
          <w:color w:val="auto"/>
        </w:rPr>
      </w:pPr>
      <w:r>
        <w:rPr>
          <w:rFonts w:ascii="Courier New" w:cs="Courier New" w:eastAsia="Courier New" w:hAnsi="Courier New"/>
          <w:sz w:val="15"/>
          <w:szCs w:val="15"/>
          <w:color w:val="auto"/>
        </w:rPr>
        <w:t>In the third quarter of 2002, fees from banking services amounted to S/.152.1 million (US$41.7 million), 17.6% higher than in the same period of 2001, mostly due to increased revenue from account maintenance, corporate finance and foreign trade fees. (See note in table of Section I.2.) In the quarter, fees on the most important banking services had the following growth rates:</w:t>
      </w:r>
    </w:p>
    <w:p>
      <w:pPr>
        <w:spacing w:after="0" w:line="172" w:lineRule="exact"/>
        <w:rPr>
          <w:sz w:val="20"/>
          <w:szCs w:val="20"/>
          <w:color w:val="auto"/>
        </w:rPr>
      </w:pPr>
    </w:p>
    <w:p>
      <w:pPr>
        <w:spacing w:after="0"/>
        <w:tabs>
          <w:tab w:leader="none" w:pos="2820" w:val="left"/>
          <w:tab w:leader="none" w:pos="3700" w:val="left"/>
          <w:tab w:leader="none" w:pos="4400" w:val="left"/>
        </w:tabs>
        <w:rPr>
          <w:sz w:val="20"/>
          <w:szCs w:val="20"/>
          <w:color w:val="auto"/>
        </w:rPr>
      </w:pPr>
      <w:r>
        <w:rPr>
          <w:rFonts w:ascii="Courier New" w:cs="Courier New" w:eastAsia="Courier New" w:hAnsi="Courier New"/>
          <w:sz w:val="15"/>
          <w:szCs w:val="15"/>
          <w:color w:val="auto"/>
        </w:rPr>
        <w:t>(In constant S/. Mn.)</w:t>
      </w:r>
      <w:r>
        <w:rPr>
          <w:sz w:val="20"/>
          <w:szCs w:val="20"/>
          <w:color w:val="auto"/>
        </w:rPr>
        <w:tab/>
      </w:r>
      <w:r>
        <w:rPr>
          <w:rFonts w:ascii="Courier New" w:cs="Courier New" w:eastAsia="Courier New" w:hAnsi="Courier New"/>
          <w:sz w:val="15"/>
          <w:szCs w:val="15"/>
          <w:color w:val="auto"/>
        </w:rPr>
        <w:t>3Q01</w:t>
      </w:r>
      <w:r>
        <w:rPr>
          <w:sz w:val="20"/>
          <w:szCs w:val="20"/>
          <w:color w:val="auto"/>
        </w:rPr>
        <w:tab/>
      </w:r>
      <w:r>
        <w:rPr>
          <w:rFonts w:ascii="Courier New" w:cs="Courier New" w:eastAsia="Courier New" w:hAnsi="Courier New"/>
          <w:sz w:val="15"/>
          <w:szCs w:val="15"/>
          <w:color w:val="auto"/>
        </w:rPr>
        <w:t>3Q02</w:t>
      </w:r>
      <w:r>
        <w:rPr>
          <w:sz w:val="20"/>
          <w:szCs w:val="20"/>
          <w:color w:val="auto"/>
        </w:rPr>
        <w:tab/>
      </w:r>
      <w:r>
        <w:rPr>
          <w:rFonts w:ascii="Courier New" w:cs="Courier New" w:eastAsia="Courier New" w:hAnsi="Courier New"/>
          <w:sz w:val="15"/>
          <w:szCs w:val="15"/>
          <w:color w:val="auto"/>
        </w:rPr>
        <w:t>Growth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Contingent credits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5.6</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Foreign Trade</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Account Maintenance</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30.8</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Collections fees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14.4</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Fund transfer services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24.3</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Credit card fees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14.1</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Brokerage</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Corporate Finance</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238.2%</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Loan administration</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Shipping and handling</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8.6</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129.2</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third quarter of 2002, securities transactions resulted in a gain of S/.1.1 million (US$0.3 million), lower than gains of S/.4.5 million (US$1.2 million) in the same period last year, and declines from S/.8.9 million (US$2.4 million) earned in the second quarter 2002 when gains on the sale of fixed income securities, in addition to realized gains on sale of equity securities, were obtained. After a 12.7% decline in the second quarter 2002, the general index of the Lima Stock Exchange increased 1.3% in the third quarter of 2002, compared to the decline of 9.6% in the same period last year.</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Gains from foreign exchange operations were S/.19.1 million (US$5.2 million) in the third quarter of 2002, 5.1% over revenue in the preceding quarter, but remains similar to gains in the same period in 2001, mainly due to increased traded volumes, although margins decrease, prompted by instability in the foreign exchange market where the Nuevo Sol devalued for the second consecutive quarter.</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Other Income caption, where reversals of prior year expenses and provisions and recoveries of certain operating costs from clients are booked, increased from S/.19.4 million (US$5.3 million) in the third quarter of 2001 to S/.23.3 million (US$6.4 million) in the current period, principally due to increased recoveries of accounts charged-off in previous periods.</w:t>
      </w:r>
    </w:p>
    <w:p>
      <w:pPr>
        <w:spacing w:after="0" w:line="34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II.4</w:t>
      </w:r>
      <w:r>
        <w:rPr>
          <w:sz w:val="20"/>
          <w:szCs w:val="20"/>
          <w:color w:val="auto"/>
        </w:rPr>
        <w:tab/>
      </w:r>
      <w:r>
        <w:rPr>
          <w:rFonts w:ascii="Courier New" w:cs="Courier New" w:eastAsia="Courier New" w:hAnsi="Courier New"/>
          <w:sz w:val="14"/>
          <w:szCs w:val="14"/>
          <w:color w:val="auto"/>
        </w:rPr>
        <w:t>OTHER NON-INTEREST EXPENSES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Non-interest expenses during the third quarter of 2002 were S/.291.8 million (US$80.1 million), 3.6% above those of the same period in 2001, mainly due to increased personnel and general expenses. Adjusted operating expenses, determined by excluding provisions for assets received in lieu of loan repayment and employee profit sharing expenses, reached S/.263.3 million (US$72.3 million) in the third quarter of 2002, increasing 3.7% compared to the year-ago period.</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Approximately 44% of non-interest expenses were attributable to employee salaries and other expenses related to personnel. This concept increased 7.4% to S/.128.8 million (US$35.4 million) when compared to the third quarter of 2001, due principally to increased provisions for bonuses, severance payments and profit sharing expense. At the end of the third quarter 2002 the number of employees stood at 7,977, increasing from 7,821 employees as of June 2002, mainly due to increased sales and teller positions at Banco de Credito del Peru, Solucion Financiera and Banco de Credito de Bolivia.</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22" w:name="page23"/>
    <w:bookmarkEnd w:id="22"/>
    <w:p>
      <w:pPr>
        <w:ind w:right="3119" w:firstLine="444"/>
        <w:spacing w:after="0"/>
        <w:rPr>
          <w:sz w:val="20"/>
          <w:szCs w:val="20"/>
          <w:color w:val="auto"/>
        </w:rPr>
      </w:pPr>
      <w:r>
        <w:rPr>
          <w:rFonts w:ascii="Courier New" w:cs="Courier New" w:eastAsia="Courier New" w:hAnsi="Courier New"/>
          <w:sz w:val="15"/>
          <w:szCs w:val="15"/>
          <w:color w:val="auto"/>
        </w:rPr>
        <w:t>General and Administrative expenses, which represented 35% of non-interest expenses, reached S/.103.3 million (US$28.3 million) in the third quarter of 2002, increasing 19.6% when compared to expenses in the same period a year ago mainly from non-recurring increases in expenses related to systems, third party fees and marketing. Non-recurring expenses are related to BCP's new identity campaign and system's restructuring projects, and in the nine months through September 2002 amounted to S/.24.0 million (US$6.6 million), while S/.19.0 million (US$5.2 million) were incurred in third quarter 2002. (See note in table of Section I.2.) In the quarter, the most significant general and administrative expenses were:</w:t>
      </w:r>
    </w:p>
    <w:p>
      <w:pPr>
        <w:spacing w:after="0" w:line="346" w:lineRule="exact"/>
        <w:rPr>
          <w:sz w:val="20"/>
          <w:szCs w:val="20"/>
          <w:color w:val="auto"/>
        </w:rPr>
      </w:pPr>
    </w:p>
    <w:p>
      <w:pPr>
        <w:spacing w:after="0"/>
        <w:tabs>
          <w:tab w:leader="none" w:pos="3600" w:val="left"/>
          <w:tab w:leader="none" w:pos="4320" w:val="left"/>
          <w:tab w:leader="none" w:pos="4940" w:val="left"/>
        </w:tabs>
        <w:rPr>
          <w:sz w:val="20"/>
          <w:szCs w:val="20"/>
          <w:color w:val="auto"/>
        </w:rPr>
      </w:pPr>
      <w:r>
        <w:rPr>
          <w:rFonts w:ascii="Courier New" w:cs="Courier New" w:eastAsia="Courier New" w:hAnsi="Courier New"/>
          <w:sz w:val="15"/>
          <w:szCs w:val="15"/>
          <w:color w:val="auto"/>
        </w:rPr>
        <w:t>(In constant S/. Mn.)</w:t>
      </w:r>
      <w:r>
        <w:rPr>
          <w:sz w:val="20"/>
          <w:szCs w:val="20"/>
          <w:color w:val="auto"/>
        </w:rPr>
        <w:tab/>
      </w:r>
      <w:r>
        <w:rPr>
          <w:rFonts w:ascii="Courier New" w:cs="Courier New" w:eastAsia="Courier New" w:hAnsi="Courier New"/>
          <w:sz w:val="15"/>
          <w:szCs w:val="15"/>
          <w:color w:val="auto"/>
        </w:rPr>
        <w:t>3Q01</w:t>
      </w:r>
      <w:r>
        <w:rPr>
          <w:sz w:val="20"/>
          <w:szCs w:val="20"/>
          <w:color w:val="auto"/>
        </w:rPr>
        <w:tab/>
      </w:r>
      <w:r>
        <w:rPr>
          <w:rFonts w:ascii="Courier New" w:cs="Courier New" w:eastAsia="Courier New" w:hAnsi="Courier New"/>
          <w:sz w:val="15"/>
          <w:szCs w:val="15"/>
          <w:color w:val="auto"/>
        </w:rPr>
        <w:t>3Q02</w:t>
        <w:tab/>
        <w:t>Chnge.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Office supplies and operating costs</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Communications</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Third party fees</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14.9</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Insurance and security</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7.2</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Transport of currency and securities</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11.1</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Systems and maintenance</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15.2</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Advertising and marketing</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14.9</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 G&amp;A</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Total G&amp;A</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86.4</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Other caption within Other Non-Interest Expenses, decreased from S/.34.8 million (US$9.6 million) in the third quarter of 2001 to S/.21.8 million (US$6.0 million) in the current quarter, mainly due to gains on sale of foreclosed assets registered within this caption.</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ratio of adjusted operating expenses (determined by excluding provisions for assets received in lieu of loan repayment, employee profit sharing expense and non-recurring expenses) as a percentage of average total assets, slightly improves from 4.64% in the third quarter of 2001 to 4.56% in the current period.</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Adjusted operating expenses, as a percentage o total income, also improved from 54.2% to 53.3% when comparing the third quarters of 2001 and 2002, respectively.</w:t>
      </w:r>
    </w:p>
    <w:p>
      <w:pPr>
        <w:spacing w:after="0" w:line="34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II.5</w:t>
      </w:r>
      <w:r>
        <w:rPr>
          <w:sz w:val="20"/>
          <w:szCs w:val="20"/>
          <w:color w:val="auto"/>
        </w:rPr>
        <w:tab/>
      </w:r>
      <w:r>
        <w:rPr>
          <w:rFonts w:ascii="Courier New" w:cs="Courier New" w:eastAsia="Courier New" w:hAnsi="Courier New"/>
          <w:sz w:val="14"/>
          <w:szCs w:val="14"/>
          <w:color w:val="auto"/>
        </w:rPr>
        <w:t>ASSETS AND LIABILITIES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Total assets of BCP reached S/.21,795 million (US$5,981 million) at the end of the third quarter of 2002, increasing 3.7% with respect to the balance at June 2002, but remains similar to total assets at September 2001.</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Total loans were S/.12,778 million (US$3,506 million) at the end of September 2002, decreasing 1.7% compared to June 2002, and by 1.3% with respect to September 2001. At September 30, 2002, the loan portfolio, net of provisions, represented 53.5% of total assets, similar to the year-ago percentage. At the end of the third quarter of 2002, the Nuevos Soles portion of the loan portfolio was 14.9%, slightly over 14.2% in June 2002, and over 15.3% as of September 2001.</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As of September 30, 2002 total deposits were S/.18,408 million (US$5,051 million), increasing 4.5% during the current quarter, but remains similar to deposits at the end of the prior year quarter. During the present quarter, time deposits increased 7.2%, demand deposits grew 3.2% and savings deposits by 0.9%. Deposits denominated in Nuevos Soles were 21.9% of total deposits, slightly over 20.4% at June 2002, and also over 18.1% at the end of September 2001.</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23" w:name="page24"/>
    <w:bookmarkEnd w:id="23"/>
    <w:p>
      <w:pPr>
        <w:ind w:right="3299" w:firstLine="444"/>
        <w:spacing w:after="0" w:line="238" w:lineRule="auto"/>
        <w:rPr>
          <w:sz w:val="20"/>
          <w:szCs w:val="20"/>
          <w:color w:val="auto"/>
        </w:rPr>
      </w:pPr>
      <w:r>
        <w:rPr>
          <w:rFonts w:ascii="Courier New" w:cs="Courier New" w:eastAsia="Courier New" w:hAnsi="Courier New"/>
          <w:sz w:val="15"/>
          <w:szCs w:val="15"/>
          <w:color w:val="auto"/>
        </w:rPr>
        <w:t>BCP's subsidiaries had the following loan, net of provisions, and deposit contributions: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Loans, net</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Total Deposits</w:t>
            </w:r>
          </w:p>
        </w:tc>
        <w:tc>
          <w:tcPr>
            <w:tcW w:w="400" w:type="dxa"/>
            <w:vAlign w:val="bottom"/>
          </w:tcPr>
          <w:p>
            <w:pPr>
              <w:spacing w:after="0"/>
              <w:rPr>
                <w:sz w:val="14"/>
                <w:szCs w:val="1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 % and constant S/.Mn.)</w:t>
            </w:r>
          </w:p>
        </w:tc>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3Q01</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2Q02</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3Q02</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3Q01</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2Q02</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3Q02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Banco de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Credito del Peru</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82.3%</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Banco de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Credito de Bolivia</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Banco de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Credito Overseas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1"/>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rPr>
              <w:t>Credito Leasing</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Solucion</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Financiera de</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Credito</w:t>
            </w:r>
          </w:p>
        </w:tc>
        <w:tc>
          <w:tcPr>
            <w:tcW w:w="18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0"/>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1820" w:type="dxa"/>
            <w:vAlign w:val="bottom"/>
          </w:tcPr>
          <w:p>
            <w:pPr>
              <w:spacing w:after="0" w:line="20" w:lineRule="exact"/>
              <w:rPr>
                <w:sz w:val="1"/>
                <w:szCs w:val="1"/>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174" w:lineRule="exact"/>
        <w:rPr>
          <w:sz w:val="20"/>
          <w:szCs w:val="20"/>
          <w:color w:val="auto"/>
        </w:rPr>
      </w:pPr>
    </w:p>
    <w:p>
      <w:pPr>
        <w:ind w:right="2059"/>
        <w:spacing w:after="0" w:line="239" w:lineRule="auto"/>
        <w:rPr>
          <w:sz w:val="20"/>
          <w:szCs w:val="20"/>
          <w:color w:val="auto"/>
        </w:rPr>
      </w:pPr>
      <w:r>
        <w:rPr>
          <w:rFonts w:ascii="Courier New" w:cs="Courier New" w:eastAsia="Courier New" w:hAnsi="Courier New"/>
          <w:sz w:val="15"/>
          <w:szCs w:val="15"/>
          <w:color w:val="auto"/>
        </w:rPr>
        <w:t>- ------------------------------------------------------------------------------------------ BCP consolidated Total S/.11,723 S/.11,896 S/.11,655 S/.18,422 S/.17,621 S/.18,408 - ------------------------------------------------------------------------------------------</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According to statistics from the Peruvian Banking Association (ASBANC) for Peruvian commercial banks as of September 30, 2002, Banco de Credito del Peru had a total loan market share of 27.8% (27.4% at September 30, 2001 and 27.2% at June 30, 2002), and 32.9% of deposits (32.3% at September 30, 2001, and 31.4% at June 30, 2002).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portfolio composition by business segment developed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 % of total and constant S/. Mn)</w:t>
            </w:r>
          </w:p>
        </w:tc>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30.09.01   30.06.02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30.09.02</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19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45.1%</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45.5%</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46.7%</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Middle market</w:t>
            </w:r>
          </w:p>
        </w:tc>
        <w:tc>
          <w:tcPr>
            <w:tcW w:w="19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27.1%</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27.2%</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26.3%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Retail:</w:t>
            </w:r>
          </w:p>
        </w:tc>
        <w:tc>
          <w:tcPr>
            <w:tcW w:w="19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27.3%</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27.0%</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 - small business</w:t>
            </w:r>
          </w:p>
        </w:tc>
        <w:tc>
          <w:tcPr>
            <w:tcW w:w="1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 - home mortgage</w:t>
            </w:r>
          </w:p>
        </w:tc>
        <w:tc>
          <w:tcPr>
            <w:tcW w:w="1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 - consumer</w:t>
            </w:r>
          </w:p>
        </w:tc>
        <w:tc>
          <w:tcPr>
            <w:tcW w:w="1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 - credit cards</w:t>
            </w:r>
          </w:p>
        </w:tc>
        <w:tc>
          <w:tcPr>
            <w:tcW w:w="1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100.0%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140"/>
        <w:spacing w:after="0"/>
        <w:tabs>
          <w:tab w:leader="none" w:pos="3340" w:val="left"/>
          <w:tab w:leader="none" w:pos="4320" w:val="left"/>
          <w:tab w:leader="none" w:pos="5380" w:val="left"/>
        </w:tabs>
        <w:rPr>
          <w:sz w:val="20"/>
          <w:szCs w:val="20"/>
          <w:color w:val="auto"/>
        </w:rPr>
      </w:pPr>
      <w:r>
        <w:rPr>
          <w:rFonts w:ascii="Courier New" w:cs="Courier New" w:eastAsia="Courier New" w:hAnsi="Courier New"/>
          <w:sz w:val="15"/>
          <w:szCs w:val="15"/>
          <w:color w:val="auto"/>
        </w:rPr>
        <w:t>Total Loans</w:t>
      </w:r>
      <w:r>
        <w:rPr>
          <w:sz w:val="20"/>
          <w:szCs w:val="20"/>
          <w:color w:val="auto"/>
        </w:rPr>
        <w:tab/>
      </w:r>
      <w:r>
        <w:rPr>
          <w:rFonts w:ascii="Courier New" w:cs="Courier New" w:eastAsia="Courier New" w:hAnsi="Courier New"/>
          <w:sz w:val="15"/>
          <w:szCs w:val="15"/>
          <w:color w:val="auto"/>
        </w:rPr>
        <w:t>S/.12,950</w:t>
        <w:tab/>
        <w:t>S/.12,999</w:t>
      </w:r>
      <w:r>
        <w:rPr>
          <w:sz w:val="20"/>
          <w:szCs w:val="20"/>
          <w:color w:val="auto"/>
        </w:rPr>
        <w:tab/>
      </w:r>
      <w:r>
        <w:rPr>
          <w:rFonts w:ascii="Courier New" w:cs="Courier New" w:eastAsia="Courier New" w:hAnsi="Courier New"/>
          <w:sz w:val="14"/>
          <w:szCs w:val="14"/>
          <w:color w:val="auto"/>
        </w:rPr>
        <w:t>S/.12,778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the current quarter, loan balances declined 1.7%, with corporate loans higher by 0.8%, to S/.5,963 million (US$1,636 million), while middle market loans decreased by 4.9% to S/.3,364 million (US$923 million), and retail loans lower by 2.5% to S/.3,455 million (US$948 million). Retail loans by product performed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ind w:left="3100"/>
              <w:spacing w:after="0"/>
              <w:rPr>
                <w:sz w:val="20"/>
                <w:szCs w:val="20"/>
                <w:color w:val="auto"/>
              </w:rPr>
            </w:pPr>
            <w:r>
              <w:rPr>
                <w:rFonts w:ascii="Courier New" w:cs="Courier New" w:eastAsia="Courier New" w:hAnsi="Courier New"/>
                <w:sz w:val="15"/>
                <w:szCs w:val="15"/>
                <w:color w:val="auto"/>
              </w:rPr>
              <w:t>3Q01</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2Q02</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3Q02</w:t>
            </w: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3Q02 vs</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w w:val="95"/>
              </w:rPr>
              <w:t>3Q02 vs</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 change and constant S/. Mn)</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2Q02</w:t>
            </w: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3Q01</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Small business loans</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1,243</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1,471</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1,307</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Mortgage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loans</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1,282</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1,059</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1,126</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Consumer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loans</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647</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596</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601</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Credit card loans</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427</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416</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421</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Total Retail</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3,600</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3,542</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3,455</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decline in mortgage loans compared to the prior year quarter is mostly due to the reclassification of approximately S/.250 million (US$70 million) of credits guaranteed with mortgages that are reported as commercial loans in 2002.</w:t>
      </w:r>
    </w:p>
    <w:p>
      <w:pPr>
        <w:spacing w:after="0" w:line="15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At September 30, 2002 contingent credits were S/.4,511 million (US$1,237.8 million), increasing 4.0% during the current quarter, and by 45.7% over the September 2001 figure, as can be seen in the following chart: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3540" w:type="dxa"/>
            <w:vAlign w:val="bottom"/>
          </w:tcPr>
          <w:p>
            <w:pPr>
              <w:ind w:left="3000"/>
              <w:spacing w:after="0"/>
              <w:rPr>
                <w:sz w:val="20"/>
                <w:szCs w:val="20"/>
                <w:color w:val="auto"/>
              </w:rPr>
            </w:pPr>
            <w:r>
              <w:rPr>
                <w:rFonts w:ascii="Courier New" w:cs="Courier New" w:eastAsia="Courier New" w:hAnsi="Courier New"/>
                <w:sz w:val="15"/>
                <w:szCs w:val="15"/>
                <w:color w:val="auto"/>
              </w:rPr>
              <w:t>3Q01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2Q02</w:t>
            </w:r>
          </w:p>
        </w:tc>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3Q02</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3Q02 vs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3Q02 vs</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 change and constant S/. Mn)</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2Q02</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3Q01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 - Guarantees and Stand-by LCs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1,596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2,069</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 - Letters of Credit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423</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 - Acceptances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 - Foreign currency forwards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1,073</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1,492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130.4%</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 - Other contingent accounts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Total Contingent Credits</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3,096</w:t>
            </w:r>
          </w:p>
        </w:tc>
        <w:tc>
          <w:tcPr>
            <w:tcW w:w="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4,336</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4,511</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II.6</w:t>
      </w:r>
      <w:r>
        <w:rPr>
          <w:sz w:val="20"/>
          <w:szCs w:val="20"/>
          <w:color w:val="auto"/>
        </w:rPr>
        <w:tab/>
      </w:r>
      <w:r>
        <w:rPr>
          <w:rFonts w:ascii="Courier New" w:cs="Courier New" w:eastAsia="Courier New" w:hAnsi="Courier New"/>
          <w:sz w:val="14"/>
          <w:szCs w:val="14"/>
          <w:color w:val="auto"/>
        </w:rPr>
        <w:t>LOAN QUALITY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Loan quality improved even though past due loans slightly grew to S/.1,042 million (US$286.1 million) at September 30, 2002, 1.1% over the balance of S/.1,031 million (US$282.9 million) as of the end of the second quarter of 2002, but are 18.1% below S/.1,273 million (US$349.2 million) as of September 30, 2001. The ratio of past due loans as a percentage of total loans improved from 9.83% in September 2001 to 8.16% at September 30, 2002, but increased compared to 7.93% at June 30, 2002.</w:t>
      </w:r>
    </w:p>
    <w:p>
      <w:pPr>
        <w:spacing w:after="0" w:line="17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At the end of the third quarter 2002, outstanding balances of loan loss provisions totaled S/.1,122 million (US$308.0 million), increasing 1.7% compared to the preceding quarter. The ratio of loan provisions to past due loans was 107.7% at the end of the current period, slightly higher than the 107.1% at June 2002 and better than the 96.4% past due coverage at September 2001.</w:t>
      </w:r>
    </w:p>
    <w:p>
      <w:pPr>
        <w:spacing w:after="0" w:line="162"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Of total provisions outstanding at the end of the current quarter, S/.156.7 million (US$43.0 million) correspond to generic provisions assigned to loans in the Normal (A) risk category, increasing from generic provisions of S/.139.1 million (US$38.2 million) at June 30, 2002.</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Loans believed to be unrecoverable, fully provisioned in prior periods,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written-off during the third quarter 2002 amounted to S/.98.9 million (US$27.1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which approximately 12% were related to consumer loans and 13%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agricultural loans under the Agricultural Financial Relief ("RFA") program.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compares to charge-offs in the second quarter of 2002 of S/.167.6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(US$47.0 million), and S/.74.9 million (US$21.5 million) in the year-ago third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At the end of the quarter, refinanced loans amounted to S/.860.0 million (US$245.0 million), lower than the balance at June 2002 that was S/.897.7 million (US$255.7 million).</w:t>
      </w:r>
    </w:p>
    <w:p>
      <w:pPr>
        <w:spacing w:after="0" w:line="175"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Loans classified as Substandard (i.e., Deficient, Doubtful and Loss) were 19.0% of the loan portfolio in September 2002, decreasing from the ratios of</w:t>
      </w:r>
    </w:p>
    <w:p>
      <w:pPr>
        <w:ind w:right="3119"/>
        <w:spacing w:after="0" w:line="238" w:lineRule="auto"/>
        <w:rPr>
          <w:sz w:val="20"/>
          <w:szCs w:val="20"/>
          <w:color w:val="auto"/>
        </w:rPr>
      </w:pPr>
      <w:r>
        <w:rPr>
          <w:rFonts w:ascii="Courier New" w:cs="Courier New" w:eastAsia="Courier New" w:hAnsi="Courier New"/>
          <w:sz w:val="15"/>
          <w:szCs w:val="15"/>
          <w:color w:val="auto"/>
        </w:rPr>
        <w:t>20.2% and 19.5% that resulted in September 2001 and June 2002, respectively. The loan classification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 of Total loans and  S/.Mn const.)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30.09.01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30.06.02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30.09.02</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Normal</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70.4%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Potential Problem</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Deficient</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Doubtful</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5.0%</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bl>
    <w:p>
      <w:pPr>
        <w:spacing w:after="0" w:line="1" w:lineRule="exact"/>
        <w:rPr>
          <w:sz w:val="20"/>
          <w:szCs w:val="20"/>
          <w:color w:val="auto"/>
        </w:rPr>
      </w:pPr>
    </w:p>
    <w:p>
      <w:pPr>
        <w:ind w:left="1320"/>
        <w:spacing w:after="0"/>
        <w:tabs>
          <w:tab w:leader="none" w:pos="3700" w:val="left"/>
          <w:tab w:leader="none" w:pos="4860" w:val="left"/>
          <w:tab w:leader="none" w:pos="600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060"/>
        <w:spacing w:after="0"/>
        <w:tabs>
          <w:tab w:leader="none" w:pos="3440" w:val="left"/>
          <w:tab w:leader="none" w:pos="4580" w:val="left"/>
          <w:tab w:leader="none" w:pos="5740" w:val="left"/>
        </w:tabs>
        <w:rPr>
          <w:sz w:val="20"/>
          <w:szCs w:val="20"/>
          <w:color w:val="auto"/>
        </w:rPr>
      </w:pPr>
      <w:r>
        <w:rPr>
          <w:rFonts w:ascii="Courier New" w:cs="Courier New" w:eastAsia="Courier New" w:hAnsi="Courier New"/>
          <w:sz w:val="15"/>
          <w:szCs w:val="15"/>
          <w:color w:val="auto"/>
        </w:rPr>
        <w:t>Total Loans</w:t>
      </w:r>
      <w:r>
        <w:rPr>
          <w:sz w:val="20"/>
          <w:szCs w:val="20"/>
          <w:color w:val="auto"/>
        </w:rPr>
        <w:tab/>
      </w:r>
      <w:r>
        <w:rPr>
          <w:rFonts w:ascii="Courier New" w:cs="Courier New" w:eastAsia="Courier New" w:hAnsi="Courier New"/>
          <w:sz w:val="15"/>
          <w:szCs w:val="15"/>
          <w:color w:val="auto"/>
        </w:rPr>
        <w:t>S/.12,950</w:t>
      </w:r>
      <w:r>
        <w:rPr>
          <w:sz w:val="20"/>
          <w:szCs w:val="20"/>
          <w:color w:val="auto"/>
        </w:rPr>
        <w:tab/>
      </w:r>
      <w:r>
        <w:rPr>
          <w:rFonts w:ascii="Courier New" w:cs="Courier New" w:eastAsia="Courier New" w:hAnsi="Courier New"/>
          <w:sz w:val="15"/>
          <w:szCs w:val="15"/>
          <w:color w:val="auto"/>
        </w:rPr>
        <w:t>S/.12,999</w:t>
      </w:r>
      <w:r>
        <w:rPr>
          <w:sz w:val="20"/>
          <w:szCs w:val="20"/>
          <w:color w:val="auto"/>
        </w:rPr>
        <w:tab/>
      </w:r>
      <w:r>
        <w:rPr>
          <w:rFonts w:ascii="Courier New" w:cs="Courier New" w:eastAsia="Courier New" w:hAnsi="Courier New"/>
          <w:sz w:val="14"/>
          <w:szCs w:val="14"/>
          <w:color w:val="auto"/>
        </w:rPr>
        <w:t>S/.12,778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third quarter of 2002, loan loss provisions, net of recoveries, for the amount of S/.110.3 million (US$30.3 million) were charged against income, increasing over S/.103.5 (US$28.4 million) provisioned in the second quarter 2002, and also compared to provision expense in the third quarter of 2001 which was S/.98.4 million (US$27.0 million). Quarterly provision expense charged to each business segment is as follows: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8" w:right="1440" w:bottom="1440" w:gutter="0" w:footer="0" w:header="0"/>
        </w:sectPr>
      </w:pPr>
    </w:p>
    <w:bookmarkStart w:id="25" w:name="page26"/>
    <w:bookmarkEnd w:id="25"/>
    <w:tbl>
      <w:tblPr>
        <w:tblLayout w:type="fixed"/>
        <w:tblInd w:w="9"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 of Provision expense and S/.Mn const.)</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3Q01</w:t>
            </w: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2Q02</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3Q02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Corporate Banking</w:t>
            </w:r>
          </w:p>
        </w:tc>
        <w:tc>
          <w:tcPr>
            <w:tcW w:w="1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Middle</w:t>
            </w:r>
          </w:p>
        </w:tc>
        <w:tc>
          <w:tcPr>
            <w:tcW w:w="2680" w:type="dxa"/>
            <w:vAlign w:val="bottom"/>
          </w:tcPr>
          <w:p>
            <w:pPr>
              <w:ind w:left="60"/>
              <w:spacing w:after="0"/>
              <w:rPr>
                <w:sz w:val="20"/>
                <w:szCs w:val="20"/>
                <w:color w:val="auto"/>
              </w:rPr>
            </w:pPr>
            <w:r>
              <w:rPr>
                <w:rFonts w:ascii="Courier New" w:cs="Courier New" w:eastAsia="Courier New" w:hAnsi="Courier New"/>
                <w:sz w:val="15"/>
                <w:szCs w:val="15"/>
                <w:color w:val="auto"/>
              </w:rPr>
              <w:t>Market</w:t>
            </w:r>
          </w:p>
        </w:tc>
        <w:tc>
          <w:tcPr>
            <w:tcW w:w="1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68.8%</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Retail</w:t>
            </w:r>
          </w:p>
        </w:tc>
        <w:tc>
          <w:tcPr>
            <w:tcW w:w="2680" w:type="dxa"/>
            <w:vAlign w:val="bottom"/>
          </w:tcPr>
          <w:p>
            <w:pPr>
              <w:spacing w:after="0"/>
              <w:rPr>
                <w:sz w:val="14"/>
                <w:szCs w:val="14"/>
                <w:color w:val="auto"/>
              </w:rPr>
            </w:pPr>
          </w:p>
        </w:tc>
        <w:tc>
          <w:tcPr>
            <w:tcW w:w="1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36.5%</w:t>
            </w:r>
          </w:p>
        </w:tc>
      </w:tr>
      <w:tr>
        <w:trPr>
          <w:trHeight w:val="171"/>
        </w:trPr>
        <w:tc>
          <w:tcPr>
            <w:tcW w:w="560" w:type="dxa"/>
            <w:vAlign w:val="bottom"/>
          </w:tcPr>
          <w:p>
            <w:pPr>
              <w:spacing w:after="0"/>
              <w:rPr>
                <w:sz w:val="14"/>
                <w:szCs w:val="14"/>
                <w:color w:val="auto"/>
              </w:rPr>
            </w:pPr>
          </w:p>
        </w:tc>
        <w:tc>
          <w:tcPr>
            <w:tcW w:w="2680" w:type="dxa"/>
            <w:vAlign w:val="bottom"/>
          </w:tcPr>
          <w:p>
            <w:pPr>
              <w:ind w:left="1120"/>
              <w:spacing w:after="0"/>
              <w:rPr>
                <w:sz w:val="20"/>
                <w:szCs w:val="20"/>
                <w:color w:val="auto"/>
              </w:rPr>
            </w:pPr>
            <w:r>
              <w:rPr>
                <w:rFonts w:ascii="Courier New" w:cs="Courier New" w:eastAsia="Courier New" w:hAnsi="Courier New"/>
                <w:sz w:val="15"/>
                <w:szCs w:val="15"/>
                <w:color w:val="auto"/>
              </w:rPr>
              <w:t>Total</w:t>
            </w:r>
          </w:p>
        </w:tc>
        <w:tc>
          <w:tcPr>
            <w:tcW w:w="1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629"/>
        <w:spacing w:after="0"/>
        <w:tabs>
          <w:tab w:leader="none" w:pos="4249" w:val="left"/>
          <w:tab w:leader="none" w:pos="5029" w:val="left"/>
          <w:tab w:leader="none" w:pos="6109" w:val="left"/>
        </w:tabs>
        <w:rPr>
          <w:sz w:val="20"/>
          <w:szCs w:val="20"/>
          <w:color w:val="auto"/>
        </w:rPr>
      </w:pPr>
      <w:r>
        <w:rPr>
          <w:rFonts w:ascii="Courier New" w:cs="Courier New" w:eastAsia="Courier New" w:hAnsi="Courier New"/>
          <w:sz w:val="15"/>
          <w:szCs w:val="15"/>
          <w:color w:val="auto"/>
        </w:rPr>
        <w:t>Total Provision Expense, net</w:t>
      </w:r>
      <w:r>
        <w:rPr>
          <w:sz w:val="20"/>
          <w:szCs w:val="20"/>
          <w:color w:val="auto"/>
        </w:rPr>
        <w:tab/>
      </w:r>
      <w:r>
        <w:rPr>
          <w:rFonts w:ascii="Courier New" w:cs="Courier New" w:eastAsia="Courier New" w:hAnsi="Courier New"/>
          <w:sz w:val="15"/>
          <w:szCs w:val="15"/>
          <w:color w:val="auto"/>
        </w:rPr>
        <w:t>S/.98.4</w:t>
        <w:tab/>
        <w:t>S/. 103.5</w:t>
      </w:r>
      <w:r>
        <w:rPr>
          <w:sz w:val="20"/>
          <w:szCs w:val="20"/>
          <w:color w:val="auto"/>
        </w:rPr>
        <w:tab/>
      </w:r>
      <w:r>
        <w:rPr>
          <w:rFonts w:ascii="Courier New" w:cs="Courier New" w:eastAsia="Courier New" w:hAnsi="Courier New"/>
          <w:sz w:val="14"/>
          <w:szCs w:val="14"/>
          <w:color w:val="auto"/>
        </w:rPr>
        <w:t>S/.110.3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II.7</w:t>
      </w:r>
      <w:r>
        <w:rPr>
          <w:sz w:val="20"/>
          <w:szCs w:val="20"/>
          <w:color w:val="auto"/>
        </w:rPr>
        <w:tab/>
      </w:r>
      <w:r>
        <w:rPr>
          <w:rFonts w:ascii="Courier New" w:cs="Courier New" w:eastAsia="Courier New" w:hAnsi="Courier New"/>
          <w:sz w:val="14"/>
          <w:szCs w:val="14"/>
          <w:color w:val="auto"/>
        </w:rPr>
        <w:t>CAPITAL ADEQUACY</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At the end of the third quarter of 2002, BCP's unconsolidated ratio of risk-weighted assets to regulatory capital was 9.6 to 1.0 (10.4%), while the corresponding consolidated ratio was 7.9 to 1.0 (12.7%). Risk-weighted assets include S/.928.4 million (US$254.8 million) of market-risk exposure whose coverage required S/.84.4 million (US$23.2 million) of regulatory capital at September 30, 2002. Peruvian regulations limit risk-weighted assets to a ratio of 11.0 to 1.0 (9.1%).</w:t>
      </w:r>
    </w:p>
    <w:p>
      <w:pPr>
        <w:spacing w:after="0" w:line="17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As of September 30, 2002, BCP's consolidated "regulatory capital" was S/.2,006 million (US$550.5 million), remaining similar to the preceding quarter capital. Regulatory capital included S/.90.0 million ($34.5 million) in subordinated debt in the current period, decreasing from S/.127.8 million (US$35.1 million) at June 2002.</w:t>
      </w:r>
    </w:p>
    <w:p>
      <w:pPr>
        <w:spacing w:after="0" w:line="174" w:lineRule="exact"/>
        <w:rPr>
          <w:sz w:val="20"/>
          <w:szCs w:val="20"/>
          <w:color w:val="auto"/>
        </w:rPr>
      </w:pPr>
    </w:p>
    <w:p>
      <w:pPr>
        <w:ind w:left="9" w:right="4199" w:firstLine="2574"/>
        <w:spacing w:after="0" w:line="238" w:lineRule="auto"/>
        <w:rPr>
          <w:sz w:val="20"/>
          <w:szCs w:val="20"/>
          <w:color w:val="auto"/>
        </w:rPr>
      </w:pPr>
      <w:r>
        <w:rPr>
          <w:rFonts w:ascii="Courier New" w:cs="Courier New" w:eastAsia="Courier New" w:hAnsi="Courier New"/>
          <w:sz w:val="15"/>
          <w:szCs w:val="15"/>
          <w:color w:val="auto"/>
        </w:rPr>
        <w:t>BCP unconsolidated BCP consolidated (In constant S/. Mn.) 30.09.01 30.09.02 30.09.01 30.09.02</w:t>
      </w:r>
    </w:p>
    <w:p>
      <w:pPr>
        <w:spacing w:after="0" w:line="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Regulatory capital</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1,562</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1,377</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2,006</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Risk weighted assets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12,638</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13,261</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16,143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15,758</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Weighted assets / Capital</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Capital / Weighted Assets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bl>
    <w:p>
      <w:pPr>
        <w:spacing w:after="0" w:line="1" w:lineRule="exact"/>
        <w:rPr>
          <w:sz w:val="20"/>
          <w:szCs w:val="20"/>
          <w:color w:val="auto"/>
        </w:rPr>
      </w:pPr>
    </w:p>
    <w:p>
      <w:pPr>
        <w:ind w:left="169" w:hanging="169"/>
        <w:spacing w:after="0"/>
        <w:tabs>
          <w:tab w:leader="none" w:pos="1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34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799" w:right="1440" w:bottom="1440" w:gutter="0" w:footer="0" w:header="0"/>
        </w:sectPr>
      </w:pPr>
    </w:p>
    <w:bookmarkStart w:id="26" w:name="page27"/>
    <w:bookmarkEnd w:id="26"/>
    <w:p>
      <w:pPr>
        <w:ind w:left="529" w:hanging="529"/>
        <w:spacing w:after="0"/>
        <w:tabs>
          <w:tab w:leader="none" w:pos="52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ATLANTIC SECURITY HOLDING CORPORATION AND SUBSIDIARIES ("ASHC")</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Consolidated net income for the nine-month period ended September 30, 2002 was US$5.6 million, 10.2% over US$5.1 million in the same period of 2001. Third quarter 2002 net income was US$0.1 million, compared to a net loss of US$1.4 million in the year-ago quarter. The net income in the current quarter compared to the loss in the prior year period is due to decreased market value provisions, partly offset by losses on securities transactions registered in the third quarter of 2002.</w:t>
      </w:r>
    </w:p>
    <w:p>
      <w:pPr>
        <w:spacing w:after="0" w:line="176"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Net interest income before risk provisions, which includes dividend income, was US$4.3 million in the third quarter of 2002, remaining similar to the net interest income in the same quarter of 2001. Dividends received in both periods were not significant.</w:t>
      </w:r>
    </w:p>
    <w:p>
      <w:pPr>
        <w:spacing w:after="0" w:line="17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Net interest margin, without considering dividends and investments in equity shares, was 3.0% during third quarter 2002, above the 2.5% margin in the year-ago period, mainly due to lower cost of funds. The margin decreases compared to 3.4% in the preceding second quarter, mainly due to interest collected from bonds which were accounted on a cash-basis in that period.</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third quarter of 2002 charges against income for market risk provisions amounted to US$1.0 million, increasing from US$0.8 million charged in the preceding quarter, but lower than US$7.3 million provisioned in the year-ago period. In the current quarter US$0.3 million were also provisioned for credit risks.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Other Income, which includes fee income and realized gains on securities transactions before risk provisions, decreased from a loss of US$1.3 million in the second quarter of 2002 to a loss of US$0.4 million in the current quarter, mainly due to lower realized losses on securities transactions of US$1.7 million in the current period compared to losses of US$2.9 million in the second quarter of 2002.</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loan portfolio, net of provisions, was US$153.8 million as of September 30, 2002, decreasing compared to US$206.9 million at September 2001, mainly due to decreased lending to Peruvian companies and lower risk-participated loans, and, additionally, to the reclassification of purchased loans that are registered as investments since the close of December 2001.</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investment portfolio was US$298.9 million at September 2002, over US$263.9 million last September 2001, but below US$312.3 million in the preceding quarter. The increase compared to the year-ago period is partly due to the reclassification mentioned in the previous paragraph, while the decrease with respect to the second quarter 2002 is principally because of lower valuations in the capital markets.</w:t>
      </w:r>
    </w:p>
    <w:p>
      <w:pPr>
        <w:spacing w:after="0" w:line="175" w:lineRule="exact"/>
        <w:rPr>
          <w:sz w:val="20"/>
          <w:szCs w:val="20"/>
          <w:color w:val="auto"/>
        </w:rPr>
      </w:pPr>
    </w:p>
    <w:p>
      <w:pPr>
        <w:jc w:val="both"/>
        <w:ind w:left="9" w:right="3399" w:firstLine="444"/>
        <w:spacing w:after="0" w:line="239" w:lineRule="auto"/>
        <w:rPr>
          <w:sz w:val="20"/>
          <w:szCs w:val="20"/>
          <w:color w:val="auto"/>
        </w:rPr>
      </w:pPr>
      <w:r>
        <w:rPr>
          <w:rFonts w:ascii="Courier New" w:cs="Courier New" w:eastAsia="Courier New" w:hAnsi="Courier New"/>
          <w:sz w:val="15"/>
          <w:szCs w:val="15"/>
          <w:color w:val="auto"/>
        </w:rPr>
        <w:t>Deposits amounted to US$537.3 million at September 30, 2002, decreasing from US$543.3 million at the end of the third quarter of 2001. The decline is mostly due to lower bank deposit interest rates, resulting in transfers into other investments.</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Funds under management increased 29.5% to US$481.8 million at September 30, 2002, from US$372.2 million at the end of the third quarter of 2001, and 1.6% compared to US$474.3 million at the second quarter 2002. The increase is principally due to the introduction of new structured products and funds under management with higher yields than interest paid on bank deposits, while the growth slowdown in the current quarter was due to withdrawals caused by high market volatility.</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Net equity reached US$102.4 million at the end of September 2002, lower than US$104.7 million at June 2002 mainly due to higher special equity reserves for unrealized losses on investments which increased from US$12.8 million at the end of June 2002, to US$15.1 million at the end of the current quarter. The loan portfolio had no past dues.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ratio of operating expenses over average assets was 1.5%, annualized, in the third quarter of 2002 remaining similar to the ratio during the year-ago period. This ratio declines to 0.9% in the third quarter of 2002, when funds under management are included within total assets, improving over 1.0% in the prior year quarter.</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8"/>
          </w:cols>
          <w:pgMar w:left="231" w:top="628" w:right="1440" w:bottom="1440" w:gutter="0" w:footer="0" w:header="0"/>
        </w:sectPr>
      </w:pPr>
    </w:p>
    <w:bookmarkStart w:id="27" w:name="page28"/>
    <w:bookmarkEnd w:id="27"/>
    <w:p>
      <w:pPr>
        <w:spacing w:after="0"/>
        <w:tabs>
          <w:tab w:leader="none" w:pos="420" w:val="left"/>
        </w:tabs>
        <w:rPr>
          <w:sz w:val="20"/>
          <w:szCs w:val="20"/>
          <w:color w:val="auto"/>
        </w:rPr>
      </w:pPr>
      <w:r>
        <w:rPr>
          <w:rFonts w:ascii="Courier New" w:cs="Courier New" w:eastAsia="Courier New" w:hAnsi="Courier New"/>
          <w:sz w:val="15"/>
          <w:szCs w:val="15"/>
          <w:color w:val="auto"/>
        </w:rPr>
        <w:t>IV.</w:t>
        <w:tab/>
        <w:t>EL PACIFICO-PERUANO SUIZA AND SUBSIDIARIES ("PPS")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PPS obtained in the nine-month period ended September 30, 2002 a consolidated net income of S/.34.6 million (US$9.5 million), compared to S/.2.9 million (US$0.8 million) in the same period of 2001. Net income in the third quarter 2002 was S/.12.3 million (US$3.4 million), higher than S/.7.6 million (US$2.1 million) in the year-ago quarter. Increased net income in the first nine months of 2002 and in the current quarter is mainly due to higher premiums and to lower claims.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Total premiums in the third quarter of 2002, increased 20.2% to S/.232.4 million (US$63.8 million), compared to S/.196.3 million (US$53.1 million) in the year-ago quarter, and by 21.6% compared to S/.191.1 million (US$52.4 million) in the preceding second quarter. Net premiums earned, net of reinsured premiums and reserves, were S/.128.8 million (US$35.4 million) in third quarter 2002, 17.4% above the prior year quarter, mainly due to higher ceded premiums. Also, premiums grew because of increased prices due to higher international reinsurance costs.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Additions to technical reserves for premiums grew by S/.26.5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(US$7.3 million) in the third quarter of 2002, most of which were established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Pacifico Vida for its life annuities and life insurance lines, and remained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similar to reserves in the year-ago quarter.</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Comparing results of the nine-month periods through September 2002 and 2001, consolidated premiums consisted of: general insurance lines that amounted to 63.1% of total premiums and increased 29.9%, while PacificoSalud's premiums were 9.6%, increasing 6.9%, and premiums by Pacifico Vida amounted to 27.3% and grew 7.7%.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Through September 30, 2002, growth of the health and medical assistance insurance line (21.2% of total premiums) was 6.5%; fire insurance lines (23.9% of total premiums) increased 77.4%; while the automobile insurance line (6.7% of total premiums) decreased 14.3%. In the first nine months of 2002, pension fund benefits insurance (8.3% of total premiums) grew 11.9%, while group life insurance and individual life insurance policies (10.4% of total premiums) grew 13.1%, and life annuities (7.5% of total premiums) decreased 3.4% compared to the same period in 2001.</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underwriting results was S/.21.7 million (US$5.9 million) in the third quarter of 2002, compared to S/.15.3 million (US$4.2 million) in the prior year quarter. The ratio of net underwriting results (net premiums less reserves and claims as a percentage of total premiums) was 9.3% in the third quarter of 2002, improving compared to 7.8% in the prior year period, and to 5.2% in the second quarter 2002 which had higher claims.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Net claims incurred in the third quarter of 2002 were S/.91.8 million (US$25.2 million), 3.2% over claims in the same 2001 quarter, but 4.4% lower than in the preceding quarter. The net loss ratio (net claims to net premiums) decreases to 59.1% in the current quarter from 65.3% in third quarter 2001, and from 68.4% in the preceding second quarter. The net loss ratio in the first nine months of 2002 was 58.4%, lower than 66.7% in the year-ago period, but continues high in pension fund insurance (113%), health (82%) and in Pacifico Salud (80%).</w:t>
      </w:r>
    </w:p>
    <w:p>
      <w:pPr>
        <w:spacing w:after="0" w:line="16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combined ratio (the sum of net claims, general expenses and commissions, as a percentage of net premiums) decreased from 87.6% in the third quarter of 2001 to 81.1% in the current quarter, due to lower claims, principally in fire insurance.</w:t>
      </w:r>
    </w:p>
    <w:p>
      <w:pPr>
        <w:spacing w:after="0" w:line="17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Operating expenses over net premiums declined from 17.5% to 16.1% comparing the third quarters of 2001 and 2002, respectively.</w:t>
      </w:r>
    </w:p>
    <w:p>
      <w:pPr>
        <w:spacing w:after="0" w:line="175" w:lineRule="exact"/>
        <w:rPr>
          <w:sz w:val="20"/>
          <w:szCs w:val="20"/>
          <w:color w:val="auto"/>
        </w:rPr>
      </w:pPr>
    </w:p>
    <w:p>
      <w:pPr>
        <w:jc w:val="both"/>
        <w:ind w:right="3659" w:firstLine="444"/>
        <w:spacing w:after="0" w:line="239" w:lineRule="auto"/>
        <w:rPr>
          <w:sz w:val="20"/>
          <w:szCs w:val="20"/>
          <w:color w:val="auto"/>
        </w:rPr>
      </w:pPr>
      <w:r>
        <w:rPr>
          <w:rFonts w:ascii="Courier New" w:cs="Courier New" w:eastAsia="Courier New" w:hAnsi="Courier New"/>
          <w:sz w:val="15"/>
          <w:szCs w:val="15"/>
          <w:color w:val="auto"/>
        </w:rPr>
        <w:t>Investments in real estate and financial assets were S/.987.5 million (US$271.0 million) at the end of September 2002, increasing 21.8% from the year-ago balance.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8" w:right="1440" w:bottom="1440" w:gutter="0" w:footer="0" w:header="0"/>
        </w:sectPr>
      </w:pPr>
    </w:p>
    <w:bookmarkStart w:id="28" w:name="page29"/>
    <w:bookmarkEnd w:id="28"/>
    <w:p>
      <w:pPr>
        <w:ind w:right="3399" w:firstLine="444"/>
        <w:spacing w:after="0" w:line="239" w:lineRule="auto"/>
        <w:rPr>
          <w:sz w:val="20"/>
          <w:szCs w:val="20"/>
          <w:color w:val="auto"/>
        </w:rPr>
      </w:pPr>
      <w:r>
        <w:rPr>
          <w:rFonts w:ascii="Courier New" w:cs="Courier New" w:eastAsia="Courier New" w:hAnsi="Courier New"/>
          <w:sz w:val="15"/>
          <w:szCs w:val="15"/>
          <w:color w:val="auto"/>
        </w:rPr>
        <w:t>As of September 30, 2002, total assets were S/.1,463.1 million (US$401.5 million) increasing 26.5% compared to the year-ago balance. At the end of the current period net equity amounted to S/.353.4 million (US$97.0 million) increasing 19.4% over net equity at September 2001.</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Peruvian insurance market through August 31, 2002, increased total premiums 20.3% with respect to the prior year period, in nominal terms, reaching US$453.1 million, mainly due to higher reinsurance costs. For the first eight months of 2002, PPS's market share in total premiums was 36.8% (33.5% in the year-ago period), with the share in general risks lines being 35.1%, and in life insurance and pension fund benefits lines of 31.2% and 27.9% (36.0%, 29.9% and 25.9% as of August 2001, respectively).</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29" w:name="page30"/>
    <w:bookmarkEnd w:id="29"/>
    <w:p>
      <w:pPr>
        <w:jc w:val="center"/>
        <w:ind w:right="1610"/>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CREDICORP LTD.</w:t>
        <w:tab/>
        <w:t>AND</w:t>
      </w:r>
      <w:r>
        <w:rPr>
          <w:sz w:val="20"/>
          <w:szCs w:val="20"/>
          <w:color w:val="auto"/>
        </w:rPr>
        <w:tab/>
      </w:r>
      <w:r>
        <w:rPr>
          <w:rFonts w:ascii="Courier New" w:cs="Courier New" w:eastAsia="Courier New" w:hAnsi="Courier New"/>
          <w:sz w:val="14"/>
          <w:szCs w:val="14"/>
          <w:color w:val="auto"/>
        </w:rPr>
        <w:t>SUBSIDIARIES</w:t>
      </w:r>
    </w:p>
    <w:p>
      <w:pPr>
        <w:spacing w:after="0" w:line="1" w:lineRule="exact"/>
        <w:rPr>
          <w:sz w:val="20"/>
          <w:szCs w:val="20"/>
          <w:color w:val="auto"/>
        </w:rPr>
      </w:pPr>
    </w:p>
    <w:p>
      <w:pPr>
        <w:jc w:val="center"/>
        <w:ind w:right="1530"/>
        <w:spacing w:after="0"/>
        <w:tabs>
          <w:tab w:leader="none" w:pos="160" w:val="left"/>
        </w:tabs>
        <w:rPr>
          <w:sz w:val="20"/>
          <w:szCs w:val="20"/>
          <w:color w:val="auto"/>
        </w:rPr>
      </w:pPr>
      <w:r>
        <w:rPr>
          <w:rFonts w:ascii="Courier New" w:cs="Courier New" w:eastAsia="Courier New" w:hAnsi="Courier New"/>
          <w:sz w:val="15"/>
          <w:szCs w:val="15"/>
          <w:color w:val="auto"/>
        </w:rPr>
        <w:t>Table</w:t>
        <w:tab/>
        <w:t>1</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(In thousands of U.S. Dollars)</w:t>
      </w:r>
    </w:p>
    <w:p>
      <w:pPr>
        <w:spacing w:after="0" w:line="174" w:lineRule="exact"/>
        <w:rPr>
          <w:sz w:val="20"/>
          <w:szCs w:val="20"/>
          <w:color w:val="auto"/>
        </w:rPr>
      </w:pPr>
    </w:p>
    <w:p>
      <w:pPr>
        <w:ind w:left="169" w:hanging="169"/>
        <w:spacing w:after="0"/>
        <w:tabs>
          <w:tab w:leader="none" w:pos="16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60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 of</w:t>
      </w:r>
    </w:p>
    <w:p>
      <w:pPr>
        <w:spacing w:after="0" w:line="3" w:lineRule="exact"/>
        <w:rPr>
          <w:sz w:val="20"/>
          <w:szCs w:val="20"/>
          <w:color w:val="auto"/>
        </w:rPr>
      </w:pPr>
    </w:p>
    <w:p>
      <w:pPr>
        <w:jc w:val="both"/>
        <w:ind w:left="1589" w:right="1539" w:firstLine="2219"/>
        <w:spacing w:after="0" w:line="238" w:lineRule="auto"/>
        <w:rPr>
          <w:sz w:val="20"/>
          <w:szCs w:val="20"/>
          <w:color w:val="auto"/>
        </w:rPr>
      </w:pPr>
      <w:r>
        <w:rPr>
          <w:rFonts w:ascii="Courier New" w:cs="Courier New" w:eastAsia="Courier New" w:hAnsi="Courier New"/>
          <w:sz w:val="15"/>
          <w:szCs w:val="15"/>
          <w:color w:val="auto"/>
        </w:rPr>
        <w:t>------------------------------------------------------- ASSETS Sep. 30, 2001 Dec. 31, 2001 Jun. 30, 2002 Sep. 30, 2002</w:t>
      </w:r>
    </w:p>
    <w:p>
      <w:pPr>
        <w:spacing w:after="0" w:line="4" w:lineRule="exact"/>
        <w:rPr>
          <w:sz w:val="20"/>
          <w:szCs w:val="20"/>
          <w:color w:val="auto"/>
        </w:rPr>
      </w:pPr>
    </w:p>
    <w:p>
      <w:pPr>
        <w:ind w:left="169" w:hanging="169"/>
        <w:spacing w:after="0"/>
        <w:tabs>
          <w:tab w:leader="none" w:pos="16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AND DUE FROM BANKS</w:t>
      </w:r>
    </w:p>
    <w:p>
      <w:pPr>
        <w:ind w:left="169" w:hanging="169"/>
        <w:spacing w:after="0"/>
        <w:tabs>
          <w:tab w:leader="none" w:pos="16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Cash and non interest bearing deposits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in banks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244,009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277,841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239,724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251,670</w:t>
            </w:r>
          </w:p>
        </w:tc>
      </w:tr>
      <w:tr>
        <w:trPr>
          <w:trHeight w:val="171"/>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Interest bearing deposits in banks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1,924,882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1,675,562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1,469,750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1,768,854</w:t>
            </w:r>
          </w:p>
        </w:tc>
      </w:tr>
      <w:tr>
        <w:trPr>
          <w:trHeight w:val="171"/>
        </w:trPr>
        <w:tc>
          <w:tcPr>
            <w:tcW w:w="3800" w:type="dxa"/>
            <w:vAlign w:val="bottom"/>
          </w:tcPr>
          <w:p>
            <w:pPr>
              <w:spacing w:after="0"/>
              <w:rPr>
                <w:sz w:val="14"/>
                <w:szCs w:val="14"/>
                <w:color w:val="auto"/>
              </w:rPr>
            </w:pPr>
          </w:p>
        </w:tc>
        <w:tc>
          <w:tcPr>
            <w:tcW w:w="48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80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2,168,891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1,953,403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1,709,474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2,020,524</w:t>
            </w:r>
          </w:p>
        </w:tc>
      </w:tr>
      <w:tr>
        <w:trPr>
          <w:trHeight w:val="171"/>
        </w:trPr>
        <w:tc>
          <w:tcPr>
            <w:tcW w:w="3800" w:type="dxa"/>
            <w:vAlign w:val="bottom"/>
          </w:tcPr>
          <w:p>
            <w:pPr>
              <w:spacing w:after="0"/>
              <w:rPr>
                <w:sz w:val="14"/>
                <w:szCs w:val="14"/>
                <w:color w:val="auto"/>
              </w:rPr>
            </w:pPr>
          </w:p>
        </w:tc>
        <w:tc>
          <w:tcPr>
            <w:tcW w:w="48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MARKETABLE SECURITIES, net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511,821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516,376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498,453</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518,108</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4,313,517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4,064,479</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4,045,408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3,869,572</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Current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3,929,175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3,713,644</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3,729,116</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3,559,161</w:t>
            </w:r>
          </w:p>
        </w:tc>
      </w:tr>
      <w:tr>
        <w:trPr>
          <w:trHeight w:val="171"/>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Past Due</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384,342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350,835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316,292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310,411</w:t>
            </w:r>
          </w:p>
        </w:tc>
      </w:tr>
      <w:tr>
        <w:trPr>
          <w:trHeight w:val="171"/>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Less - Reserve for possible loan losses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(355,793)</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(344,433)</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(314,076)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(310,787)</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LOANS  NET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3,957,724</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3,720,046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3,731,332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3,558,785</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INVESTMENT SECURITIES AVAILABLE FOR SALE</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615,003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584,293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620,141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618,286</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REINSURANCE ASSETS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44,617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45,663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35,012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39,279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7"/>
              </w:rPr>
              <w:t>PREMIUMS AND OTHER POLICYHOLDER RECEIVABLES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47,156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54,587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65,141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63,020</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251,864</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258,870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248,184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244,050</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DUE FROM CUSTOMERS ON ACCEPTANCES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40,605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38,606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29,617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30,453</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393,936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417,072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354,004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306,543</w:t>
            </w:r>
          </w:p>
        </w:tc>
      </w:tr>
      <w:tr>
        <w:trPr>
          <w:trHeight w:val="341"/>
        </w:trPr>
        <w:tc>
          <w:tcPr>
            <w:tcW w:w="3800" w:type="dxa"/>
            <w:vAlign w:val="bottom"/>
          </w:tcPr>
          <w:p>
            <w:pPr>
              <w:ind w:left="1320"/>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8,031,617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7,588,916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7,291,358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7,399,048</w:t>
            </w:r>
          </w:p>
        </w:tc>
      </w:tr>
    </w:tbl>
    <w:p>
      <w:pPr>
        <w:spacing w:after="0" w:line="174" w:lineRule="exact"/>
        <w:rPr>
          <w:sz w:val="20"/>
          <w:szCs w:val="20"/>
          <w:color w:val="auto"/>
        </w:rPr>
      </w:pPr>
    </w:p>
    <w:p>
      <w:pPr>
        <w:ind w:left="169" w:hanging="169"/>
        <w:spacing w:after="0"/>
        <w:tabs>
          <w:tab w:leader="none" w:pos="16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SHAREHOLDERS' EQUITY</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DEPOSITS AND OBLIGATIONS: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Non-interest bearing</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632,154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766,607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686,970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685,739</w:t>
            </w:r>
          </w:p>
        </w:tc>
      </w:tr>
      <w:tr>
        <w:trPr>
          <w:trHeight w:val="171"/>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Interest bearing</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5,398,318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4,960,884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4,827,277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4,948,560</w:t>
            </w:r>
          </w:p>
        </w:tc>
      </w:tr>
      <w:tr>
        <w:trPr>
          <w:trHeight w:val="171"/>
        </w:trPr>
        <w:tc>
          <w:tcPr>
            <w:tcW w:w="3680" w:type="dxa"/>
            <w:vAlign w:val="bottom"/>
          </w:tcPr>
          <w:p>
            <w:pPr>
              <w:spacing w:after="0"/>
              <w:rPr>
                <w:sz w:val="14"/>
                <w:szCs w:val="14"/>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6,030,472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5,727,491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5,514,247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5,634,299</w:t>
            </w:r>
          </w:p>
        </w:tc>
      </w:tr>
      <w:tr>
        <w:trPr>
          <w:trHeight w:val="171"/>
        </w:trPr>
        <w:tc>
          <w:tcPr>
            <w:tcW w:w="3680" w:type="dxa"/>
            <w:vAlign w:val="bottom"/>
          </w:tcPr>
          <w:p>
            <w:pPr>
              <w:spacing w:after="0"/>
              <w:rPr>
                <w:sz w:val="14"/>
                <w:szCs w:val="14"/>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DUE TO BANKS  AND CORRESPONDENTS</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479,749</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341,452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302,846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305,384</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ACCEPTANCES OUTSTANDING</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40,605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38,606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29,617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30,453</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RESERVE FOR PROPERTY AND CASUALTY CLAIMS</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185,649</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193,452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208,188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212,514</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RESERVE FOR UNEARNED PREMIUMS</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39,185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44,707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47,808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51,189</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REINSURANCE PAYABLE</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22,793</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23,801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25,585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30,564</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327,376</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310,383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298,658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271,845</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103,073</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112,255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63,031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64,311</w:t>
            </w:r>
          </w:p>
        </w:tc>
      </w:tr>
      <w:tr>
        <w:trPr>
          <w:trHeight w:val="341"/>
        </w:trPr>
        <w:tc>
          <w:tcPr>
            <w:tcW w:w="3680" w:type="dxa"/>
            <w:vAlign w:val="bottom"/>
          </w:tcPr>
          <w:p>
            <w:pPr>
              <w:ind w:left="1140"/>
              <w:spacing w:after="0"/>
              <w:rPr>
                <w:sz w:val="20"/>
                <w:szCs w:val="20"/>
                <w:color w:val="auto"/>
              </w:rPr>
            </w:pPr>
            <w:r>
              <w:rPr>
                <w:rFonts w:ascii="Courier New" w:cs="Courier New" w:eastAsia="Courier New" w:hAnsi="Courier New"/>
                <w:sz w:val="15"/>
                <w:szCs w:val="15"/>
                <w:color w:val="auto"/>
              </w:rPr>
              <w:t>TOTAL LIABILITIES</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7,228,902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6,792,147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6,489,980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6,600,559</w:t>
            </w:r>
          </w:p>
        </w:tc>
      </w:tr>
      <w:tr>
        <w:trPr>
          <w:trHeight w:val="341"/>
        </w:trPr>
        <w:tc>
          <w:tcPr>
            <w:tcW w:w="3680" w:type="dxa"/>
            <w:vAlign w:val="bottom"/>
          </w:tcPr>
          <w:p>
            <w:pPr>
              <w:ind w:left="780"/>
              <w:spacing w:after="0"/>
              <w:rPr>
                <w:sz w:val="20"/>
                <w:szCs w:val="20"/>
                <w:color w:val="auto"/>
              </w:rPr>
            </w:pPr>
            <w:r>
              <w:rPr>
                <w:rFonts w:ascii="Courier New" w:cs="Courier New" w:eastAsia="Courier New" w:hAnsi="Courier New"/>
                <w:sz w:val="15"/>
                <w:szCs w:val="15"/>
                <w:color w:val="auto"/>
              </w:rPr>
              <w:t>NET SHAREHOLDERS' EQUITY</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802,715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796,769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801,378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798,489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and NET SHAREHOLDERS'</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64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EQUITY</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8,031,617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7,588,916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7,291,358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7,399,048</w:t>
            </w:r>
          </w:p>
        </w:tc>
      </w:tr>
      <w:tr>
        <w:trPr>
          <w:trHeight w:val="341"/>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6"/>
              </w:rPr>
              <w:t>CONTINGENT CREDITS</w:t>
            </w:r>
          </w:p>
        </w:tc>
        <w:tc>
          <w:tcPr>
            <w:tcW w:w="2260" w:type="dxa"/>
            <w:vAlign w:val="bottom"/>
          </w:tcPr>
          <w:p>
            <w:pPr>
              <w:spacing w:after="0"/>
              <w:rPr>
                <w:sz w:val="24"/>
                <w:szCs w:val="2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917,791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1,079,749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1,282,967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1,310,519</w:t>
            </w:r>
          </w:p>
        </w:tc>
      </w:tr>
      <w:tr>
        <w:trPr>
          <w:trHeight w:val="683"/>
        </w:trPr>
        <w:tc>
          <w:tcPr>
            <w:tcW w:w="1640" w:type="dxa"/>
            <w:vAlign w:val="bottom"/>
          </w:tcPr>
          <w:p>
            <w:pPr>
              <w:spacing w:after="0"/>
              <w:rPr>
                <w:sz w:val="24"/>
                <w:szCs w:val="24"/>
                <w:color w:val="auto"/>
              </w:rPr>
            </w:pPr>
          </w:p>
        </w:tc>
        <w:tc>
          <w:tcPr>
            <w:tcW w:w="2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28"/>
          </w:cols>
          <w:pgMar w:left="231" w:top="1140" w:right="1440" w:bottom="1440" w:gutter="0" w:footer="0" w:header="0"/>
        </w:sectPr>
      </w:pPr>
    </w:p>
    <w:bookmarkStart w:id="30" w:name="page31"/>
    <w:bookmarkEnd w:id="30"/>
    <w:p>
      <w:pPr>
        <w:jc w:val="center"/>
        <w:ind w:right="1450"/>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CREDICORP LTD.</w:t>
        <w:tab/>
        <w:t>AND</w:t>
      </w:r>
      <w:r>
        <w:rPr>
          <w:sz w:val="20"/>
          <w:szCs w:val="20"/>
          <w:color w:val="auto"/>
        </w:rPr>
        <w:tab/>
      </w:r>
      <w:r>
        <w:rPr>
          <w:rFonts w:ascii="Courier New" w:cs="Courier New" w:eastAsia="Courier New" w:hAnsi="Courier New"/>
          <w:sz w:val="14"/>
          <w:szCs w:val="14"/>
          <w:color w:val="auto"/>
        </w:rPr>
        <w:t>SUBSIDIARIES</w:t>
      </w:r>
    </w:p>
    <w:p>
      <w:pPr>
        <w:spacing w:after="0" w:line="1" w:lineRule="exact"/>
        <w:rPr>
          <w:sz w:val="20"/>
          <w:szCs w:val="20"/>
          <w:color w:val="auto"/>
        </w:rPr>
      </w:pPr>
    </w:p>
    <w:p>
      <w:pPr>
        <w:jc w:val="center"/>
        <w:ind w:left="1520"/>
        <w:spacing w:after="0"/>
        <w:tabs>
          <w:tab w:leader="none" w:pos="160" w:val="left"/>
        </w:tabs>
        <w:rPr>
          <w:sz w:val="20"/>
          <w:szCs w:val="20"/>
          <w:color w:val="auto"/>
        </w:rPr>
      </w:pPr>
      <w:r>
        <w:rPr>
          <w:rFonts w:ascii="Courier New" w:cs="Courier New" w:eastAsia="Courier New" w:hAnsi="Courier New"/>
          <w:sz w:val="15"/>
          <w:szCs w:val="15"/>
          <w:color w:val="auto"/>
        </w:rPr>
        <w:t>Table</w:t>
        <w:tab/>
        <w:t>2</w:t>
      </w:r>
    </w:p>
    <w:p>
      <w:pPr>
        <w:spacing w:after="0" w:line="1" w:lineRule="exact"/>
        <w:rPr>
          <w:sz w:val="20"/>
          <w:szCs w:val="20"/>
          <w:color w:val="auto"/>
        </w:rPr>
      </w:pPr>
    </w:p>
    <w:p>
      <w:pPr>
        <w:jc w:val="right"/>
        <w:ind w:right="4459"/>
        <w:spacing w:after="0"/>
        <w:tabs>
          <w:tab w:leader="none" w:pos="4760" w:val="left"/>
        </w:tabs>
        <w:rPr>
          <w:sz w:val="20"/>
          <w:szCs w:val="20"/>
          <w:color w:val="auto"/>
        </w:rPr>
      </w:pPr>
      <w:r>
        <w:rPr>
          <w:rFonts w:ascii="Courier New" w:cs="Courier New" w:eastAsia="Courier New" w:hAnsi="Courier New"/>
          <w:sz w:val="15"/>
          <w:szCs w:val="15"/>
          <w:color w:val="auto"/>
        </w:rPr>
        <w:t>CONSOLIDATED</w:t>
      </w:r>
      <w:r>
        <w:rPr>
          <w:sz w:val="20"/>
          <w:szCs w:val="20"/>
          <w:color w:val="auto"/>
        </w:rPr>
        <w:tab/>
      </w:r>
      <w:r>
        <w:rPr>
          <w:rFonts w:ascii="Courier New" w:cs="Courier New" w:eastAsia="Courier New" w:hAnsi="Courier New"/>
          <w:sz w:val="14"/>
          <w:szCs w:val="14"/>
          <w:color w:val="auto"/>
        </w:rPr>
        <w:t>INCOME STATEMENTS</w:t>
      </w:r>
    </w:p>
    <w:p>
      <w:pPr>
        <w:spacing w:after="0" w:line="1"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(In thousands of U.S. Dollars)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4429"/>
        <w:spacing w:after="0"/>
        <w:tabs>
          <w:tab w:leader="none" w:pos="6909" w:val="left"/>
          <w:tab w:leader="none" w:pos="7429" w:val="left"/>
          <w:tab w:leader="none" w:pos="8149"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5"/>
          <w:szCs w:val="15"/>
          <w:color w:val="auto"/>
        </w:rPr>
        <w:t>Nine</w:t>
        <w:tab/>
        <w:t>months</w:t>
      </w:r>
      <w:r>
        <w:rPr>
          <w:sz w:val="20"/>
          <w:szCs w:val="20"/>
          <w:color w:val="auto"/>
        </w:rPr>
        <w:tab/>
      </w:r>
      <w:r>
        <w:rPr>
          <w:rFonts w:ascii="Courier New" w:cs="Courier New" w:eastAsia="Courier New" w:hAnsi="Courier New"/>
          <w:sz w:val="14"/>
          <w:szCs w:val="14"/>
          <w:color w:val="auto"/>
        </w:rPr>
        <w:t>ended</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9"/>
        <w:spacing w:after="0"/>
        <w:tabs>
          <w:tab w:leader="none" w:pos="4869" w:val="left"/>
          <w:tab w:leader="none" w:pos="5929" w:val="left"/>
          <w:tab w:leader="none" w:pos="6809" w:val="left"/>
          <w:tab w:leader="none" w:pos="8049" w:val="left"/>
        </w:tabs>
        <w:rPr>
          <w:sz w:val="20"/>
          <w:szCs w:val="20"/>
          <w:color w:val="auto"/>
        </w:rPr>
      </w:pPr>
      <w:r>
        <w:rPr>
          <w:rFonts w:ascii="Courier New" w:cs="Courier New" w:eastAsia="Courier New" w:hAnsi="Courier New"/>
          <w:sz w:val="15"/>
          <w:szCs w:val="15"/>
          <w:color w:val="auto"/>
        </w:rPr>
        <w:t>30.09.01</w:t>
      </w:r>
      <w:r>
        <w:rPr>
          <w:sz w:val="20"/>
          <w:szCs w:val="20"/>
          <w:color w:val="auto"/>
        </w:rPr>
        <w:tab/>
      </w:r>
      <w:r>
        <w:rPr>
          <w:rFonts w:ascii="Courier New" w:cs="Courier New" w:eastAsia="Courier New" w:hAnsi="Courier New"/>
          <w:sz w:val="15"/>
          <w:szCs w:val="15"/>
          <w:color w:val="auto"/>
        </w:rPr>
        <w:t>30.06.02</w:t>
      </w:r>
      <w:r>
        <w:rPr>
          <w:sz w:val="20"/>
          <w:szCs w:val="20"/>
          <w:color w:val="auto"/>
        </w:rPr>
        <w:tab/>
      </w:r>
      <w:r>
        <w:rPr>
          <w:rFonts w:ascii="Courier New" w:cs="Courier New" w:eastAsia="Courier New" w:hAnsi="Courier New"/>
          <w:sz w:val="15"/>
          <w:szCs w:val="15"/>
          <w:color w:val="auto"/>
        </w:rPr>
        <w:t>30.09.02</w:t>
        <w:tab/>
        <w:t>30.09.01</w:t>
      </w:r>
      <w:r>
        <w:rPr>
          <w:sz w:val="20"/>
          <w:szCs w:val="20"/>
          <w:color w:val="auto"/>
        </w:rPr>
        <w:tab/>
      </w:r>
      <w:r>
        <w:rPr>
          <w:rFonts w:ascii="Courier New" w:cs="Courier New" w:eastAsia="Courier New" w:hAnsi="Courier New"/>
          <w:sz w:val="15"/>
          <w:szCs w:val="15"/>
          <w:color w:val="auto"/>
        </w:rPr>
        <w:t>30.09.02</w:t>
      </w:r>
    </w:p>
    <w:p>
      <w:pPr>
        <w:spacing w:after="0" w:line="3" w:lineRule="exact"/>
        <w:rPr>
          <w:sz w:val="20"/>
          <w:szCs w:val="20"/>
          <w:color w:val="auto"/>
        </w:rPr>
      </w:pPr>
    </w:p>
    <w:p>
      <w:pPr>
        <w:ind w:left="169" w:hanging="169"/>
        <w:spacing w:after="0"/>
        <w:tabs>
          <w:tab w:leader="none" w:pos="16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INTEREST INCOME</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Interest on</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loans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134,915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108,242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98,991</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420,469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319,027</w:t>
            </w:r>
          </w:p>
        </w:tc>
      </w:tr>
      <w:tr>
        <w:trPr>
          <w:trHeight w:val="171"/>
        </w:trPr>
        <w:tc>
          <w:tcPr>
            <w:tcW w:w="36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Interest and dividends on investments: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1,803</w:t>
            </w:r>
          </w:p>
        </w:tc>
      </w:tr>
      <w:tr>
        <w:trPr>
          <w:trHeight w:val="17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Interest on</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deposits with banks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17,849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8,155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10,420</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54,989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26,286</w:t>
            </w:r>
          </w:p>
        </w:tc>
      </w:tr>
      <w:tr>
        <w:trPr>
          <w:trHeight w:val="17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Interest on</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trading securities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20,026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17,416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9,915</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62,246</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43,444</w:t>
            </w:r>
          </w:p>
        </w:tc>
      </w:tr>
      <w:tr>
        <w:trPr>
          <w:trHeight w:val="171"/>
        </w:trPr>
        <w:tc>
          <w:tcPr>
            <w:tcW w:w="1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1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68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Total Interest Income</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173,142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134,611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119,630</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539,711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390,560</w:t>
            </w:r>
          </w:p>
        </w:tc>
      </w:tr>
      <w:tr>
        <w:trPr>
          <w:trHeight w:val="171"/>
        </w:trPr>
        <w:tc>
          <w:tcPr>
            <w:tcW w:w="1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1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Interest on</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deposits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55,709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30,051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28,090</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178,861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89,392</w:t>
            </w:r>
          </w:p>
        </w:tc>
      </w:tr>
      <w:tr>
        <w:trPr>
          <w:trHeight w:val="17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Interest on</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borrowed funds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13,222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6,545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5,464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48,790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20,149</w:t>
            </w:r>
          </w:p>
        </w:tc>
      </w:tr>
      <w:tr>
        <w:trPr>
          <w:trHeight w:val="171"/>
        </w:trPr>
        <w:tc>
          <w:tcPr>
            <w:tcW w:w="3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Other interest expense</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9,844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7,571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8,585</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30,330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24,942</w:t>
            </w:r>
          </w:p>
        </w:tc>
      </w:tr>
      <w:tr>
        <w:trPr>
          <w:trHeight w:val="171"/>
        </w:trPr>
        <w:tc>
          <w:tcPr>
            <w:tcW w:w="1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1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68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Total Interest Expense</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78,775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44,167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42,139</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257,981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134,483</w:t>
            </w:r>
          </w:p>
        </w:tc>
      </w:tr>
      <w:tr>
        <w:trPr>
          <w:trHeight w:val="171"/>
        </w:trPr>
        <w:tc>
          <w:tcPr>
            <w:tcW w:w="1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1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280" w:type="dxa"/>
            <w:vAlign w:val="bottom"/>
          </w:tcPr>
          <w:p>
            <w:pPr>
              <w:ind w:left="960"/>
              <w:spacing w:after="0"/>
              <w:rPr>
                <w:sz w:val="20"/>
                <w:szCs w:val="20"/>
                <w:color w:val="auto"/>
              </w:rPr>
            </w:pPr>
            <w:r>
              <w:rPr>
                <w:rFonts w:ascii="Courier New" w:cs="Courier New" w:eastAsia="Courier New" w:hAnsi="Courier New"/>
                <w:sz w:val="15"/>
                <w:szCs w:val="15"/>
                <w:color w:val="auto"/>
              </w:rPr>
              <w:t>Net</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Interest Income</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94,367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90,444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77,491</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281,730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256,077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Provision for possible loan losses, net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29,956</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30,337</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32,236</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93,963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87,911</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interest income after provision for</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possible loan losses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64,411</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60,107</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45,255</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187,767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168,166</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Fees and commissions from banking</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39,202</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41,154</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43,834</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113,104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124,858</w:t>
            </w: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Net gains from sales of securities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(2,863)</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(2,326)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(5,658)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(6,544)</w:t>
            </w: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Net gains on foreign exchange</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transactions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6,219</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5,758</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5,539</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13,528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15,617</w:t>
            </w: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Net premiums earned</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28,040</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31,410</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31,326</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84,959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94,364</w:t>
            </w: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Other income</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10,571</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13,477</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14,608</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30,711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38,361</w:t>
            </w:r>
          </w:p>
        </w:tc>
      </w:tr>
      <w:tr>
        <w:trPr>
          <w:trHeight w:val="171"/>
        </w:trPr>
        <w:tc>
          <w:tcPr>
            <w:tcW w:w="3720" w:type="dxa"/>
            <w:vAlign w:val="bottom"/>
          </w:tcPr>
          <w:p>
            <w:pPr>
              <w:spacing w:after="0"/>
              <w:rPr>
                <w:sz w:val="14"/>
                <w:szCs w:val="14"/>
                <w:color w:val="auto"/>
              </w:rPr>
            </w:pP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7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81,169</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89,473</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89,649</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241,111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266,656</w:t>
            </w:r>
          </w:p>
        </w:tc>
      </w:tr>
      <w:tr>
        <w:trPr>
          <w:trHeight w:val="171"/>
        </w:trPr>
        <w:tc>
          <w:tcPr>
            <w:tcW w:w="3720" w:type="dxa"/>
            <w:vAlign w:val="bottom"/>
          </w:tcPr>
          <w:p>
            <w:pPr>
              <w:spacing w:after="0"/>
              <w:rPr>
                <w:sz w:val="14"/>
                <w:szCs w:val="14"/>
                <w:color w:val="auto"/>
              </w:rPr>
            </w:pP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CLAIMS ON INSURANCE ACTIVITIES</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Net claims incurred</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4,252</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8,189</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4,834</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21,755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18,671</w:t>
            </w: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Increase in future policy benefits for</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life and health</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20,192</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18,679</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20,629</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53,261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54,724</w:t>
            </w:r>
          </w:p>
        </w:tc>
      </w:tr>
      <w:tr>
        <w:trPr>
          <w:trHeight w:val="171"/>
        </w:trPr>
        <w:tc>
          <w:tcPr>
            <w:tcW w:w="3720" w:type="dxa"/>
            <w:vAlign w:val="bottom"/>
          </w:tcPr>
          <w:p>
            <w:pPr>
              <w:spacing w:after="0"/>
              <w:rPr>
                <w:sz w:val="14"/>
                <w:szCs w:val="14"/>
                <w:color w:val="auto"/>
              </w:rPr>
            </w:pP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7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24,444</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26,868</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25,463</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75,016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73,395</w:t>
            </w:r>
          </w:p>
        </w:tc>
      </w:tr>
      <w:tr>
        <w:trPr>
          <w:trHeight w:val="171"/>
        </w:trPr>
        <w:tc>
          <w:tcPr>
            <w:tcW w:w="3720" w:type="dxa"/>
            <w:vAlign w:val="bottom"/>
          </w:tcPr>
          <w:p>
            <w:pPr>
              <w:spacing w:after="0"/>
              <w:rPr>
                <w:sz w:val="14"/>
                <w:szCs w:val="14"/>
                <w:color w:val="auto"/>
              </w:rPr>
            </w:pP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Salaries and employee benefits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44,140</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44,747</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43,608</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130,075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133,927</w:t>
            </w: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w w:val="98"/>
              </w:rPr>
              <w:t>General, administrative, and other taxes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33,153</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33,664</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32,970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98,406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98,625</w:t>
            </w: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11,421</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10,934</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10,722</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34,335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32,828</w:t>
            </w: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13,922</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11,135</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7,581</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42,160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30,497</w:t>
            </w:r>
          </w:p>
        </w:tc>
      </w:tr>
      <w:tr>
        <w:trPr>
          <w:trHeight w:val="171"/>
        </w:trPr>
        <w:tc>
          <w:tcPr>
            <w:tcW w:w="3720" w:type="dxa"/>
            <w:vAlign w:val="bottom"/>
          </w:tcPr>
          <w:p>
            <w:pPr>
              <w:spacing w:after="0"/>
              <w:rPr>
                <w:sz w:val="14"/>
                <w:szCs w:val="14"/>
                <w:color w:val="auto"/>
              </w:rPr>
            </w:pP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7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102,636</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100,480</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94,881</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304,976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295,877</w:t>
            </w:r>
          </w:p>
        </w:tc>
      </w:tr>
      <w:tr>
        <w:trPr>
          <w:trHeight w:val="171"/>
        </w:trPr>
        <w:tc>
          <w:tcPr>
            <w:tcW w:w="3720" w:type="dxa"/>
            <w:vAlign w:val="bottom"/>
          </w:tcPr>
          <w:p>
            <w:pPr>
              <w:spacing w:after="0"/>
              <w:rPr>
                <w:sz w:val="14"/>
                <w:szCs w:val="14"/>
                <w:color w:val="auto"/>
              </w:rPr>
            </w:pP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Translation result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(551)</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(2,866)</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before income tax, and minority</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72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17,949</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22,173</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13,660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45,476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62,684</w:t>
            </w:r>
          </w:p>
        </w:tc>
      </w:tr>
      <w:tr>
        <w:trPr>
          <w:trHeight w:val="341"/>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Income Tax</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(3,623)</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(9,075)</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(8,809)</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(11,061)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(26,641)</w:t>
            </w:r>
          </w:p>
        </w:tc>
      </w:tr>
      <w:tr>
        <w:trPr>
          <w:trHeight w:val="171"/>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(3,199)</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(2,075)</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(1,771)</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(6,412)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(7,177)</w:t>
            </w:r>
          </w:p>
        </w:tc>
      </w:tr>
      <w:tr>
        <w:trPr>
          <w:trHeight w:val="341"/>
        </w:trPr>
        <w:tc>
          <w:tcPr>
            <w:tcW w:w="3720" w:type="dxa"/>
            <w:vAlign w:val="bottom"/>
          </w:tcPr>
          <w:p>
            <w:pPr>
              <w:ind w:left="1420"/>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11,127</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11,023</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3,080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28,003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28,866</w:t>
            </w:r>
          </w:p>
        </w:tc>
      </w:tr>
      <w:tr>
        <w:trPr>
          <w:trHeight w:val="683"/>
        </w:trPr>
        <w:tc>
          <w:tcPr>
            <w:tcW w:w="3720" w:type="dxa"/>
            <w:vAlign w:val="bottom"/>
          </w:tcPr>
          <w:p>
            <w:pPr>
              <w:ind w:left="3460"/>
              <w:spacing w:after="0"/>
              <w:rPr>
                <w:sz w:val="20"/>
                <w:szCs w:val="20"/>
                <w:color w:val="auto"/>
              </w:rPr>
            </w:pPr>
            <w:r>
              <w:rPr>
                <w:rFonts w:ascii="Courier New" w:cs="Courier New" w:eastAsia="Courier New" w:hAnsi="Courier New"/>
                <w:sz w:val="15"/>
                <w:szCs w:val="15"/>
                <w:color w:val="auto"/>
              </w:rPr>
              <w:t>30</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28"/>
          </w:cols>
          <w:pgMar w:left="231" w:top="1311" w:right="1440" w:bottom="1440" w:gutter="0" w:footer="0" w:header="0"/>
        </w:sectPr>
      </w:pPr>
    </w:p>
    <w:bookmarkStart w:id="31" w:name="page32"/>
    <w:bookmarkEnd w:id="31"/>
    <w:p>
      <w:pPr>
        <w:spacing w:after="0" w:line="212" w:lineRule="exact"/>
        <w:rPr>
          <w:sz w:val="20"/>
          <w:szCs w:val="20"/>
          <w:color w:val="auto"/>
        </w:rPr>
      </w:pPr>
    </w:p>
    <w:p>
      <w:pPr>
        <w:ind w:left="2929"/>
        <w:spacing w:after="0"/>
        <w:tabs>
          <w:tab w:leader="none" w:pos="4329" w:val="left"/>
          <w:tab w:leader="none" w:pos="4769" w:val="left"/>
        </w:tabs>
        <w:rPr>
          <w:sz w:val="20"/>
          <w:szCs w:val="20"/>
          <w:color w:val="auto"/>
        </w:rPr>
      </w:pPr>
      <w:r>
        <w:rPr>
          <w:rFonts w:ascii="Courier New" w:cs="Courier New" w:eastAsia="Courier New" w:hAnsi="Courier New"/>
          <w:sz w:val="15"/>
          <w:szCs w:val="15"/>
          <w:color w:val="auto"/>
        </w:rPr>
        <w:t>CREDICORP LTD.</w:t>
        <w:tab/>
        <w:t>AND</w:t>
      </w:r>
      <w:r>
        <w:rPr>
          <w:sz w:val="20"/>
          <w:szCs w:val="20"/>
          <w:color w:val="auto"/>
        </w:rPr>
        <w:tab/>
      </w:r>
      <w:r>
        <w:rPr>
          <w:rFonts w:ascii="Courier New" w:cs="Courier New" w:eastAsia="Courier New" w:hAnsi="Courier New"/>
          <w:sz w:val="14"/>
          <w:szCs w:val="14"/>
          <w:color w:val="auto"/>
        </w:rPr>
        <w:t>SUBSIDIARIES</w:t>
      </w:r>
    </w:p>
    <w:p>
      <w:pPr>
        <w:spacing w:after="0" w:line="1" w:lineRule="exact"/>
        <w:rPr>
          <w:sz w:val="20"/>
          <w:szCs w:val="20"/>
          <w:color w:val="auto"/>
        </w:rPr>
      </w:pPr>
    </w:p>
    <w:p>
      <w:pPr>
        <w:ind w:left="4089"/>
        <w:spacing w:after="0"/>
        <w:tabs>
          <w:tab w:leader="none" w:pos="4689" w:val="left"/>
        </w:tabs>
        <w:rPr>
          <w:sz w:val="20"/>
          <w:szCs w:val="20"/>
          <w:color w:val="auto"/>
        </w:rPr>
      </w:pPr>
      <w:r>
        <w:rPr>
          <w:rFonts w:ascii="Courier New" w:cs="Courier New" w:eastAsia="Courier New" w:hAnsi="Courier New"/>
          <w:sz w:val="15"/>
          <w:szCs w:val="15"/>
          <w:color w:val="auto"/>
        </w:rPr>
        <w:t>Table</w:t>
        <w:tab/>
        <w:t>3</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SELECTED FINANCIAL INDICATORS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4529"/>
        <w:spacing w:after="0"/>
        <w:tabs>
          <w:tab w:leader="none" w:pos="6989" w:val="left"/>
          <w:tab w:leader="none" w:pos="7529" w:val="left"/>
          <w:tab w:leader="none" w:pos="8229"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5"/>
          <w:szCs w:val="15"/>
          <w:color w:val="auto"/>
        </w:rPr>
        <w:t>Nine</w:t>
        <w:tab/>
        <w:t>months</w:t>
      </w:r>
      <w:r>
        <w:rPr>
          <w:sz w:val="20"/>
          <w:szCs w:val="20"/>
          <w:color w:val="auto"/>
        </w:rPr>
        <w:tab/>
      </w:r>
      <w:r>
        <w:rPr>
          <w:rFonts w:ascii="Courier New" w:cs="Courier New" w:eastAsia="Courier New" w:hAnsi="Courier New"/>
          <w:sz w:val="14"/>
          <w:szCs w:val="14"/>
          <w:color w:val="auto"/>
        </w:rPr>
        <w:t>ended</w:t>
      </w:r>
    </w:p>
    <w:p>
      <w:pPr>
        <w:spacing w:after="0" w:line="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89"/>
        <w:spacing w:after="0"/>
        <w:tabs>
          <w:tab w:leader="none" w:pos="5029" w:val="left"/>
          <w:tab w:leader="none" w:pos="6009" w:val="left"/>
          <w:tab w:leader="none" w:pos="6989" w:val="left"/>
          <w:tab w:leader="none" w:pos="8049" w:val="left"/>
        </w:tabs>
        <w:rPr>
          <w:sz w:val="20"/>
          <w:szCs w:val="20"/>
          <w:color w:val="auto"/>
        </w:rPr>
      </w:pPr>
      <w:r>
        <w:rPr>
          <w:rFonts w:ascii="Courier New" w:cs="Courier New" w:eastAsia="Courier New" w:hAnsi="Courier New"/>
          <w:sz w:val="15"/>
          <w:szCs w:val="15"/>
          <w:color w:val="auto"/>
        </w:rPr>
        <w:t>30.09.01</w:t>
      </w:r>
      <w:r>
        <w:rPr>
          <w:sz w:val="20"/>
          <w:szCs w:val="20"/>
          <w:color w:val="auto"/>
        </w:rPr>
        <w:tab/>
      </w:r>
      <w:r>
        <w:rPr>
          <w:rFonts w:ascii="Courier New" w:cs="Courier New" w:eastAsia="Courier New" w:hAnsi="Courier New"/>
          <w:sz w:val="15"/>
          <w:szCs w:val="15"/>
          <w:color w:val="auto"/>
        </w:rPr>
        <w:t>30.06.02</w:t>
        <w:tab/>
        <w:t>30.09.02</w:t>
        <w:tab/>
        <w:t>30.09.01</w:t>
      </w:r>
      <w:r>
        <w:rPr>
          <w:sz w:val="20"/>
          <w:szCs w:val="20"/>
          <w:color w:val="auto"/>
        </w:rPr>
        <w:tab/>
      </w:r>
      <w:r>
        <w:rPr>
          <w:rFonts w:ascii="Courier New" w:cs="Courier New" w:eastAsia="Courier New" w:hAnsi="Courier New"/>
          <w:sz w:val="15"/>
          <w:szCs w:val="15"/>
          <w:color w:val="auto"/>
        </w:rPr>
        <w:t>30.09.02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Profitability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Net income per common share (US$ per</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820" w:type="dxa"/>
            <w:vAlign w:val="bottom"/>
            <w:gridSpan w:val="2"/>
          </w:tcPr>
          <w:p>
            <w:pPr>
              <w:jc w:val="right"/>
              <w:ind w:right="2866"/>
              <w:spacing w:after="0"/>
              <w:rPr>
                <w:sz w:val="20"/>
                <w:szCs w:val="20"/>
                <w:color w:val="auto"/>
              </w:rPr>
            </w:pPr>
            <w:r>
              <w:rPr>
                <w:rFonts w:ascii="Courier New" w:cs="Courier New" w:eastAsia="Courier New" w:hAnsi="Courier New"/>
                <w:sz w:val="15"/>
                <w:szCs w:val="15"/>
                <w:color w:val="auto"/>
              </w:rPr>
              <w:t>share)(1)</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0.139</w:t>
            </w: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0.138</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0.039</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0.349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0.362</w:t>
            </w:r>
          </w:p>
        </w:tc>
      </w:tr>
      <w:tr>
        <w:trPr>
          <w:trHeight w:val="171"/>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Net interest margin on interest earning</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assets</w:t>
            </w:r>
          </w:p>
        </w:tc>
        <w:tc>
          <w:tcPr>
            <w:tcW w:w="3200" w:type="dxa"/>
            <w:vAlign w:val="bottom"/>
          </w:tcPr>
          <w:p>
            <w:pPr>
              <w:jc w:val="right"/>
              <w:ind w:right="2766"/>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5.97%</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6.30%</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5.88%</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Return</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on average total assets (2)(3)</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0.56%</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0.60%</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0.51%</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Return</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on average shareholders' equity</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(2)(3)</w:t>
            </w:r>
          </w:p>
        </w:tc>
        <w:tc>
          <w:tcPr>
            <w:tcW w:w="32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5.50%</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4.83%</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No. of</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outstanding shares (millions)(4)</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80.18</w:t>
            </w: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79.75</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79.75</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80.18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79.75</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Quality of loan portfolio</w:t>
      </w:r>
    </w:p>
    <w:p>
      <w:pPr>
        <w:spacing w:after="0" w:line="1" w:lineRule="exact"/>
        <w:rPr>
          <w:sz w:val="20"/>
          <w:szCs w:val="20"/>
          <w:color w:val="auto"/>
        </w:rPr>
      </w:pPr>
    </w:p>
    <w:p>
      <w:pPr>
        <w:ind w:left="169" w:hanging="169"/>
        <w:spacing w:after="0"/>
        <w:tabs>
          <w:tab w:leader="none" w:pos="16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Past due loans as a percentage of total</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860" w:type="dxa"/>
            <w:vAlign w:val="bottom"/>
          </w:tcPr>
          <w:p>
            <w:pPr>
              <w:ind w:left="100"/>
              <w:spacing w:after="0"/>
              <w:rPr>
                <w:sz w:val="20"/>
                <w:szCs w:val="20"/>
                <w:color w:val="auto"/>
              </w:rPr>
            </w:pPr>
            <w:r>
              <w:rPr>
                <w:rFonts w:ascii="Courier New" w:cs="Courier New" w:eastAsia="Courier New" w:hAnsi="Courier New"/>
                <w:sz w:val="15"/>
                <w:szCs w:val="15"/>
                <w:color w:val="auto"/>
              </w:rPr>
              <w:t>loans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8.02%</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Reserves for loan losses as a percentage</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total past due loans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92.57%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99.30%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100.12%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100.12%</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Reserves for loan losses as a percentage</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total loans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8.03%</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Reserves for loan losses as a percentage</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substandard  loans (C+D+E)</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45.40%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42.88%</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45.38%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45.38%</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Past due loans - reserves for loan losses</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100"/>
              <w:spacing w:after="0"/>
              <w:rPr>
                <w:sz w:val="20"/>
                <w:szCs w:val="20"/>
                <w:color w:val="auto"/>
              </w:rPr>
            </w:pPr>
            <w:r>
              <w:rPr>
                <w:rFonts w:ascii="Courier New" w:cs="Courier New" w:eastAsia="Courier New" w:hAnsi="Courier New"/>
                <w:sz w:val="15"/>
                <w:szCs w:val="15"/>
                <w:color w:val="auto"/>
              </w:rPr>
              <w:t>as a</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percentage of shareholders' equity</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0.28%</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Operating efficiency</w:t>
      </w:r>
    </w:p>
    <w:p>
      <w:pPr>
        <w:spacing w:after="0" w:line="1" w:lineRule="exact"/>
        <w:rPr>
          <w:sz w:val="20"/>
          <w:szCs w:val="20"/>
          <w:color w:val="auto"/>
        </w:rPr>
      </w:pPr>
    </w:p>
    <w:p>
      <w:pPr>
        <w:ind w:left="169" w:hanging="169"/>
        <w:spacing w:after="0"/>
        <w:tabs>
          <w:tab w:leader="none" w:pos="16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 expense as a percent. of total</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income</w:t>
            </w:r>
          </w:p>
        </w:tc>
        <w:tc>
          <w:tcPr>
            <w:tcW w:w="3280" w:type="dxa"/>
            <w:vAlign w:val="bottom"/>
          </w:tcPr>
          <w:p>
            <w:pPr>
              <w:jc w:val="right"/>
              <w:ind w:right="2886"/>
              <w:spacing w:after="0"/>
              <w:rPr>
                <w:sz w:val="20"/>
                <w:szCs w:val="20"/>
                <w:color w:val="auto"/>
              </w:rPr>
            </w:pPr>
            <w:r>
              <w:rPr>
                <w:rFonts w:ascii="Courier New" w:cs="Courier New" w:eastAsia="Courier New" w:hAnsi="Courier New"/>
                <w:sz w:val="15"/>
                <w:szCs w:val="15"/>
                <w:color w:val="auto"/>
              </w:rPr>
              <w:t>(5)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53.94%</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50.51%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49.14%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50.98%</w:t>
            </w:r>
          </w:p>
        </w:tc>
      </w:tr>
      <w:tr>
        <w:trPr>
          <w:trHeight w:val="171"/>
        </w:trPr>
        <w:tc>
          <w:tcPr>
            <w:tcW w:w="4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 expense as a percent. of av. tot.</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assets(2)(3)(5)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4.73%</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r>
        <w:trPr>
          <w:trHeight w:val="34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Capital adequacy</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 Regulatory Capital (US$Mn)</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756.2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718.7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716.9</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756.2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716.9</w:t>
            </w: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Tier I Capital (US$Mn)</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615.2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608.8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608.8</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615.2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608.8</w:t>
            </w: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Regulatory capital / risk-weighted assets</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328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12.55%</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12.22%</w:t>
            </w:r>
          </w:p>
        </w:tc>
      </w:tr>
      <w:tr>
        <w:trPr>
          <w:trHeight w:val="34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Average balances (US$Mn) (3)</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 earning assets</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6,324.5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5,741.3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5,771.7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6,208.7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5,808.6</w:t>
            </w: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 Assets</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8,006.3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7,362.4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7,345.2</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7,829.3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7,494.0</w:t>
            </w: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equity</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797.2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801.4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799.9</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792.7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797.6</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left="449" w:right="3119" w:hanging="449"/>
        <w:spacing w:after="0" w:line="238" w:lineRule="auto"/>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outstanding of 79.8 million in 2Q02 and 3Q02, and 80.2 million in 3Q01.</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Ratios are annualized.</w:t>
      </w:r>
    </w:p>
    <w:p>
      <w:pPr>
        <w:spacing w:after="0" w:line="3" w:lineRule="exact"/>
        <w:rPr>
          <w:rFonts w:ascii="Courier New" w:cs="Courier New" w:eastAsia="Courier New" w:hAnsi="Courier New"/>
          <w:sz w:val="15"/>
          <w:szCs w:val="15"/>
          <w:color w:val="auto"/>
        </w:rPr>
      </w:pPr>
    </w:p>
    <w:p>
      <w:pPr>
        <w:ind w:left="449" w:right="4279" w:hanging="449"/>
        <w:spacing w:after="0" w:line="238" w:lineRule="auto"/>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are determined as the average of period-beginning and period-ending balances.</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treasury shares. The total number of shares was of 94.38 million.</w:t>
      </w:r>
    </w:p>
    <w:p>
      <w:pPr>
        <w:spacing w:after="0" w:line="3" w:lineRule="exact"/>
        <w:rPr>
          <w:rFonts w:ascii="Courier New" w:cs="Courier New" w:eastAsia="Courier New" w:hAnsi="Courier New"/>
          <w:sz w:val="15"/>
          <w:szCs w:val="15"/>
          <w:color w:val="auto"/>
        </w:rPr>
      </w:pPr>
    </w:p>
    <w:p>
      <w:pPr>
        <w:ind w:left="449" w:right="3579" w:hanging="449"/>
        <w:spacing w:after="0" w:line="258" w:lineRule="auto"/>
        <w:tabs>
          <w:tab w:leader="none" w:pos="44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includes net interest income and other income. Operating expense is net of provisions for other assets received in lieu of loan repayment and mandatory employee profit sharing expense.</w:t>
      </w:r>
    </w:p>
    <w:p>
      <w:pPr>
        <w:ind w:left="449" w:hanging="449"/>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Risk-weighted assets include market risk assets.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8"/>
          </w:cols>
          <w:pgMar w:left="231" w:top="1440" w:right="1440" w:bottom="1440" w:gutter="0" w:footer="0" w:header="0"/>
        </w:sectPr>
      </w:pPr>
    </w:p>
    <w:bookmarkStart w:id="32" w:name="page33"/>
    <w:bookmarkEnd w:id="32"/>
    <w:p>
      <w:pPr>
        <w:spacing w:after="0" w:line="42" w:lineRule="exact"/>
        <w:rPr>
          <w:sz w:val="20"/>
          <w:szCs w:val="20"/>
          <w:color w:val="auto"/>
        </w:rPr>
      </w:pPr>
    </w:p>
    <w:p>
      <w:pPr>
        <w:jc w:val="center"/>
        <w:ind w:right="450"/>
        <w:spacing w:after="0"/>
        <w:rPr>
          <w:sz w:val="20"/>
          <w:szCs w:val="20"/>
          <w:color w:val="auto"/>
        </w:rPr>
      </w:pPr>
      <w:r>
        <w:rPr>
          <w:rFonts w:ascii="Courier New" w:cs="Courier New" w:eastAsia="Courier New" w:hAnsi="Courier New"/>
          <w:sz w:val="15"/>
          <w:szCs w:val="15"/>
          <w:color w:val="auto"/>
        </w:rPr>
        <w:t>BANCO DE CREDITO DEL PERU AND SUBSIDIARIES</w:t>
      </w:r>
    </w:p>
    <w:p>
      <w:pPr>
        <w:spacing w:after="0" w:line="1" w:lineRule="exact"/>
        <w:rPr>
          <w:sz w:val="20"/>
          <w:szCs w:val="20"/>
          <w:color w:val="auto"/>
        </w:rPr>
      </w:pPr>
    </w:p>
    <w:p>
      <w:pPr>
        <w:jc w:val="center"/>
        <w:ind w:right="370"/>
        <w:spacing w:after="0"/>
        <w:rPr>
          <w:sz w:val="20"/>
          <w:szCs w:val="20"/>
          <w:color w:val="auto"/>
        </w:rPr>
      </w:pPr>
      <w:r>
        <w:rPr>
          <w:rFonts w:ascii="Courier New" w:cs="Courier New" w:eastAsia="Courier New" w:hAnsi="Courier New"/>
          <w:sz w:val="15"/>
          <w:szCs w:val="15"/>
          <w:color w:val="auto"/>
        </w:rPr>
        <w:t>Table 4</w:t>
      </w:r>
    </w:p>
    <w:p>
      <w:pPr>
        <w:spacing w:after="0" w:line="1" w:lineRule="exact"/>
        <w:rPr>
          <w:sz w:val="20"/>
          <w:szCs w:val="20"/>
          <w:color w:val="auto"/>
        </w:rPr>
      </w:pPr>
    </w:p>
    <w:p>
      <w:pPr>
        <w:jc w:val="center"/>
        <w:ind w:right="37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jc w:val="center"/>
        <w:ind w:right="270"/>
        <w:spacing w:after="0"/>
        <w:rPr>
          <w:sz w:val="20"/>
          <w:szCs w:val="20"/>
          <w:color w:val="auto"/>
        </w:rPr>
      </w:pPr>
      <w:r>
        <w:rPr>
          <w:rFonts w:ascii="Courier New" w:cs="Courier New" w:eastAsia="Courier New" w:hAnsi="Courier New"/>
          <w:sz w:val="15"/>
          <w:szCs w:val="15"/>
          <w:color w:val="auto"/>
        </w:rPr>
        <w:t>(Constant Nuevos Soles, as of September 30, 2002, and U.S. Dollars in thousands)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509"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30.09.01</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31.12.01</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30.06.02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30.09.02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30.09.02</w:t>
            </w:r>
          </w:p>
        </w:tc>
      </w:tr>
    </w:tbl>
    <w:p>
      <w:pPr>
        <w:spacing w:after="0" w:line="3" w:lineRule="exact"/>
        <w:rPr>
          <w:sz w:val="20"/>
          <w:szCs w:val="20"/>
          <w:color w:val="auto"/>
        </w:rPr>
      </w:pPr>
    </w:p>
    <w:p>
      <w:pPr>
        <w:ind w:left="169" w:hanging="169"/>
        <w:spacing w:after="0"/>
        <w:tabs>
          <w:tab w:leader="none" w:pos="16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0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US$000(1)</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CASH AND DUE FROM BANKS</w:t>
            </w:r>
          </w:p>
        </w:tc>
        <w:tc>
          <w:tcPr>
            <w:tcW w:w="2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6,802.717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6,068.103</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5,802.466</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6,751.464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$1,852.762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Cash and</w:t>
            </w:r>
          </w:p>
        </w:tc>
        <w:tc>
          <w:tcPr>
            <w:tcW w:w="14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Checks</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783.444</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863.668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825.269</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873.400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$239.682</w:t>
            </w:r>
          </w:p>
        </w:tc>
      </w:tr>
      <w:tr>
        <w:trPr>
          <w:trHeight w:val="171"/>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Deposits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in Central Bank</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of Peru</w:t>
            </w:r>
          </w:p>
        </w:tc>
        <w:tc>
          <w:tcPr>
            <w:tcW w:w="6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4,348.014</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3,845.914</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3,865.556</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4,861.173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$1,334.021</w:t>
            </w:r>
          </w:p>
        </w:tc>
      </w:tr>
      <w:tr>
        <w:trPr>
          <w:trHeight w:val="171"/>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Deposits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with local and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foreign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banks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1,671.259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1,358.521</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1,111.641</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1,016.891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$279.059</w:t>
            </w:r>
          </w:p>
        </w:tc>
      </w:tr>
      <w:tr>
        <w:trPr>
          <w:trHeight w:val="341"/>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MARKETABLE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SECURITIES, net</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1,526.661</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1,534.507</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1,469.810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1,656.219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$454.506</w:t>
            </w:r>
          </w:p>
        </w:tc>
      </w:tr>
      <w:tr>
        <w:trPr>
          <w:trHeight w:val="341"/>
        </w:trPr>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LOANS</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12,949.898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12,908.608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12,999.449</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12,777.599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$3,506.476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Current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11,677.380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11,774.543</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11,968.692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11,735.168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$3,220.408</w:t>
            </w:r>
          </w:p>
        </w:tc>
      </w:tr>
      <w:tr>
        <w:trPr>
          <w:trHeight w:val="171"/>
        </w:trPr>
        <w:tc>
          <w:tcPr>
            <w:tcW w:w="3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Past Due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1,272.518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1,134.065</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1,030.757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1,042.431</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$286.068</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Less</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 Reserve for possible loan losses</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(1,226.884)</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(1,192.392)</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(1,103.645)</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(1,122.271)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($307.978)</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NET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11,723.014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11,716.216</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11,895.804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11,655.328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$3,198.498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INVESTMENT SECURITIES AVAILABLE FOR SALE</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329.129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307.458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373.204</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418.333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$114.800</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640.846</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656.819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625.742</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615.541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$168.919</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965.162</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942.044</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854.264</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698.304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$191.631</w:t>
            </w:r>
          </w:p>
        </w:tc>
      </w:tr>
      <w:tr>
        <w:trPr>
          <w:trHeight w:val="341"/>
        </w:trPr>
        <w:tc>
          <w:tcPr>
            <w:tcW w:w="3720" w:type="dxa"/>
            <w:vAlign w:val="bottom"/>
          </w:tcPr>
          <w:p>
            <w:pPr>
              <w:ind w:left="1240"/>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21,987.529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21,225.147</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21,021.290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21,795.189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$5,981.117</w:t>
            </w:r>
          </w:p>
        </w:tc>
      </w:tr>
      <w:tr>
        <w:trPr>
          <w:trHeight w:val="341"/>
        </w:trPr>
        <w:tc>
          <w:tcPr>
            <w:tcW w:w="49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LIABILITIES AND SHAREHOLDERS' EQUITY</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DEPOSITS AND OBLIGATIONS: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18,421.804</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17,898.193</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17,620.804</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18,407.651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$5,051.496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Demand deposits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3,454.221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3,771.740</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3,765.364</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3,885.345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$1,066.231</w:t>
            </w: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Saving accounts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5,042.700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5,343.149</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5,166.269</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5,210.494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$1,429.883</w:t>
            </w: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Time deposits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9,924.883</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8,783.304</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8,689.171</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9,311.812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$2,555.382</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rPr>
              <w:t>DUE TO BANKS  AND CORRESPONDENTS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602.694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481.792</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387.860</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463.847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$127.291</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1,129.580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980.346</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1,117.905</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967.494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$265.503</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1,833.451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1,864.815</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1,894.720</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1,956.197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$536.827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Capital stock</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1,032.485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1,022.810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1,096.865</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1,096.956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$301.031</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Legal reserve</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664.208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658.154</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648.833</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648.886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$178.070</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136.758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183.851</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149.022</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210.355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$57.726</w:t>
            </w:r>
          </w:p>
        </w:tc>
      </w:tr>
      <w:tr>
        <w:trPr>
          <w:trHeight w:val="341"/>
        </w:trPr>
        <w:tc>
          <w:tcPr>
            <w:tcW w:w="3340" w:type="dxa"/>
            <w:vAlign w:val="bottom"/>
          </w:tcPr>
          <w:p>
            <w:pPr>
              <w:ind w:left="360"/>
              <w:spacing w:after="0"/>
              <w:rPr>
                <w:sz w:val="20"/>
                <w:szCs w:val="20"/>
                <w:color w:val="auto"/>
              </w:rPr>
            </w:pPr>
            <w:r>
              <w:rPr>
                <w:rFonts w:ascii="Courier New" w:cs="Courier New" w:eastAsia="Courier New" w:hAnsi="Courier New"/>
                <w:sz w:val="15"/>
                <w:szCs w:val="15"/>
                <w:color w:val="auto"/>
              </w:rPr>
              <w:t>TOTAL LIABILITIES AND  EQUITY</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21,987.529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21,225.146</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21,021.289</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21,795.189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$5,981.117</w:t>
            </w:r>
          </w:p>
        </w:tc>
      </w:tr>
      <w:tr>
        <w:trPr>
          <w:trHeight w:val="341"/>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Contingent Credits</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3,096.335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3,593.270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4,335.720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4,510.605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$1,237.817</w:t>
            </w:r>
          </w:p>
        </w:tc>
      </w:tr>
    </w:tbl>
    <w:p>
      <w:pPr>
        <w:spacing w:after="0" w:line="174" w:lineRule="exact"/>
        <w:rPr>
          <w:sz w:val="20"/>
          <w:szCs w:val="20"/>
          <w:color w:val="auto"/>
        </w:rPr>
      </w:pPr>
    </w:p>
    <w:p>
      <w:pPr>
        <w:ind w:left="169" w:hanging="169"/>
        <w:spacing w:after="0"/>
        <w:tabs>
          <w:tab w:leader="none" w:pos="16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(1)Translated at S/.3.644 per US$1.00.</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8"/>
          </w:cols>
          <w:pgMar w:left="231" w:top="1440" w:right="1440" w:bottom="1440" w:gutter="0" w:footer="0" w:header="0"/>
        </w:sectPr>
      </w:pPr>
    </w:p>
    <w:bookmarkStart w:id="33" w:name="page34"/>
    <w:bookmarkEnd w:id="33"/>
    <w:p>
      <w:pPr>
        <w:jc w:val="center"/>
        <w:ind w:right="1350"/>
        <w:spacing w:after="0"/>
        <w:rPr>
          <w:sz w:val="20"/>
          <w:szCs w:val="20"/>
          <w:color w:val="auto"/>
        </w:rPr>
      </w:pPr>
      <w:r>
        <w:rPr>
          <w:rFonts w:ascii="Courier New" w:cs="Courier New" w:eastAsia="Courier New" w:hAnsi="Courier New"/>
          <w:sz w:val="15"/>
          <w:szCs w:val="15"/>
          <w:color w:val="auto"/>
        </w:rPr>
        <w:t>BANCO DE CREDITO DEL PERU AND SUBSIDIARIES</w:t>
      </w:r>
    </w:p>
    <w:p>
      <w:pPr>
        <w:spacing w:after="0" w:line="1" w:lineRule="exact"/>
        <w:rPr>
          <w:sz w:val="20"/>
          <w:szCs w:val="20"/>
          <w:color w:val="auto"/>
        </w:rPr>
      </w:pPr>
    </w:p>
    <w:p>
      <w:pPr>
        <w:jc w:val="center"/>
        <w:ind w:left="1520"/>
        <w:spacing w:after="0"/>
        <w:tabs>
          <w:tab w:leader="none" w:pos="160" w:val="left"/>
        </w:tabs>
        <w:rPr>
          <w:sz w:val="20"/>
          <w:szCs w:val="20"/>
          <w:color w:val="auto"/>
        </w:rPr>
      </w:pPr>
      <w:r>
        <w:rPr>
          <w:rFonts w:ascii="Courier New" w:cs="Courier New" w:eastAsia="Courier New" w:hAnsi="Courier New"/>
          <w:sz w:val="15"/>
          <w:szCs w:val="15"/>
          <w:color w:val="auto"/>
        </w:rPr>
        <w:t>Table</w:t>
        <w:tab/>
        <w:t>5</w:t>
      </w:r>
    </w:p>
    <w:p>
      <w:pPr>
        <w:spacing w:after="0" w:line="1" w:lineRule="exact"/>
        <w:rPr>
          <w:sz w:val="20"/>
          <w:szCs w:val="20"/>
          <w:color w:val="auto"/>
        </w:rPr>
      </w:pPr>
    </w:p>
    <w:p>
      <w:pPr>
        <w:jc w:val="center"/>
        <w:ind w:left="640"/>
        <w:spacing w:after="0"/>
        <w:tabs>
          <w:tab w:leader="none" w:pos="160" w:val="left"/>
        </w:tabs>
        <w:rPr>
          <w:sz w:val="20"/>
          <w:szCs w:val="20"/>
          <w:color w:val="auto"/>
        </w:rPr>
      </w:pPr>
      <w:r>
        <w:rPr>
          <w:rFonts w:ascii="Courier New" w:cs="Courier New" w:eastAsia="Courier New" w:hAnsi="Courier New"/>
          <w:sz w:val="15"/>
          <w:szCs w:val="15"/>
          <w:color w:val="auto"/>
        </w:rPr>
        <w:t>CONSOLIDATED</w:t>
        <w:tab/>
        <w:t>INCOME STATEMENTS</w:t>
      </w:r>
    </w:p>
    <w:p>
      <w:pPr>
        <w:spacing w:after="0" w:line="1" w:lineRule="exact"/>
        <w:rPr>
          <w:sz w:val="20"/>
          <w:szCs w:val="20"/>
          <w:color w:val="auto"/>
        </w:rPr>
      </w:pPr>
    </w:p>
    <w:p>
      <w:pPr>
        <w:jc w:val="center"/>
        <w:ind w:right="1190"/>
        <w:spacing w:after="0"/>
        <w:tabs>
          <w:tab w:leader="none" w:pos="160" w:val="left"/>
        </w:tabs>
        <w:rPr>
          <w:sz w:val="20"/>
          <w:szCs w:val="20"/>
          <w:color w:val="auto"/>
        </w:rPr>
      </w:pPr>
      <w:r>
        <w:rPr>
          <w:rFonts w:ascii="Courier New" w:cs="Courier New" w:eastAsia="Courier New" w:hAnsi="Courier New"/>
          <w:sz w:val="15"/>
          <w:szCs w:val="15"/>
          <w:color w:val="auto"/>
        </w:rPr>
        <w:t>(Constant Nuevos Soles, as of September 30, 2002</w:t>
      </w:r>
      <w:r>
        <w:rPr>
          <w:sz w:val="20"/>
          <w:szCs w:val="20"/>
          <w:color w:val="auto"/>
        </w:rPr>
        <w:tab/>
      </w:r>
      <w:r>
        <w:rPr>
          <w:rFonts w:ascii="Courier New" w:cs="Courier New" w:eastAsia="Courier New" w:hAnsi="Courier New"/>
          <w:sz w:val="14"/>
          <w:szCs w:val="14"/>
          <w:color w:val="auto"/>
        </w:rPr>
        <w:t>and U.S. Dollars in thousands)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389" w:right="1259" w:firstLine="1065"/>
        <w:spacing w:after="0" w:line="239" w:lineRule="auto"/>
        <w:rPr>
          <w:sz w:val="20"/>
          <w:szCs w:val="20"/>
          <w:color w:val="auto"/>
        </w:rPr>
      </w:pPr>
      <w:r>
        <w:rPr>
          <w:rFonts w:ascii="Courier New" w:cs="Courier New" w:eastAsia="Courier New" w:hAnsi="Courier New"/>
          <w:sz w:val="15"/>
          <w:szCs w:val="15"/>
          <w:color w:val="auto"/>
        </w:rPr>
        <w:t>Three months ended Nine months ended -------------------------------------------------------------------------- 30.09.01 30.06.02 30.09.02 30.09.02 30.09.01 30.09.02 30.09.02</w:t>
      </w:r>
    </w:p>
    <w:p>
      <w:pPr>
        <w:spacing w:after="0" w:line="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Interest</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w w:val="97"/>
              </w:rPr>
              <w:t>income and expense</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US$000(1)</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US$000(1)</w:t>
            </w:r>
          </w:p>
        </w:tc>
      </w:tr>
      <w:tr>
        <w:trPr>
          <w:trHeight w:val="341"/>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 income</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511.143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401.733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383.898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$105.351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1,589.461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1,193.583</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$327.547</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Less -</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Interest expense</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214.773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124.145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121.406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$33.317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712.738</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375.567</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$103.064</w:t>
            </w:r>
          </w:p>
        </w:tc>
      </w:tr>
      <w:tr>
        <w:trPr>
          <w:trHeight w:val="171"/>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5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interest income</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296.370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277.588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262.492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$72.034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876.723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818.016</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$224.483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Provisions for possible</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loan losses, net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98.429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103.518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110.310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$30.272</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315.334</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301.303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$82.685</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interest income after</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380" w:type="dxa"/>
            <w:vAlign w:val="bottom"/>
          </w:tcPr>
          <w:p>
            <w:pPr>
              <w:ind w:left="780"/>
              <w:spacing w:after="0"/>
              <w:rPr>
                <w:sz w:val="20"/>
                <w:szCs w:val="20"/>
                <w:color w:val="auto"/>
              </w:rPr>
            </w:pPr>
            <w:r>
              <w:rPr>
                <w:rFonts w:ascii="Courier New" w:cs="Courier New" w:eastAsia="Courier New" w:hAnsi="Courier New"/>
                <w:sz w:val="15"/>
                <w:szCs w:val="15"/>
                <w:color w:val="auto"/>
              </w:rPr>
              <w:t>provisions</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197.941</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174.070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152.182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$41.762</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561.389</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516.713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$141.798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w w:val="97"/>
              </w:rPr>
              <w:t>Fees and commissions from</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129.248</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137.996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152.053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$41.727</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371.377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421.860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$115.768</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Net gains from sales of</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securities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4.453</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8.892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$0.296</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14.624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25.767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$7.071</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Net gains on foreing</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exchg. transacts.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19.027</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18.181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19.110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$5.244</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45.961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53.124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$14.578</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Other income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19.404</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23.817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23.260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$6.383</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55.072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66.355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$18.209</w:t>
            </w:r>
          </w:p>
        </w:tc>
      </w:tr>
      <w:tr>
        <w:trPr>
          <w:trHeight w:val="171"/>
        </w:trPr>
        <w:tc>
          <w:tcPr>
            <w:tcW w:w="2380" w:type="dxa"/>
            <w:vAlign w:val="bottom"/>
          </w:tcPr>
          <w:p>
            <w:pPr>
              <w:spacing w:after="0"/>
              <w:rPr>
                <w:sz w:val="14"/>
                <w:szCs w:val="14"/>
                <w:color w:val="auto"/>
              </w:rPr>
            </w:pPr>
          </w:p>
        </w:tc>
        <w:tc>
          <w:tcPr>
            <w:tcW w:w="65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172.132</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188.886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195.500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$53.650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487.034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567.106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$155.627</w:t>
            </w:r>
          </w:p>
        </w:tc>
      </w:tr>
      <w:tr>
        <w:trPr>
          <w:trHeight w:val="171"/>
        </w:trPr>
        <w:tc>
          <w:tcPr>
            <w:tcW w:w="2380" w:type="dxa"/>
            <w:vAlign w:val="bottom"/>
          </w:tcPr>
          <w:p>
            <w:pPr>
              <w:spacing w:after="0"/>
              <w:rPr>
                <w:sz w:val="14"/>
                <w:szCs w:val="14"/>
                <w:color w:val="auto"/>
              </w:rPr>
            </w:pPr>
          </w:p>
        </w:tc>
        <w:tc>
          <w:tcPr>
            <w:tcW w:w="65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Salaries and employee</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benefits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119.942</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129.133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128.844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$35.358</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361.556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387.478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$106.333</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General and</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administrative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86.380</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90.738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103.300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$28.348</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255.222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279.089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$76.589</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30.375</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29.554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29.197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$8.012</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89.562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88.341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$24.243</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Taxes other than income</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tax</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10.150</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8.268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8.664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$2.378</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31.029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25.356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$6.958</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34.802</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36.402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21.789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$5.979</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114.216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96.304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$26.428</w:t>
            </w:r>
          </w:p>
        </w:tc>
      </w:tr>
      <w:tr>
        <w:trPr>
          <w:trHeight w:val="171"/>
        </w:trPr>
        <w:tc>
          <w:tcPr>
            <w:tcW w:w="2380" w:type="dxa"/>
            <w:vAlign w:val="bottom"/>
          </w:tcPr>
          <w:p>
            <w:pPr>
              <w:spacing w:after="0"/>
              <w:rPr>
                <w:sz w:val="14"/>
                <w:szCs w:val="14"/>
                <w:color w:val="auto"/>
              </w:rPr>
            </w:pPr>
          </w:p>
        </w:tc>
        <w:tc>
          <w:tcPr>
            <w:tcW w:w="65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281.649</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294.095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291.794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$80.075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851.585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876.568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$240.551</w:t>
            </w:r>
          </w:p>
        </w:tc>
      </w:tr>
      <w:tr>
        <w:trPr>
          <w:trHeight w:val="171"/>
        </w:trPr>
        <w:tc>
          <w:tcPr>
            <w:tcW w:w="2380" w:type="dxa"/>
            <w:vAlign w:val="bottom"/>
          </w:tcPr>
          <w:p>
            <w:pPr>
              <w:spacing w:after="0"/>
              <w:rPr>
                <w:sz w:val="14"/>
                <w:szCs w:val="14"/>
                <w:color w:val="auto"/>
              </w:rPr>
            </w:pPr>
          </w:p>
        </w:tc>
        <w:tc>
          <w:tcPr>
            <w:tcW w:w="65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Result from exposure to</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2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inflation</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(8.293)</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23.809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27.337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$7.502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(14.495)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51.513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$14.136</w:t>
            </w:r>
          </w:p>
        </w:tc>
      </w:tr>
      <w:tr>
        <w:trPr>
          <w:trHeight w:val="341"/>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Income before income tax</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80.131</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92.670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83.225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$22.839</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182.343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258.764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$71.011</w:t>
            </w:r>
          </w:p>
        </w:tc>
      </w:tr>
      <w:tr>
        <w:trPr>
          <w:trHeight w:val="34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Income Tax</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20.868</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26.846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21.896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$6.009</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46.149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72.810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$19.981</w:t>
            </w:r>
          </w:p>
        </w:tc>
      </w:tr>
      <w:tr>
        <w:trPr>
          <w:trHeight w:val="341"/>
        </w:trPr>
        <w:tc>
          <w:tcPr>
            <w:tcW w:w="2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59.263</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65.824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61.329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$16.830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136.194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185.954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$51.030</w:t>
            </w:r>
          </w:p>
        </w:tc>
      </w:tr>
    </w:tbl>
    <w:p>
      <w:pPr>
        <w:spacing w:after="0" w:line="174" w:lineRule="exact"/>
        <w:rPr>
          <w:sz w:val="20"/>
          <w:szCs w:val="20"/>
          <w:color w:val="auto"/>
        </w:rPr>
      </w:pPr>
    </w:p>
    <w:p>
      <w:pPr>
        <w:ind w:left="169" w:hanging="169"/>
        <w:spacing w:after="0"/>
        <w:tabs>
          <w:tab w:leader="none" w:pos="16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(1)Translated at S/.3.644 per US$1.00.</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8"/>
          </w:cols>
          <w:pgMar w:left="231" w:top="1311" w:right="1440" w:bottom="1440" w:gutter="0" w:footer="0" w:header="0"/>
        </w:sectPr>
      </w:pPr>
    </w:p>
    <w:bookmarkStart w:id="34" w:name="page35"/>
    <w:bookmarkEnd w:id="34"/>
    <w:p>
      <w:pPr>
        <w:jc w:val="center"/>
        <w:ind w:right="1690"/>
        <w:spacing w:after="0"/>
        <w:rPr>
          <w:sz w:val="20"/>
          <w:szCs w:val="20"/>
          <w:color w:val="auto"/>
        </w:rPr>
      </w:pPr>
      <w:r>
        <w:rPr>
          <w:rFonts w:ascii="Courier New" w:cs="Courier New" w:eastAsia="Courier New" w:hAnsi="Courier New"/>
          <w:sz w:val="15"/>
          <w:szCs w:val="15"/>
          <w:color w:val="auto"/>
        </w:rPr>
        <w:t>BANCO DE CREDITO DEL PERU AND SUBSIDIARIES</w:t>
      </w:r>
    </w:p>
    <w:p>
      <w:pPr>
        <w:spacing w:after="0" w:line="1" w:lineRule="exact"/>
        <w:rPr>
          <w:sz w:val="20"/>
          <w:szCs w:val="20"/>
          <w:color w:val="auto"/>
        </w:rPr>
      </w:pPr>
    </w:p>
    <w:p>
      <w:pPr>
        <w:jc w:val="center"/>
        <w:ind w:right="1710"/>
        <w:spacing w:after="0"/>
        <w:tabs>
          <w:tab w:leader="none" w:pos="160" w:val="left"/>
        </w:tabs>
        <w:rPr>
          <w:sz w:val="20"/>
          <w:szCs w:val="20"/>
          <w:color w:val="auto"/>
        </w:rPr>
      </w:pPr>
      <w:r>
        <w:rPr>
          <w:rFonts w:ascii="Courier New" w:cs="Courier New" w:eastAsia="Courier New" w:hAnsi="Courier New"/>
          <w:sz w:val="15"/>
          <w:szCs w:val="15"/>
          <w:color w:val="auto"/>
        </w:rPr>
        <w:t>Table</w:t>
      </w:r>
      <w:r>
        <w:rPr>
          <w:sz w:val="20"/>
          <w:szCs w:val="20"/>
          <w:color w:val="auto"/>
        </w:rPr>
        <w:tab/>
      </w:r>
      <w:r>
        <w:rPr>
          <w:rFonts w:ascii="Courier New" w:cs="Courier New" w:eastAsia="Courier New" w:hAnsi="Courier New"/>
          <w:sz w:val="13"/>
          <w:szCs w:val="13"/>
          <w:color w:val="auto"/>
        </w:rPr>
        <w:t>6</w:t>
      </w:r>
    </w:p>
    <w:p>
      <w:pPr>
        <w:spacing w:after="0" w:line="1" w:lineRule="exact"/>
        <w:rPr>
          <w:sz w:val="20"/>
          <w:szCs w:val="20"/>
          <w:color w:val="auto"/>
        </w:rPr>
      </w:pPr>
    </w:p>
    <w:p>
      <w:pPr>
        <w:jc w:val="center"/>
        <w:ind w:right="1790"/>
        <w:spacing w:after="0"/>
        <w:rPr>
          <w:sz w:val="20"/>
          <w:szCs w:val="20"/>
          <w:color w:val="auto"/>
        </w:rPr>
      </w:pPr>
      <w:r>
        <w:rPr>
          <w:rFonts w:ascii="Courier New" w:cs="Courier New" w:eastAsia="Courier New" w:hAnsi="Courier New"/>
          <w:sz w:val="15"/>
          <w:szCs w:val="15"/>
          <w:color w:val="auto"/>
        </w:rPr>
        <w:t>SELECTED FINANCIAL INDICATORS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4089"/>
        <w:spacing w:after="0"/>
        <w:tabs>
          <w:tab w:leader="none" w:pos="6629" w:val="left"/>
          <w:tab w:leader="none" w:pos="7169" w:val="left"/>
          <w:tab w:leader="none" w:pos="7869"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5"/>
          <w:szCs w:val="15"/>
          <w:color w:val="auto"/>
        </w:rPr>
        <w:t>Nine</w:t>
        <w:tab/>
        <w:t>months</w:t>
        <w:tab/>
        <w:t>ended</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29"/>
        <w:spacing w:after="0"/>
        <w:tabs>
          <w:tab w:leader="none" w:pos="4689" w:val="left"/>
          <w:tab w:leader="none" w:pos="5669" w:val="left"/>
          <w:tab w:leader="none" w:pos="6629" w:val="left"/>
          <w:tab w:leader="none" w:pos="7709" w:val="left"/>
        </w:tabs>
        <w:rPr>
          <w:sz w:val="20"/>
          <w:szCs w:val="20"/>
          <w:color w:val="auto"/>
        </w:rPr>
      </w:pPr>
      <w:r>
        <w:rPr>
          <w:rFonts w:ascii="Courier New" w:cs="Courier New" w:eastAsia="Courier New" w:hAnsi="Courier New"/>
          <w:sz w:val="15"/>
          <w:szCs w:val="15"/>
          <w:color w:val="auto"/>
        </w:rPr>
        <w:t>30.09.01</w:t>
      </w:r>
      <w:r>
        <w:rPr>
          <w:sz w:val="20"/>
          <w:szCs w:val="20"/>
          <w:color w:val="auto"/>
        </w:rPr>
        <w:tab/>
      </w:r>
      <w:r>
        <w:rPr>
          <w:rFonts w:ascii="Courier New" w:cs="Courier New" w:eastAsia="Courier New" w:hAnsi="Courier New"/>
          <w:sz w:val="15"/>
          <w:szCs w:val="15"/>
          <w:color w:val="auto"/>
        </w:rPr>
        <w:t>30.06.02</w:t>
      </w:r>
      <w:r>
        <w:rPr>
          <w:sz w:val="20"/>
          <w:szCs w:val="20"/>
          <w:color w:val="auto"/>
        </w:rPr>
        <w:tab/>
      </w:r>
      <w:r>
        <w:rPr>
          <w:rFonts w:ascii="Courier New" w:cs="Courier New" w:eastAsia="Courier New" w:hAnsi="Courier New"/>
          <w:sz w:val="15"/>
          <w:szCs w:val="15"/>
          <w:color w:val="auto"/>
        </w:rPr>
        <w:t>30.09.02</w:t>
        <w:tab/>
        <w:t>30.09.01</w:t>
      </w:r>
      <w:r>
        <w:rPr>
          <w:sz w:val="20"/>
          <w:szCs w:val="20"/>
          <w:color w:val="auto"/>
        </w:rPr>
        <w:tab/>
      </w:r>
      <w:r>
        <w:rPr>
          <w:rFonts w:ascii="Courier New" w:cs="Courier New" w:eastAsia="Courier New" w:hAnsi="Courier New"/>
          <w:sz w:val="14"/>
          <w:szCs w:val="14"/>
          <w:color w:val="auto"/>
        </w:rPr>
        <w:t>30.09.02</w:t>
      </w:r>
    </w:p>
    <w:p>
      <w:pPr>
        <w:spacing w:after="0" w:line="3" w:lineRule="exact"/>
        <w:rPr>
          <w:sz w:val="20"/>
          <w:szCs w:val="20"/>
          <w:color w:val="auto"/>
        </w:rPr>
      </w:pPr>
    </w:p>
    <w:p>
      <w:pPr>
        <w:ind w:left="169" w:hanging="169"/>
        <w:spacing w:after="0"/>
        <w:tabs>
          <w:tab w:leader="none" w:pos="16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Profitability</w:t>
      </w:r>
    </w:p>
    <w:p>
      <w:pPr>
        <w:ind w:left="169" w:hanging="169"/>
        <w:spacing w:after="0"/>
        <w:tabs>
          <w:tab w:leader="none" w:pos="16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Net income per common share (S/. per</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80" w:type="dxa"/>
            <w:vAlign w:val="bottom"/>
            <w:gridSpan w:val="2"/>
          </w:tcPr>
          <w:p>
            <w:pPr>
              <w:jc w:val="right"/>
              <w:ind w:right="2546"/>
              <w:spacing w:after="0"/>
              <w:rPr>
                <w:sz w:val="20"/>
                <w:szCs w:val="20"/>
                <w:color w:val="auto"/>
              </w:rPr>
            </w:pPr>
            <w:r>
              <w:rPr>
                <w:rFonts w:ascii="Courier New" w:cs="Courier New" w:eastAsia="Courier New" w:hAnsi="Courier New"/>
                <w:sz w:val="15"/>
                <w:szCs w:val="15"/>
                <w:color w:val="auto"/>
              </w:rPr>
              <w:t>share)(1)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0.055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0.061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0.057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0.127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0.173</w:t>
            </w:r>
          </w:p>
        </w:tc>
      </w:tr>
      <w:tr>
        <w:trPr>
          <w:trHeight w:val="171"/>
        </w:trPr>
        <w:tc>
          <w:tcPr>
            <w:tcW w:w="3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interest margin on interest</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earning assets (2)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5.57%</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r>
      <w:tr>
        <w:trPr>
          <w:trHeight w:val="171"/>
        </w:trPr>
        <w:tc>
          <w:tcPr>
            <w:tcW w:w="3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Return on average total assets (2)(3)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1.15%</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0.84%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1"/>
        </w:trPr>
        <w:tc>
          <w:tcPr>
            <w:tcW w:w="3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Return on average shareholders'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equity</w:t>
            </w:r>
          </w:p>
        </w:tc>
        <w:tc>
          <w:tcPr>
            <w:tcW w:w="2800" w:type="dxa"/>
            <w:vAlign w:val="bottom"/>
          </w:tcPr>
          <w:p>
            <w:pPr>
              <w:jc w:val="right"/>
              <w:ind w:right="2186"/>
              <w:spacing w:after="0"/>
              <w:rPr>
                <w:sz w:val="20"/>
                <w:szCs w:val="20"/>
                <w:color w:val="auto"/>
              </w:rPr>
            </w:pPr>
            <w:r>
              <w:rPr>
                <w:rFonts w:ascii="Courier New" w:cs="Courier New" w:eastAsia="Courier New" w:hAnsi="Courier New"/>
                <w:sz w:val="15"/>
                <w:szCs w:val="15"/>
                <w:color w:val="auto"/>
                <w:w w:val="96"/>
              </w:rPr>
              <w:t>(2)(3)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12.74%</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12.98%</w:t>
            </w:r>
          </w:p>
        </w:tc>
      </w:tr>
      <w:tr>
        <w:trPr>
          <w:trHeight w:val="34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Quality of loan portfolio</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Past due loans as a percentage of</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loans</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9.83%</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8.16%</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Reserves for loan losses as a</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percentage of</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total past due loans</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96.41%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107.07%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107.66%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107.66%</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Reserves for loan losses as a</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percentage of</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total loans</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8.78%</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8.78%</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Reserves for loan losses as a</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percentage of</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substandard  loans (C+D+E)</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46.86%</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43.51%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46.19%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46.86%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46.19%</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Past due loans - reserves for loan</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losses as a</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percentage of shareholders'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equity</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-4.08%</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r>
      <w:tr>
        <w:trPr>
          <w:trHeight w:val="34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Operating efficiency (5)</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 expense as a percent. of total</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income</w:t>
            </w:r>
          </w:p>
        </w:tc>
        <w:tc>
          <w:tcPr>
            <w:tcW w:w="2800" w:type="dxa"/>
            <w:vAlign w:val="bottom"/>
          </w:tcPr>
          <w:p>
            <w:pPr>
              <w:jc w:val="right"/>
              <w:ind w:right="2446"/>
              <w:spacing w:after="0"/>
              <w:rPr>
                <w:sz w:val="20"/>
                <w:szCs w:val="20"/>
                <w:color w:val="auto"/>
              </w:rPr>
            </w:pPr>
            <w:r>
              <w:rPr>
                <w:rFonts w:ascii="Courier New" w:cs="Courier New" w:eastAsia="Courier New" w:hAnsi="Courier New"/>
                <w:sz w:val="15"/>
                <w:szCs w:val="15"/>
                <w:color w:val="auto"/>
                <w:w w:val="96"/>
              </w:rPr>
              <w:t>(4)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54.18%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55.45%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53.34%</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56.81%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55.50%</w:t>
            </w:r>
          </w:p>
        </w:tc>
      </w:tr>
      <w:tr>
        <w:trPr>
          <w:trHeight w:val="171"/>
        </w:trPr>
        <w:tc>
          <w:tcPr>
            <w:tcW w:w="3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 expense as a percent. of av.</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 assets(2)(3)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4.77%</w:t>
            </w:r>
          </w:p>
        </w:tc>
      </w:tr>
      <w:tr>
        <w:trPr>
          <w:trHeight w:val="34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Capital adequacy</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 Regulatory capital (constant</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millions 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2,076.3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2,030.4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2,006.1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2,076.3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2,006.1</w:t>
            </w:r>
          </w:p>
        </w:tc>
      </w:tr>
      <w:tr>
        <w:trPr>
          <w:trHeight w:val="171"/>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w w:val="95"/>
              </w:rPr>
              <w:t>Tier  I</w:t>
            </w:r>
          </w:p>
        </w:tc>
        <w:tc>
          <w:tcPr>
            <w:tcW w:w="28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Capital (constant millions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S/.)</w:t>
            </w:r>
          </w:p>
        </w:tc>
        <w:tc>
          <w:tcPr>
            <w:tcW w:w="280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1,696.7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1,745.7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1,745.8</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1,696.7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1,745.8</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equity as a percentage of period</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end total assets</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8.98%</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8.98%</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Regulatory capital / risk-weighted</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w w:val="92"/>
              </w:rPr>
              <w:t>assets</w:t>
            </w:r>
          </w:p>
        </w:tc>
        <w:tc>
          <w:tcPr>
            <w:tcW w:w="28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12.86%</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12.73%</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12.86%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12.73%</w:t>
            </w:r>
          </w:p>
        </w:tc>
      </w:tr>
      <w:tr>
        <w:trPr>
          <w:trHeight w:val="34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Average balances (constant millions</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S/.) (3)</w:t>
            </w:r>
          </w:p>
        </w:tc>
        <w:tc>
          <w:tcPr>
            <w:tcW w:w="2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 earning assets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19,118.4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18,408.2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18,842.6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18,631.5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18,891.5</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21,892.5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21,070.8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21,408.2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21,575.9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21,510.2</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equity</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1,807.8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1,866.5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1,925.5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1,782.4</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1,910.5</w:t>
            </w:r>
          </w:p>
        </w:tc>
      </w:tr>
      <w:tr>
        <w:trPr>
          <w:trHeight w:val="34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Additional data</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 of outstanding shares (millions)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1026.3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1076.5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1076.5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1026.3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1076.5</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 of employees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7,547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7,821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7,977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7,547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7,977</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Inflation rate ( Wholesale price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w w:val="92"/>
              </w:rPr>
              <w:t>index)</w:t>
            </w:r>
          </w:p>
        </w:tc>
        <w:tc>
          <w:tcPr>
            <w:tcW w:w="28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-0.80%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-0.97%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Exchange rate (S/. per 1 U.S.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Dollar)</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left="449" w:right="3399" w:hanging="449"/>
        <w:spacing w:after="0" w:line="239" w:lineRule="auto"/>
        <w:tabs>
          <w:tab w:leader="none" w:pos="4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outstanding of 1,076 million is used for all periods since shares have been issued only for capitalization of profits and inflation adjustment.</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Ratios are annualized.</w:t>
      </w:r>
    </w:p>
    <w:p>
      <w:pPr>
        <w:spacing w:after="0" w:line="3" w:lineRule="exact"/>
        <w:rPr>
          <w:rFonts w:ascii="Courier New" w:cs="Courier New" w:eastAsia="Courier New" w:hAnsi="Courier New"/>
          <w:sz w:val="15"/>
          <w:szCs w:val="15"/>
          <w:color w:val="auto"/>
        </w:rPr>
      </w:pPr>
    </w:p>
    <w:p>
      <w:pPr>
        <w:ind w:left="449" w:right="4279" w:hanging="449"/>
        <w:spacing w:after="0" w:line="238" w:lineRule="auto"/>
        <w:tabs>
          <w:tab w:leader="none" w:pos="4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are determined as the average of period-beginning and period-ending balances.</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income includes net interest income and other income.</w:t>
      </w:r>
    </w:p>
    <w:p>
      <w:pPr>
        <w:spacing w:after="0" w:line="3" w:lineRule="exact"/>
        <w:rPr>
          <w:rFonts w:ascii="Courier New" w:cs="Courier New" w:eastAsia="Courier New" w:hAnsi="Courier New"/>
          <w:sz w:val="15"/>
          <w:szCs w:val="15"/>
          <w:color w:val="auto"/>
        </w:rPr>
      </w:pPr>
    </w:p>
    <w:p>
      <w:pPr>
        <w:ind w:left="449" w:right="3119" w:hanging="449"/>
        <w:spacing w:after="0" w:line="271" w:lineRule="auto"/>
        <w:tabs>
          <w:tab w:leader="none" w:pos="44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 does not include mandatory employee profit sharing expense nor provisions for other assets received in lieu of loan repayment.</w:t>
      </w:r>
    </w:p>
    <w:p>
      <w:pPr>
        <w:spacing w:after="0" w:line="32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8"/>
          </w:cols>
          <w:pgMar w:left="231" w:top="1311" w:right="1440" w:bottom="0" w:gutter="0" w:footer="0" w:header="0"/>
        </w:sectPr>
      </w:pPr>
    </w:p>
    <w:bookmarkStart w:id="35" w:name="page36"/>
    <w:bookmarkEnd w:id="35"/>
    <w:p>
      <w:pPr>
        <w:spacing w:after="0" w:line="212"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ATLANTIC SECURITY HOLDING CORPORATION</w:t>
      </w:r>
    </w:p>
    <w:p>
      <w:pPr>
        <w:spacing w:after="0" w:line="1" w:lineRule="exact"/>
        <w:rPr>
          <w:sz w:val="20"/>
          <w:szCs w:val="20"/>
          <w:color w:val="auto"/>
        </w:rPr>
      </w:pPr>
    </w:p>
    <w:p>
      <w:pPr>
        <w:ind w:left="4789"/>
        <w:spacing w:after="0"/>
        <w:tabs>
          <w:tab w:leader="none" w:pos="5389" w:val="left"/>
        </w:tabs>
        <w:rPr>
          <w:sz w:val="20"/>
          <w:szCs w:val="20"/>
          <w:color w:val="auto"/>
        </w:rPr>
      </w:pPr>
      <w:r>
        <w:rPr>
          <w:rFonts w:ascii="Courier New" w:cs="Courier New" w:eastAsia="Courier New" w:hAnsi="Courier New"/>
          <w:sz w:val="15"/>
          <w:szCs w:val="15"/>
          <w:color w:val="auto"/>
        </w:rPr>
        <w:t>Table</w:t>
        <w:tab/>
        <w:t>7</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SELECTED FINANCIAL DATA</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(Thousands of U.S. Dollars, except net income per share, and percentages)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5769"/>
        <w:spacing w:after="0"/>
        <w:tabs>
          <w:tab w:leader="none" w:pos="6369" w:val="left"/>
          <w:tab w:leader="none" w:pos="7089" w:val="left"/>
          <w:tab w:leader="none" w:pos="8409" w:val="left"/>
          <w:tab w:leader="none" w:pos="8949" w:val="left"/>
          <w:tab w:leader="none" w:pos="9649" w:val="left"/>
        </w:tabs>
        <w:rPr>
          <w:sz w:val="20"/>
          <w:szCs w:val="20"/>
          <w:color w:val="auto"/>
        </w:rPr>
      </w:pPr>
      <w:r>
        <w:rPr>
          <w:rFonts w:ascii="Courier New" w:cs="Courier New" w:eastAsia="Courier New" w:hAnsi="Courier New"/>
          <w:sz w:val="15"/>
          <w:szCs w:val="15"/>
          <w:color w:val="auto"/>
        </w:rPr>
        <w:t>Three</w:t>
        <w:tab/>
        <w:t>months</w:t>
        <w:tab/>
        <w:t>ended</w:t>
      </w:r>
      <w:r>
        <w:rPr>
          <w:sz w:val="20"/>
          <w:szCs w:val="20"/>
          <w:color w:val="auto"/>
        </w:rPr>
        <w:tab/>
      </w:r>
      <w:r>
        <w:rPr>
          <w:rFonts w:ascii="Courier New" w:cs="Courier New" w:eastAsia="Courier New" w:hAnsi="Courier New"/>
          <w:sz w:val="15"/>
          <w:szCs w:val="15"/>
          <w:color w:val="auto"/>
        </w:rPr>
        <w:t>Nine</w:t>
        <w:tab/>
        <w:t>months</w:t>
      </w:r>
      <w:r>
        <w:rPr>
          <w:sz w:val="20"/>
          <w:szCs w:val="20"/>
          <w:color w:val="auto"/>
        </w:rPr>
        <w:tab/>
      </w:r>
      <w:r>
        <w:rPr>
          <w:rFonts w:ascii="Courier New" w:cs="Courier New" w:eastAsia="Courier New" w:hAnsi="Courier New"/>
          <w:sz w:val="14"/>
          <w:szCs w:val="14"/>
          <w:color w:val="auto"/>
        </w:rPr>
        <w:t>ended</w:t>
      </w:r>
    </w:p>
    <w:p>
      <w:pPr>
        <w:spacing w:after="0" w:line="1" w:lineRule="exact"/>
        <w:rPr>
          <w:sz w:val="20"/>
          <w:szCs w:val="20"/>
          <w:color w:val="auto"/>
        </w:rPr>
      </w:pPr>
    </w:p>
    <w:p>
      <w:pPr>
        <w:ind w:left="50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329"/>
        <w:spacing w:after="0"/>
        <w:tabs>
          <w:tab w:leader="none" w:pos="6369" w:val="left"/>
          <w:tab w:leader="none" w:pos="7429" w:val="left"/>
          <w:tab w:leader="none" w:pos="8509" w:val="left"/>
          <w:tab w:leader="none" w:pos="9569" w:val="left"/>
        </w:tabs>
        <w:rPr>
          <w:sz w:val="20"/>
          <w:szCs w:val="20"/>
          <w:color w:val="auto"/>
        </w:rPr>
      </w:pPr>
      <w:r>
        <w:rPr>
          <w:rFonts w:ascii="Courier New" w:cs="Courier New" w:eastAsia="Courier New" w:hAnsi="Courier New"/>
          <w:sz w:val="15"/>
          <w:szCs w:val="15"/>
          <w:color w:val="auto"/>
        </w:rPr>
        <w:t>30.09.01</w:t>
      </w:r>
      <w:r>
        <w:rPr>
          <w:sz w:val="20"/>
          <w:szCs w:val="20"/>
          <w:color w:val="auto"/>
        </w:rPr>
        <w:tab/>
      </w:r>
      <w:r>
        <w:rPr>
          <w:rFonts w:ascii="Courier New" w:cs="Courier New" w:eastAsia="Courier New" w:hAnsi="Courier New"/>
          <w:sz w:val="15"/>
          <w:szCs w:val="15"/>
          <w:color w:val="auto"/>
        </w:rPr>
        <w:t>30.06.02</w:t>
      </w:r>
      <w:r>
        <w:rPr>
          <w:sz w:val="20"/>
          <w:szCs w:val="20"/>
          <w:color w:val="auto"/>
        </w:rPr>
        <w:tab/>
      </w:r>
      <w:r>
        <w:rPr>
          <w:rFonts w:ascii="Courier New" w:cs="Courier New" w:eastAsia="Courier New" w:hAnsi="Courier New"/>
          <w:sz w:val="15"/>
          <w:szCs w:val="15"/>
          <w:color w:val="auto"/>
        </w:rPr>
        <w:t>30.09.02</w:t>
      </w:r>
      <w:r>
        <w:rPr>
          <w:sz w:val="20"/>
          <w:szCs w:val="20"/>
          <w:color w:val="auto"/>
        </w:rPr>
        <w:tab/>
      </w:r>
      <w:r>
        <w:rPr>
          <w:rFonts w:ascii="Courier New" w:cs="Courier New" w:eastAsia="Courier New" w:hAnsi="Courier New"/>
          <w:sz w:val="15"/>
          <w:szCs w:val="15"/>
          <w:color w:val="auto"/>
        </w:rPr>
        <w:t>30.09.01</w:t>
      </w:r>
      <w:r>
        <w:rPr>
          <w:sz w:val="20"/>
          <w:szCs w:val="20"/>
          <w:color w:val="auto"/>
        </w:rPr>
        <w:tab/>
      </w:r>
      <w:r>
        <w:rPr>
          <w:rFonts w:ascii="Courier New" w:cs="Courier New" w:eastAsia="Courier New" w:hAnsi="Courier New"/>
          <w:sz w:val="14"/>
          <w:szCs w:val="14"/>
          <w:color w:val="auto"/>
        </w:rPr>
        <w:t>30.09.02</w:t>
      </w:r>
    </w:p>
    <w:p>
      <w:pPr>
        <w:spacing w:after="0" w:line="3" w:lineRule="exact"/>
        <w:rPr>
          <w:sz w:val="20"/>
          <w:szCs w:val="20"/>
          <w:color w:val="auto"/>
        </w:rPr>
      </w:pPr>
    </w:p>
    <w:p>
      <w:pPr>
        <w:ind w:left="169" w:hanging="169"/>
        <w:spacing w:after="0"/>
        <w:tabs>
          <w:tab w:leader="none" w:pos="16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Results</w:t>
      </w:r>
    </w:p>
    <w:p>
      <w:pPr>
        <w:ind w:left="169" w:hanging="169"/>
        <w:spacing w:after="0"/>
        <w:tabs>
          <w:tab w:leader="none" w:pos="16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Interest Income</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4,236</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6,747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4,254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17,813</w:t>
            </w: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Provisions for market risks</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7,521</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1,332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6,452</w:t>
            </w: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Income(1)</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4,489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(1,329)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1,578</w:t>
            </w: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Operating Expense</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2,388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8,465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7,322</w:t>
            </w: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Income</w:t>
            </w:r>
          </w:p>
        </w:tc>
        <w:tc>
          <w:tcPr>
            <w:tcW w:w="1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(1,403)</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2,132</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5,616</w:t>
            </w: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Income per share (US$)</w:t>
            </w:r>
          </w:p>
        </w:tc>
        <w:tc>
          <w:tcPr>
            <w:tcW w:w="1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0.05</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0.14</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Sheets  (end of period)</w:t>
            </w: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Total</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687,352</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632,867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656,796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687,352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656,796</w:t>
            </w: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Loan portfolio, net</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206,929</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167,235</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153,820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206,929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153,820</w:t>
            </w: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Marketable securities and investments</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263,894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312,297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298,905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263,894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298,905</w:t>
            </w: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Total</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Deposits</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543,266</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503,509</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537,333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543,266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537,333</w:t>
            </w: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119,922</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104,655</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102,381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119,922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102,381</w:t>
            </w: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Funds</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under administration</w:t>
            </w:r>
          </w:p>
        </w:tc>
        <w:tc>
          <w:tcPr>
            <w:tcW w:w="18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372,204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474,291</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481,840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372,204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481,840</w:t>
            </w:r>
          </w:p>
        </w:tc>
      </w:tr>
    </w:tbl>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Ratios (2)</w:t>
            </w:r>
          </w:p>
        </w:tc>
        <w:tc>
          <w:tcPr>
            <w:tcW w:w="3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3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Net interest margin / interest earning assets (3)(4)(5)</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1"/>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Return on average</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stockholders' equity(4)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1"/>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Return on average</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total assets(4)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-0.8%</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Past due loans as</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a percentage of total loans</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0.0%</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Reserves for loan</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losses as a percentage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of total loans</w:t>
            </w:r>
          </w:p>
        </w:tc>
        <w:tc>
          <w:tcPr>
            <w:tcW w:w="364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1"/>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Operating expense</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  total income(6)</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29.9%</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44.1%</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63.9%</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r>
      <w:tr>
        <w:trPr>
          <w:trHeight w:val="171"/>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Operating expense</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 average total assets(4)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Operating expense</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 average total assets +</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funds under management(4)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0.8%</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44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realized gains in securities.</w:t>
      </w:r>
    </w:p>
    <w:p>
      <w:pPr>
        <w:spacing w:after="0" w:line="3" w:lineRule="exact"/>
        <w:rPr>
          <w:rFonts w:ascii="Courier New" w:cs="Courier New" w:eastAsia="Courier New" w:hAnsi="Courier New"/>
          <w:sz w:val="15"/>
          <w:szCs w:val="15"/>
          <w:color w:val="auto"/>
        </w:rPr>
      </w:pPr>
    </w:p>
    <w:p>
      <w:pPr>
        <w:ind w:left="449" w:right="4620" w:hanging="449"/>
        <w:spacing w:after="0" w:line="238" w:lineRule="auto"/>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are determined as the average of period-beginning and period-ending balances.</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determined from monthly balances.</w:t>
      </w:r>
    </w:p>
    <w:p>
      <w:pPr>
        <w:ind w:left="44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w:t>
      </w:r>
    </w:p>
    <w:p>
      <w:pPr>
        <w:ind w:left="44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considering dividend income and dividend earning assets.</w:t>
      </w:r>
    </w:p>
    <w:p>
      <w:pPr>
        <w:ind w:left="44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considering provisions for investments.</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569"/>
          </w:cols>
          <w:pgMar w:left="231" w:top="1440" w:right="1099" w:bottom="1440" w:gutter="0" w:footer="0" w:header="0"/>
        </w:sectPr>
      </w:pPr>
    </w:p>
    <w:bookmarkStart w:id="36" w:name="page37"/>
    <w:bookmarkEnd w:id="36"/>
    <w:p>
      <w:pPr>
        <w:ind w:left="2489"/>
        <w:spacing w:after="0"/>
        <w:tabs>
          <w:tab w:leader="none" w:pos="4869" w:val="left"/>
          <w:tab w:leader="none" w:pos="5309" w:val="left"/>
        </w:tabs>
        <w:rPr>
          <w:sz w:val="20"/>
          <w:szCs w:val="20"/>
          <w:color w:val="auto"/>
        </w:rPr>
      </w:pPr>
      <w:r>
        <w:rPr>
          <w:rFonts w:ascii="Courier New" w:cs="Courier New" w:eastAsia="Courier New" w:hAnsi="Courier New"/>
          <w:sz w:val="15"/>
          <w:szCs w:val="15"/>
          <w:color w:val="auto"/>
        </w:rPr>
        <w:t>EL PACIFICO-PERUANO SUIZA</w:t>
        <w:tab/>
        <w:t>AND</w:t>
      </w:r>
      <w:r>
        <w:rPr>
          <w:sz w:val="20"/>
          <w:szCs w:val="20"/>
          <w:color w:val="auto"/>
        </w:rPr>
        <w:tab/>
      </w:r>
      <w:r>
        <w:rPr>
          <w:rFonts w:ascii="Courier New" w:cs="Courier New" w:eastAsia="Courier New" w:hAnsi="Courier New"/>
          <w:sz w:val="14"/>
          <w:szCs w:val="14"/>
          <w:color w:val="auto"/>
        </w:rPr>
        <w:t>SUBSIDIARIES</w:t>
      </w:r>
    </w:p>
    <w:p>
      <w:pPr>
        <w:spacing w:after="0" w:line="1" w:lineRule="exact"/>
        <w:rPr>
          <w:sz w:val="20"/>
          <w:szCs w:val="20"/>
          <w:color w:val="auto"/>
        </w:rPr>
      </w:pPr>
    </w:p>
    <w:p>
      <w:pPr>
        <w:ind w:left="4089"/>
        <w:spacing w:after="0"/>
        <w:tabs>
          <w:tab w:leader="none" w:pos="4689" w:val="left"/>
        </w:tabs>
        <w:rPr>
          <w:sz w:val="20"/>
          <w:szCs w:val="20"/>
          <w:color w:val="auto"/>
        </w:rPr>
      </w:pPr>
      <w:r>
        <w:rPr>
          <w:rFonts w:ascii="Courier New" w:cs="Courier New" w:eastAsia="Courier New" w:hAnsi="Courier New"/>
          <w:sz w:val="15"/>
          <w:szCs w:val="15"/>
          <w:color w:val="auto"/>
        </w:rPr>
        <w:t>Table</w:t>
        <w:tab/>
        <w:t>8</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SELECTED FINANCIAL DATA</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(Constant Nuevos Soles as of September 30, 2002, and</w:t>
      </w:r>
    </w:p>
    <w:p>
      <w:pPr>
        <w:spacing w:after="0" w:line="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U.S. Dollars in thousands, except net income per share)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669" w:right="1259" w:firstLine="444"/>
        <w:spacing w:after="0" w:line="239" w:lineRule="auto"/>
        <w:rPr>
          <w:sz w:val="20"/>
          <w:szCs w:val="20"/>
          <w:color w:val="auto"/>
        </w:rPr>
      </w:pPr>
      <w:r>
        <w:rPr>
          <w:rFonts w:ascii="Courier New" w:cs="Courier New" w:eastAsia="Courier New" w:hAnsi="Courier New"/>
          <w:sz w:val="15"/>
          <w:szCs w:val="15"/>
          <w:color w:val="auto"/>
        </w:rPr>
        <w:t>As of and for the three month As of and for the nine month period ended period ended ----------------------------------------------------------------------- 30.09.01 30.06.02 30.09.02 30.09.02 30.09.01 30.09.02 30.09.02</w:t>
      </w:r>
    </w:p>
    <w:p>
      <w:pPr>
        <w:spacing w:after="0" w:line="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Results</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US$000(1)</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US$000(1)</w:t>
            </w:r>
          </w:p>
        </w:tc>
      </w:tr>
      <w:tr>
        <w:trPr>
          <w:trHeight w:val="171"/>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Total gross Premiums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196,323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191,126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232,368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$63,767</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545,604</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663,094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$181,969</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Change in Reserves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26,587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24,175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26,528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$7,280</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89,566</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89,675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$24,609</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Net Underwriting Results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15,301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9,850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21,659</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$5,944</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17,785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58,612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$16,085</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Net Financial Income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17,276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28,756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19,808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$5,436</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51,568</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65,080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$17,859</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General Expenses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23,914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27,258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25,029</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$6,868</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70,199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78,916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$21,656</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7,628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9,890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12,315</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$3,379</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2,890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34,605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$9,496</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Net Income per share</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(S/.)(2)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0.330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0.424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0.528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$0.145</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0.125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$0.407</w:t>
            </w:r>
          </w:p>
        </w:tc>
      </w:tr>
      <w:tr>
        <w:trPr>
          <w:trHeight w:val="341"/>
        </w:trPr>
        <w:tc>
          <w:tcPr>
            <w:tcW w:w="2520" w:type="dxa"/>
            <w:vAlign w:val="bottom"/>
          </w:tcPr>
          <w:p>
            <w:pPr>
              <w:spacing w:after="0"/>
              <w:rPr>
                <w:sz w:val="20"/>
                <w:szCs w:val="20"/>
                <w:color w:val="auto"/>
              </w:rPr>
            </w:pPr>
            <w:r>
              <w:rPr>
                <w:rFonts w:ascii="Courier New" w:cs="Courier New" w:eastAsia="Courier New" w:hAnsi="Courier New"/>
                <w:sz w:val="15"/>
                <w:szCs w:val="15"/>
                <w:color w:val="auto"/>
              </w:rPr>
              <w:t>Balance Sheets  (end of</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1,156,377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1,355,932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1,463,060</w:t>
            </w:r>
          </w:p>
        </w:tc>
        <w:tc>
          <w:tcPr>
            <w:tcW w:w="27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$401,498 1,156,377 1,463,060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$401,498</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Investments in Secur. and</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Real estate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735,824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943,006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987,451</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$270,980</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735,824</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987,451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$270,980</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Technical Reserves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663,679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821,219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862,912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$236,803</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663,679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862,912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$236,803</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Net Equity</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295,845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339,195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353,350</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$96,968</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295,845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353,350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$96,968</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Ratios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underwriting results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Loss ratio</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51.4%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64.8%</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Return on avge. equity</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Return on total premiums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Shareholders' Equity  /</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24.2%</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Increase in Risk Reserves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Combined Ratio</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87.6%</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91.8%</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89.9%</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 Net Claims / Net</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Premiums</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65.3%</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68.4%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66.7%</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58.4%</w:t>
            </w:r>
          </w:p>
        </w:tc>
      </w:tr>
      <w:tr>
        <w:trPr>
          <w:trHeight w:val="171"/>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 Op. Exp.+Comiss./Net</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Premiums</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22.3%</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23.2%</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r>
        <w:trPr>
          <w:trHeight w:val="1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Operating expense/Net</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720" w:type="dxa"/>
            <w:vAlign w:val="bottom"/>
          </w:tcPr>
          <w:p>
            <w:pPr>
              <w:ind w:left="100"/>
              <w:spacing w:after="0"/>
              <w:rPr>
                <w:sz w:val="20"/>
                <w:szCs w:val="20"/>
                <w:color w:val="auto"/>
              </w:rPr>
            </w:pPr>
            <w:r>
              <w:rPr>
                <w:rFonts w:ascii="Courier New" w:cs="Courier New" w:eastAsia="Courier New" w:hAnsi="Courier New"/>
                <w:sz w:val="15"/>
                <w:szCs w:val="15"/>
                <w:color w:val="auto"/>
              </w:rPr>
              <w:t>Premiums</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17.5%</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Oper. expense / Avge. assets</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72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449" w:hanging="449"/>
        <w:spacing w:after="0"/>
        <w:tabs>
          <w:tab w:leader="none" w:pos="4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Translated at S/.3.644 per US$1.00.</w:t>
      </w:r>
    </w:p>
    <w:p>
      <w:pPr>
        <w:ind w:left="449" w:hanging="449"/>
        <w:spacing w:after="0"/>
        <w:tabs>
          <w:tab w:leader="none" w:pos="4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23.3 million shares in all periods.</w:t>
      </w:r>
    </w:p>
    <w:p>
      <w:pPr>
        <w:spacing w:after="0" w:line="3" w:lineRule="exact"/>
        <w:rPr>
          <w:rFonts w:ascii="Courier New" w:cs="Courier New" w:eastAsia="Courier New" w:hAnsi="Courier New"/>
          <w:sz w:val="15"/>
          <w:szCs w:val="15"/>
          <w:color w:val="auto"/>
        </w:rPr>
      </w:pPr>
    </w:p>
    <w:p>
      <w:pPr>
        <w:ind w:left="449" w:right="4199" w:hanging="449"/>
        <w:spacing w:after="0" w:line="238" w:lineRule="auto"/>
        <w:tabs>
          <w:tab w:leader="none" w:pos="4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are determined as the average of period- beginning and period-ending balances.</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8"/>
          </w:cols>
          <w:pgMar w:left="231" w:top="1311" w:right="1440" w:bottom="1440" w:gutter="0" w:footer="0" w:header="0"/>
        </w:sectPr>
      </w:pPr>
    </w:p>
    <w:bookmarkStart w:id="37" w:name="page38"/>
    <w:bookmarkEnd w:id="37"/>
    <w:p>
      <w:pPr>
        <w:ind w:left="3100"/>
        <w:spacing w:after="0"/>
        <w:rPr>
          <w:sz w:val="20"/>
          <w:szCs w:val="20"/>
          <w:color w:val="auto"/>
        </w:rPr>
      </w:pPr>
      <w:r>
        <w:rPr>
          <w:rFonts w:ascii="Courier New" w:cs="Courier New" w:eastAsia="Courier New" w:hAnsi="Courier New"/>
          <w:sz w:val="15"/>
          <w:szCs w:val="15"/>
          <w:color w:val="auto"/>
        </w:rPr>
        <w:t>SIGNATURE</w:t>
      </w:r>
    </w:p>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00"/>
        <w:spacing w:after="0"/>
        <w:tabs>
          <w:tab w:leader="none" w:pos="4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 : Ray Campos</w:t>
      </w:r>
    </w:p>
    <w:p>
      <w:pPr>
        <w:spacing w:after="0" w:line="1" w:lineRule="exact"/>
        <w:rPr>
          <w:sz w:val="20"/>
          <w:szCs w:val="20"/>
          <w:color w:val="auto"/>
        </w:rPr>
      </w:pPr>
    </w:p>
    <w:p>
      <w:pPr>
        <w:ind w:left="3800"/>
        <w:spacing w:after="0"/>
        <w:tabs>
          <w:tab w:leader="none" w:pos="46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Dated:</w:t>
        <w:tab/>
        <w:t>November 15, 2002</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sectPr>
      <w:pgSz w:w="11900" w:h="16838" w:orient="portrait"/>
      <w:cols w:equalWidth="0" w:num="1">
        <w:col w:w="10219"/>
      </w:cols>
      <w:pgMar w:left="240" w:top="7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upperLetter"/>
      <w:start w:val="35"/>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upperLetter"/>
      <w:start w:val="6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2019-12-14T06:57:10Z</dcterms:created>
  <dcterms:modified xsi:type="dcterms:W3CDTF">2019-12-14T06:57:10Z</dcterms:modified>
</cp:coreProperties>
</file>