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February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t>February 05,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208" w:lineRule="exact"/>
        <w:rPr>
          <w:sz w:val="20"/>
          <w:szCs w:val="20"/>
          <w:color w:val="auto"/>
        </w:rPr>
      </w:pPr>
    </w:p>
    <w:p>
      <w:pPr>
        <w:jc w:val="both"/>
        <w:ind w:firstLine="59"/>
        <w:spacing w:after="0" w:line="264" w:lineRule="auto"/>
        <w:rPr>
          <w:sz w:val="20"/>
          <w:szCs w:val="20"/>
          <w:color w:val="auto"/>
        </w:rPr>
      </w:pPr>
      <w:r>
        <w:rPr>
          <w:rFonts w:ascii="Arial" w:cs="Arial" w:eastAsia="Arial" w:hAnsi="Arial"/>
          <w:sz w:val="18"/>
          <w:szCs w:val="18"/>
          <w:color w:val="auto"/>
        </w:rPr>
        <w:t>In a session held on February 05, 2009, Credicorp’s Board of Directors agreed to reschedule the date for the Annual General Shareholder’s meeting from March 26, 2009 to March 31, 2009, at 12:00 am, at the main offices of Banco de Credito del Peru, located at 156 Calle Centenario, Laderas de Melgarejo, in La Molina, Lima.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Fernando Palao</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5,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2019-12-10T14:11:34Z</dcterms:created>
  <dcterms:modified xsi:type="dcterms:W3CDTF">2019-12-10T14:11:34Z</dcterms:modified>
</cp:coreProperties>
</file>