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January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5852160</wp:posOffset>
            </wp:positionH>
            <wp:positionV relativeFrom="page">
              <wp:posOffset>337820</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30,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Subject: Material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would like to inform you that:</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20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relation to the Atlantic US Blue Chip Fund that our subsidiary Atlantic Security Holding Corp (ASHC) managed on behalf of its clients and that was affected by the Securities and Exchange Commission intervention and bankruptcy of Bernard L. Madoff Investment Securities LLC (Maddoff Securities), Credicorp Ltd. confirms that: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1.Credicorp Group has always proceeded with diligence and acted within the market standards and practices.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2.Nonetheless, our subsidiary ASHC has decided to generate a provision of US$ 33 million that will be included Credicorp’s 2008 financial results.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Represente Bursátil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30, 2008</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2019-12-10T13:45:22Z</dcterms:created>
  <dcterms:modified xsi:type="dcterms:W3CDTF">2019-12-10T13:45:22Z</dcterms:modified>
</cp:coreProperties>
</file>