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6-K</w:t>
      </w:r>
    </w:p>
    <w:p>
      <w:pPr>
        <w:spacing w:after="0" w:line="259" w:lineRule="exact"/>
        <w:rPr>
          <w:sz w:val="24"/>
          <w:szCs w:val="24"/>
          <w:color w:val="auto"/>
        </w:rPr>
      </w:pPr>
    </w:p>
    <w:p>
      <w:pPr>
        <w:jc w:val="center"/>
        <w:ind w:right="-459"/>
        <w:spacing w:after="0"/>
        <w:rPr>
          <w:sz w:val="20"/>
          <w:szCs w:val="20"/>
          <w:color w:val="auto"/>
        </w:rPr>
      </w:pPr>
      <w:r>
        <w:rPr>
          <w:rFonts w:ascii="Arial" w:cs="Arial" w:eastAsia="Arial" w:hAnsi="Arial"/>
          <w:sz w:val="22"/>
          <w:szCs w:val="22"/>
          <w:color w:val="auto"/>
        </w:rPr>
        <w:t>Report of Foreign Private Issuer</w:t>
      </w:r>
    </w:p>
    <w:p>
      <w:pPr>
        <w:jc w:val="center"/>
        <w:ind w:right="-459"/>
        <w:spacing w:after="0" w:line="238" w:lineRule="auto"/>
        <w:rPr>
          <w:sz w:val="20"/>
          <w:szCs w:val="20"/>
          <w:color w:val="auto"/>
        </w:rPr>
      </w:pPr>
      <w:r>
        <w:rPr>
          <w:rFonts w:ascii="Arial" w:cs="Arial" w:eastAsia="Arial" w:hAnsi="Arial"/>
          <w:sz w:val="22"/>
          <w:szCs w:val="22"/>
          <w:color w:val="auto"/>
        </w:rPr>
        <w:t>Pursuant to Rule 13a-16 or 15d-16 under the</w:t>
      </w:r>
    </w:p>
    <w:p>
      <w:pPr>
        <w:jc w:val="center"/>
        <w:ind w:right="-459"/>
        <w:spacing w:after="0"/>
        <w:rPr>
          <w:sz w:val="20"/>
          <w:szCs w:val="20"/>
          <w:color w:val="auto"/>
        </w:rPr>
      </w:pPr>
      <w:r>
        <w:rPr>
          <w:rFonts w:ascii="Arial" w:cs="Arial" w:eastAsia="Arial" w:hAnsi="Arial"/>
          <w:sz w:val="22"/>
          <w:szCs w:val="22"/>
          <w:color w:val="auto"/>
        </w:rPr>
        <w:t>Securities Exchange Act of 1934</w:t>
      </w:r>
    </w:p>
    <w:p>
      <w:pPr>
        <w:spacing w:after="0" w:line="209"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For the month of January 2022</w:t>
      </w:r>
    </w:p>
    <w:p>
      <w:pPr>
        <w:spacing w:after="0" w:line="239" w:lineRule="exact"/>
        <w:rPr>
          <w:sz w:val="24"/>
          <w:szCs w:val="24"/>
          <w:color w:val="auto"/>
        </w:rPr>
      </w:pPr>
    </w:p>
    <w:p>
      <w:pPr>
        <w:jc w:val="center"/>
        <w:ind w:right="-459"/>
        <w:spacing w:after="0"/>
        <w:rPr>
          <w:sz w:val="20"/>
          <w:szCs w:val="20"/>
          <w:color w:val="auto"/>
        </w:rPr>
      </w:pPr>
      <w:r>
        <w:rPr>
          <w:rFonts w:ascii="Arial" w:cs="Arial" w:eastAsia="Arial" w:hAnsi="Arial"/>
          <w:sz w:val="22"/>
          <w:szCs w:val="22"/>
          <w:color w:val="auto"/>
        </w:rPr>
        <w:t>Commission File Number: 001-14014</w:t>
      </w:r>
    </w:p>
    <w:p>
      <w:pPr>
        <w:spacing w:after="0" w:line="211" w:lineRule="exact"/>
        <w:rPr>
          <w:sz w:val="24"/>
          <w:szCs w:val="24"/>
          <w:color w:val="auto"/>
        </w:rPr>
      </w:pPr>
    </w:p>
    <w:p>
      <w:pPr>
        <w:jc w:val="center"/>
        <w:ind w:right="-459"/>
        <w:spacing w:after="0"/>
        <w:rPr>
          <w:sz w:val="20"/>
          <w:szCs w:val="20"/>
          <w:color w:val="auto"/>
        </w:rPr>
      </w:pPr>
      <w:r>
        <w:rPr>
          <w:rFonts w:ascii="Arial" w:cs="Arial" w:eastAsia="Arial" w:hAnsi="Arial"/>
          <w:sz w:val="43"/>
          <w:szCs w:val="43"/>
          <w:b w:val="1"/>
          <w:bCs w:val="1"/>
          <w:color w:val="auto"/>
        </w:rPr>
        <w:t>CREDICORP LTD.</w:t>
      </w:r>
    </w:p>
    <w:p>
      <w:pPr>
        <w:spacing w:after="0" w:line="45" w:lineRule="exact"/>
        <w:rPr>
          <w:sz w:val="24"/>
          <w:szCs w:val="24"/>
          <w:color w:val="auto"/>
        </w:rPr>
      </w:pPr>
    </w:p>
    <w:p>
      <w:pPr>
        <w:jc w:val="center"/>
        <w:ind w:right="-459"/>
        <w:spacing w:after="0"/>
        <w:rPr>
          <w:sz w:val="20"/>
          <w:szCs w:val="20"/>
          <w:color w:val="auto"/>
        </w:rPr>
      </w:pPr>
      <w:r>
        <w:rPr>
          <w:rFonts w:ascii="Arial" w:cs="Arial" w:eastAsia="Arial" w:hAnsi="Arial"/>
          <w:sz w:val="22"/>
          <w:szCs w:val="22"/>
          <w:color w:val="auto"/>
        </w:rPr>
        <w:t>(Translation of registrant’s name into English)</w:t>
      </w:r>
    </w:p>
    <w:p>
      <w:pPr>
        <w:spacing w:after="0" w:line="209"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Of our subsidiary</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Banco de Credito del Peru:</w:t>
      </w:r>
    </w:p>
    <w:p>
      <w:pPr>
        <w:jc w:val="center"/>
        <w:ind w:right="-459"/>
        <w:spacing w:after="0" w:line="230" w:lineRule="auto"/>
        <w:rPr>
          <w:sz w:val="20"/>
          <w:szCs w:val="20"/>
          <w:color w:val="auto"/>
        </w:rPr>
      </w:pPr>
      <w:r>
        <w:rPr>
          <w:rFonts w:ascii="Arial" w:cs="Arial" w:eastAsia="Arial" w:hAnsi="Arial"/>
          <w:sz w:val="22"/>
          <w:szCs w:val="22"/>
          <w:b w:val="1"/>
          <w:bCs w:val="1"/>
          <w:color w:val="auto"/>
        </w:rPr>
        <w:t>Calle Centenario 156</w:t>
      </w:r>
    </w:p>
    <w:p>
      <w:pPr>
        <w:jc w:val="center"/>
        <w:ind w:right="-459"/>
        <w:spacing w:after="0" w:line="231" w:lineRule="auto"/>
        <w:rPr>
          <w:sz w:val="20"/>
          <w:szCs w:val="20"/>
          <w:color w:val="auto"/>
        </w:rPr>
      </w:pPr>
      <w:r>
        <w:rPr>
          <w:rFonts w:ascii="Arial" w:cs="Arial" w:eastAsia="Arial" w:hAnsi="Arial"/>
          <w:sz w:val="22"/>
          <w:szCs w:val="22"/>
          <w:b w:val="1"/>
          <w:bCs w:val="1"/>
          <w:color w:val="auto"/>
        </w:rPr>
        <w:t>La Molina</w:t>
      </w:r>
    </w:p>
    <w:p>
      <w:pPr>
        <w:jc w:val="center"/>
        <w:ind w:right="-459"/>
        <w:spacing w:after="0" w:line="230" w:lineRule="auto"/>
        <w:rPr>
          <w:sz w:val="20"/>
          <w:szCs w:val="20"/>
          <w:color w:val="auto"/>
        </w:rPr>
      </w:pPr>
      <w:r>
        <w:rPr>
          <w:rFonts w:ascii="Arial" w:cs="Arial" w:eastAsia="Arial" w:hAnsi="Arial"/>
          <w:sz w:val="22"/>
          <w:szCs w:val="22"/>
          <w:b w:val="1"/>
          <w:bCs w:val="1"/>
          <w:color w:val="auto"/>
        </w:rPr>
        <w:t>Lima 12, Peru</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jc w:val="center"/>
        <w:ind w:right="-459"/>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41" w:lineRule="exact"/>
        <w:rPr>
          <w:sz w:val="24"/>
          <w:szCs w:val="24"/>
          <w:color w:val="auto"/>
        </w:rPr>
      </w:pPr>
    </w:p>
    <w:p>
      <w:pPr>
        <w:jc w:val="center"/>
        <w:ind w:right="-45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73" w:lineRule="exact"/>
        <w:rPr>
          <w:sz w:val="24"/>
          <w:szCs w:val="24"/>
          <w:color w:val="auto"/>
        </w:rPr>
      </w:pPr>
    </w:p>
    <w:p>
      <w:pPr>
        <w:ind w:left="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____</w:t>
      </w:r>
    </w:p>
    <w:p>
      <w:pPr>
        <w:spacing w:after="0" w:line="215" w:lineRule="exact"/>
        <w:rPr>
          <w:sz w:val="24"/>
          <w:szCs w:val="24"/>
          <w:color w:val="auto"/>
        </w:rPr>
      </w:pPr>
    </w:p>
    <w:p>
      <w:pPr>
        <w:ind w:left="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535" w:right="7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6314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63140" cy="351790"/>
                    </a:xfrm>
                    <a:prstGeom prst="rect">
                      <a:avLst/>
                    </a:prstGeom>
                    <a:noFill/>
                  </pic:spPr>
                </pic:pic>
              </a:graphicData>
            </a:graphic>
          </wp:anchor>
        </w:drawing>
        <w:t>January 27,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 - SEC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 MATERIAL EVENT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We hereby notify you as a Material Event that the Board of Directors of Credicorp Ltd. (Credicorp), in its session held on January 27, 2022, has unanimously resolved:</w:t>
      </w:r>
    </w:p>
    <w:p>
      <w:pPr>
        <w:spacing w:after="0" w:line="209" w:lineRule="exact"/>
        <w:rPr>
          <w:sz w:val="20"/>
          <w:szCs w:val="20"/>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Mr. Cesar Rivera as Head of Insurance and Pensions. Mr. Rivera will succeed Mr. Alvaro Correa Malachowski and this appointment will be effective as of February 1, 2022. Mr. Rivera will maintain his position as CEO of Pacifico Compañia de Seguros y Reaseguros, subsidiary of Credicorp.</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Ms. Francesca Raffo as Chief Innovation Officer (CINO) of Credicorp, reporting to the CEO of Credicorp. This appointment will be effective as of February 1, 2022. Ms. Raffo will maintain her position as Deputy CEO Retail Banking at Banco de Credito del Peru, subsidiary of Credicorp.</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u w:val="single" w:color="auto"/>
          <w:color w:val="auto"/>
        </w:rPr>
        <w:t>Miriam Böttger</w:t>
      </w:r>
    </w:p>
    <w:p>
      <w:pPr>
        <w:spacing w:after="0" w:line="238" w:lineRule="auto"/>
        <w:rPr>
          <w:sz w:val="20"/>
          <w:szCs w:val="20"/>
          <w:color w:val="auto"/>
        </w:rPr>
      </w:pPr>
      <w:r>
        <w:rPr>
          <w:rFonts w:ascii="Arial" w:cs="Arial" w:eastAsia="Arial" w:hAnsi="Arial"/>
          <w:sz w:val="22"/>
          <w:szCs w:val="22"/>
          <w:color w:val="auto"/>
        </w:rPr>
        <w:t>Authorized Representative</w:t>
      </w:r>
    </w:p>
    <w:p>
      <w:pPr>
        <w:spacing w:after="0"/>
        <w:rPr>
          <w:sz w:val="20"/>
          <w:szCs w:val="20"/>
          <w:color w:val="auto"/>
        </w:rPr>
      </w:pPr>
      <w:r>
        <w:rPr>
          <w:rFonts w:ascii="Arial" w:cs="Arial" w:eastAsia="Arial" w:hAnsi="Arial"/>
          <w:sz w:val="22"/>
          <w:szCs w:val="22"/>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535"/>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Date: January 27, 2022</w:t>
      </w:r>
    </w:p>
    <w:p>
      <w:pPr>
        <w:spacing w:after="0" w:line="24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2974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97430" cy="17145"/>
                    </a:xfrm>
                    <a:prstGeom prst="rect">
                      <a:avLst/>
                    </a:prstGeom>
                    <a:noFill/>
                  </pic:spPr>
                </pic:pic>
              </a:graphicData>
            </a:graphic>
          </wp:anchor>
        </w:drawing>
      </w:r>
    </w:p>
    <w:p>
      <w:pPr>
        <w:spacing w:after="0" w:line="12"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Miriam Böttger</w:t>
      </w:r>
    </w:p>
    <w:p>
      <w:pPr>
        <w:spacing w:after="0" w:line="27"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2022-01-27T15:35:01Z</dcterms:created>
  <dcterms:modified xsi:type="dcterms:W3CDTF">2022-01-27T15:35:01Z</dcterms:modified>
</cp:coreProperties>
</file>