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4"/>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5"/>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45"/>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5"/>
        <w:spacing w:after="0"/>
        <w:rPr>
          <w:sz w:val="20"/>
          <w:szCs w:val="20"/>
          <w:color w:val="auto"/>
        </w:rPr>
      </w:pPr>
      <w:r>
        <w:rPr>
          <w:rFonts w:ascii="Courier New" w:cs="Courier New" w:eastAsia="Courier New" w:hAnsi="Courier New"/>
          <w:sz w:val="18"/>
          <w:szCs w:val="18"/>
          <w:color w:val="auto"/>
        </w:rPr>
        <w:t>225305903</w:t>
      </w:r>
    </w:p>
    <w:p>
      <w:pPr>
        <w:spacing w:after="0" w:line="201" w:lineRule="exact"/>
        <w:rPr>
          <w:sz w:val="24"/>
          <w:szCs w:val="24"/>
          <w:color w:val="auto"/>
        </w:rPr>
      </w:pPr>
    </w:p>
    <w:p>
      <w:pPr>
        <w:ind w:left="3165"/>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994"/>
        <w:spacing w:after="0"/>
        <w:rPr>
          <w:sz w:val="20"/>
          <w:szCs w:val="20"/>
          <w:color w:val="auto"/>
        </w:rPr>
      </w:pPr>
      <w:r>
        <w:rPr>
          <w:rFonts w:ascii="Courier New" w:cs="Courier New" w:eastAsia="Courier New" w:hAnsi="Courier New"/>
          <w:sz w:val="18"/>
          <w:szCs w:val="18"/>
          <w:color w:val="auto"/>
        </w:rPr>
        <w:t>December 29, 2000</w:t>
      </w:r>
    </w:p>
    <w:p>
      <w:pPr>
        <w:spacing w:after="0" w:line="201" w:lineRule="exact"/>
        <w:rPr>
          <w:sz w:val="24"/>
          <w:szCs w:val="24"/>
          <w:color w:val="auto"/>
        </w:rPr>
      </w:pPr>
    </w:p>
    <w:p>
      <w:pPr>
        <w:ind w:left="945"/>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ind w:left="5"/>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 w:right="7899" w:hanging="5"/>
        <w:spacing w:after="0" w:line="279" w:lineRule="auto"/>
        <w:tabs>
          <w:tab w:leader="none" w:pos="4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525" w:hanging="420"/>
        <w:spacing w:after="0"/>
        <w:tabs>
          <w:tab w:leader="none" w:pos="52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5"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ectPr>
          <w:pgSz w:w="11900" w:h="16838" w:orient="portrait"/>
          <w:cols w:equalWidth="0" w:num="1">
            <w:col w:w="9684"/>
          </w:cols>
          <w:pgMar w:left="775" w:top="1440" w:right="1440" w:bottom="0" w:gutter="0" w:footer="0" w:header="0"/>
        </w:sectPr>
      </w:pPr>
    </w:p>
    <w:bookmarkStart w:id="1" w:name="page2"/>
    <w:bookmarkEnd w:id="1"/>
    <w:p>
      <w:pPr>
        <w:ind w:left="520" w:hanging="420"/>
        <w:spacing w:after="0"/>
        <w:tabs>
          <w:tab w:leader="none" w:pos="5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w:t>
      </w:r>
    </w:p>
    <w:p>
      <w:pPr>
        <w:sectPr>
          <w:pgSz w:w="11900" w:h="16838" w:orient="portrait"/>
          <w:cols w:equalWidth="0" w:num="1">
            <w:col w:w="9679"/>
          </w:cols>
          <w:pgMar w:left="780" w:top="344" w:right="1440" w:bottom="1440" w:gutter="0" w:footer="0" w:header="0"/>
        </w:sectPr>
      </w:pP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w:t>
      </w: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0"/>
          <w:szCs w:val="20"/>
          <w:color w:val="auto"/>
        </w:rPr>
      </w:pPr>
    </w:p>
    <w:p>
      <w:pPr>
        <w:sectPr>
          <w:pgSz w:w="11900" w:h="16838" w:orient="portrait"/>
          <w:cols w:equalWidth="0" w:num="2">
            <w:col w:w="6340" w:space="720"/>
            <w:col w:w="2619"/>
          </w:cols>
          <w:pgMar w:left="780" w:top="344" w:right="1440" w:bottom="1440" w:gutter="0" w:footer="0" w:header="0"/>
          <w:type w:val="continuous"/>
        </w:sectPr>
      </w:pPr>
    </w:p>
    <w:p>
      <w:pPr>
        <w:spacing w:after="0" w:line="18" w:lineRule="exact"/>
        <w:rPr>
          <w:sz w:val="20"/>
          <w:szCs w:val="20"/>
          <w:color w:val="auto"/>
        </w:rPr>
      </w:pPr>
    </w:p>
    <w:p>
      <w:pPr>
        <w:ind w:left="520" w:hanging="420"/>
        <w:spacing w:after="0"/>
        <w:tabs>
          <w:tab w:leader="none" w:pos="5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5999" w:hanging="430"/>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7,500,900</w:t>
      </w:r>
    </w:p>
    <w:p>
      <w:pPr>
        <w:spacing w:after="0" w:line="209" w:lineRule="exact"/>
        <w:rPr>
          <w:sz w:val="20"/>
          <w:szCs w:val="20"/>
          <w:color w:val="auto"/>
        </w:rPr>
      </w:pPr>
    </w:p>
    <w:p>
      <w:pPr>
        <w:ind w:left="1900" w:hanging="430"/>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7,500,900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199" w:hanging="420"/>
        <w:spacing w:after="0" w:line="470" w:lineRule="auto"/>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7,500,900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9679"/>
          </w:cols>
          <w:pgMar w:left="780" w:top="344" w:right="1440" w:bottom="1440" w:gutter="0" w:footer="0" w:header="0"/>
          <w:type w:val="continuous"/>
        </w:sectPr>
      </w:pPr>
    </w:p>
    <w:bookmarkStart w:id="2" w:name="page3"/>
    <w:bookmarkEnd w:id="2"/>
    <w:p>
      <w:pPr>
        <w:spacing w:after="0" w:line="200" w:lineRule="exact"/>
        <w:rPr>
          <w:sz w:val="20"/>
          <w:szCs w:val="20"/>
          <w:color w:val="auto"/>
        </w:rPr>
      </w:pPr>
    </w:p>
    <w:p>
      <w:pPr>
        <w:spacing w:after="0" w:line="293" w:lineRule="exact"/>
        <w:rPr>
          <w:sz w:val="20"/>
          <w:szCs w:val="20"/>
          <w:color w:val="auto"/>
        </w:rPr>
      </w:pPr>
    </w:p>
    <w:p>
      <w:pPr>
        <w:ind w:left="520" w:hanging="420"/>
        <w:spacing w:after="0"/>
        <w:tabs>
          <w:tab w:leader="none" w:pos="5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International, Inc.</w:t>
      </w:r>
    </w:p>
    <w:p>
      <w:pPr>
        <w:spacing w:after="0" w:line="1" w:lineRule="exact"/>
        <w:rPr>
          <w:rFonts w:ascii="Courier New" w:cs="Courier New" w:eastAsia="Courier New" w:hAnsi="Courier New"/>
          <w:sz w:val="18"/>
          <w:szCs w:val="18"/>
          <w:color w:val="auto"/>
        </w:rPr>
      </w:pP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95-4154361</w:t>
      </w:r>
    </w:p>
    <w:p>
      <w:pPr>
        <w:spacing w:after="0" w:line="202" w:lineRule="exact"/>
        <w:rPr>
          <w:sz w:val="20"/>
          <w:szCs w:val="20"/>
          <w:color w:val="auto"/>
        </w:rPr>
      </w:pPr>
    </w:p>
    <w:p>
      <w:pPr>
        <w:ind w:left="520" w:hanging="420"/>
        <w:spacing w:after="0"/>
        <w:tabs>
          <w:tab w:leader="none" w:pos="5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5999" w:hanging="430"/>
        <w:spacing w:after="0" w:line="470"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2,408,128</w:t>
      </w:r>
    </w:p>
    <w:p>
      <w:pPr>
        <w:spacing w:after="0" w:line="209" w:lineRule="exact"/>
        <w:rPr>
          <w:sz w:val="20"/>
          <w:szCs w:val="20"/>
          <w:color w:val="auto"/>
        </w:rPr>
      </w:pPr>
    </w:p>
    <w:p>
      <w:pPr>
        <w:ind w:left="1900" w:hanging="430"/>
        <w:spacing w:after="0"/>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7,317,490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199" w:hanging="420"/>
        <w:spacing w:after="0" w:line="470" w:lineRule="auto"/>
        <w:tabs>
          <w:tab w:leader="none" w:pos="5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7,317,490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7.8%</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3 of 9</w:t>
      </w:r>
    </w:p>
    <w:p>
      <w:pPr>
        <w:sectPr>
          <w:pgSz w:w="11900" w:h="16838" w:orient="portrait"/>
          <w:cols w:equalWidth="0" w:num="1">
            <w:col w:w="9679"/>
          </w:cols>
          <w:pgMar w:left="780" w:top="1440" w:right="1440" w:bottom="970" w:gutter="0" w:footer="0" w:header="0"/>
        </w:sectPr>
      </w:pPr>
    </w:p>
    <w:bookmarkStart w:id="3" w:name="page4"/>
    <w:bookmarkEnd w:id="3"/>
    <w:p>
      <w:pPr>
        <w:ind w:left="520" w:hanging="420"/>
        <w:spacing w:after="0"/>
        <w:tabs>
          <w:tab w:leader="none" w:pos="5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Emerging Markets Growth Fund, Inc.</w:t>
      </w:r>
    </w:p>
    <w:p>
      <w:pPr>
        <w:spacing w:after="0" w:line="1" w:lineRule="exact"/>
        <w:rPr>
          <w:rFonts w:ascii="Courier New" w:cs="Courier New" w:eastAsia="Courier New" w:hAnsi="Courier New"/>
          <w:sz w:val="18"/>
          <w:szCs w:val="18"/>
          <w:color w:val="auto"/>
        </w:rPr>
      </w:pP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95-4026510</w:t>
      </w:r>
    </w:p>
    <w:p>
      <w:pPr>
        <w:spacing w:after="0" w:line="202" w:lineRule="exact"/>
        <w:rPr>
          <w:sz w:val="20"/>
          <w:szCs w:val="20"/>
          <w:color w:val="auto"/>
        </w:rPr>
      </w:pPr>
    </w:p>
    <w:p>
      <w:pPr>
        <w:ind w:left="520" w:hanging="420"/>
        <w:spacing w:after="0"/>
        <w:tabs>
          <w:tab w:leader="none" w:pos="5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14" w:lineRule="exact"/>
        <w:rPr>
          <w:sz w:val="20"/>
          <w:szCs w:val="20"/>
          <w:color w:val="auto"/>
        </w:rPr>
      </w:pPr>
    </w:p>
    <w:p>
      <w:pPr>
        <w:ind w:left="1900" w:right="5999" w:hanging="430"/>
        <w:spacing w:after="0" w:line="470" w:lineRule="auto"/>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4,909,362</w:t>
      </w:r>
    </w:p>
    <w:p>
      <w:pPr>
        <w:spacing w:after="0" w:line="209" w:lineRule="exact"/>
        <w:rPr>
          <w:sz w:val="20"/>
          <w:szCs w:val="20"/>
          <w:color w:val="auto"/>
        </w:rPr>
      </w:pPr>
    </w:p>
    <w:p>
      <w:pPr>
        <w:ind w:left="1900" w:hanging="430"/>
        <w:spacing w:after="0"/>
        <w:tabs>
          <w:tab w:leader="none" w:pos="19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839" w:hanging="420"/>
        <w:spacing w:after="0" w:line="470" w:lineRule="auto"/>
        <w:tabs>
          <w:tab w:leader="none" w:pos="5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4,909,362</w:t>
      </w:r>
    </w:p>
    <w:p>
      <w:pPr>
        <w:spacing w:after="0" w:line="214" w:lineRule="exact"/>
        <w:rPr>
          <w:sz w:val="20"/>
          <w:szCs w:val="20"/>
          <w:color w:val="auto"/>
        </w:rPr>
      </w:pPr>
    </w:p>
    <w:p>
      <w:pPr>
        <w:ind w:left="520" w:right="1999" w:hanging="420"/>
        <w:spacing w:after="0" w:line="235" w:lineRule="auto"/>
        <w:tabs>
          <w:tab w:leader="none" w:pos="5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IV</w:t>
      </w:r>
    </w:p>
    <w:p>
      <w:pPr>
        <w:sectPr>
          <w:pgSz w:w="11900" w:h="16838" w:orient="portrait"/>
          <w:cols w:equalWidth="0" w:num="1">
            <w:col w:w="9679"/>
          </w:cols>
          <w:pgMar w:left="780" w:top="339" w:right="1440" w:bottom="1440" w:gutter="0" w:footer="0" w:header="0"/>
        </w:sectPr>
      </w:pPr>
    </w:p>
    <w:bookmarkStart w:id="4" w:name="page5"/>
    <w:bookmarkEnd w:id="4"/>
    <w:p>
      <w:pPr>
        <w:jc w:val="center"/>
        <w:ind w:right="1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Schedule 13G</w:t>
      </w:r>
    </w:p>
    <w:p>
      <w:pPr>
        <w:jc w:val="center"/>
        <w:ind w:right="17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Credicorp Ltd.</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Banco de Credico</w:t>
      </w:r>
    </w:p>
    <w:p>
      <w:pPr>
        <w:ind w:left="740"/>
        <w:spacing w:after="0"/>
        <w:rPr>
          <w:sz w:val="20"/>
          <w:szCs w:val="20"/>
          <w:color w:val="auto"/>
        </w:rPr>
      </w:pPr>
      <w:r>
        <w:rPr>
          <w:rFonts w:ascii="Courier New" w:cs="Courier New" w:eastAsia="Courier New" w:hAnsi="Courier New"/>
          <w:sz w:val="18"/>
          <w:szCs w:val="18"/>
          <w:color w:val="auto"/>
        </w:rPr>
        <w:t>410 Park Avenue, 6th Floor</w:t>
      </w:r>
    </w:p>
    <w:p>
      <w:pPr>
        <w:ind w:left="740"/>
        <w:spacing w:after="0" w:line="237" w:lineRule="auto"/>
        <w:tabs>
          <w:tab w:leader="none" w:pos="2180" w:val="left"/>
        </w:tabs>
        <w:rPr>
          <w:sz w:val="20"/>
          <w:szCs w:val="20"/>
          <w:color w:val="auto"/>
        </w:rPr>
      </w:pPr>
      <w:r>
        <w:rPr>
          <w:rFonts w:ascii="Courier New" w:cs="Courier New" w:eastAsia="Courier New" w:hAnsi="Courier New"/>
          <w:sz w:val="18"/>
          <w:szCs w:val="18"/>
          <w:color w:val="auto"/>
        </w:rPr>
        <w:t>New York, NY</w:t>
        <w:tab/>
        <w:t>10022</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1999"/>
        <w:spacing w:after="0" w:line="235" w:lineRule="auto"/>
        <w:rPr>
          <w:sz w:val="20"/>
          <w:szCs w:val="20"/>
          <w:color w:val="auto"/>
        </w:rPr>
      </w:pPr>
      <w:r>
        <w:rPr>
          <w:rFonts w:ascii="Courier New" w:cs="Courier New" w:eastAsia="Courier New" w:hAnsi="Courier New"/>
          <w:sz w:val="18"/>
          <w:szCs w:val="18"/>
          <w:color w:val="auto"/>
        </w:rPr>
        <w:t>Capital Group International, Inc., Capital International, Inc. and Emerging Markets Growth Fund, Inc.</w:t>
      </w:r>
    </w:p>
    <w:p>
      <w:pPr>
        <w:spacing w:after="0" w:line="203"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ind w:left="740"/>
        <w:spacing w:after="0" w:line="238" w:lineRule="auto"/>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0" w:lineRule="exact"/>
        <w:rPr>
          <w:sz w:val="20"/>
          <w:szCs w:val="20"/>
          <w:color w:val="auto"/>
        </w:rPr>
      </w:pPr>
    </w:p>
    <w:p>
      <w:pPr>
        <w:spacing w:after="0"/>
        <w:tabs>
          <w:tab w:leader="none" w:pos="1240" w:val="left"/>
          <w:tab w:leader="none" w:pos="28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ind w:left="740"/>
        <w:spacing w:after="0" w:line="238" w:lineRule="auto"/>
        <w:rPr>
          <w:sz w:val="20"/>
          <w:szCs w:val="20"/>
          <w:color w:val="auto"/>
        </w:rPr>
      </w:pPr>
      <w:r>
        <w:rPr>
          <w:rFonts w:ascii="Courier New" w:cs="Courier New" w:eastAsia="Courier New" w:hAnsi="Courier New"/>
          <w:sz w:val="18"/>
          <w:szCs w:val="18"/>
          <w:color w:val="auto"/>
        </w:rPr>
        <w:t>225305903</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740"/>
        <w:spacing w:after="0" w:line="238" w:lineRule="auto"/>
        <w:rPr>
          <w:sz w:val="20"/>
          <w:szCs w:val="20"/>
          <w:color w:val="auto"/>
        </w:rPr>
      </w:pPr>
      <w:r>
        <w:rPr>
          <w:rFonts w:ascii="Courier New" w:cs="Courier New" w:eastAsia="Courier New" w:hAnsi="Courier New"/>
          <w:sz w:val="18"/>
          <w:szCs w:val="18"/>
          <w:color w:val="auto"/>
        </w:rPr>
        <w:t>240.13d-2(b) or (c), check whether the person filings is a:</w:t>
      </w:r>
    </w:p>
    <w:p>
      <w:pPr>
        <w:spacing w:after="0" w:line="5" w:lineRule="exact"/>
        <w:rPr>
          <w:sz w:val="20"/>
          <w:szCs w:val="20"/>
          <w:color w:val="auto"/>
        </w:rPr>
      </w:pPr>
    </w:p>
    <w:p>
      <w:pPr>
        <w:ind w:left="1260" w:right="2199" w:hanging="528"/>
        <w:spacing w:after="0" w:line="235" w:lineRule="auto"/>
        <w:tabs>
          <w:tab w:leader="none" w:pos="136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1460" w:hanging="728"/>
        <w:spacing w:after="0" w:line="238" w:lineRule="auto"/>
        <w:tabs>
          <w:tab w:leader="none" w:pos="14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w:t>
      </w:r>
    </w:p>
    <w:p>
      <w:pPr>
        <w:ind w:left="1260"/>
        <w:spacing w:after="0"/>
        <w:rPr>
          <w:sz w:val="20"/>
          <w:szCs w:val="20"/>
          <w:color w:val="auto"/>
        </w:rPr>
      </w:pPr>
      <w:r>
        <w:rPr>
          <w:rFonts w:ascii="Courier New" w:cs="Courier New" w:eastAsia="Courier New" w:hAnsi="Courier New"/>
          <w:sz w:val="18"/>
          <w:szCs w:val="18"/>
          <w:color w:val="auto"/>
        </w:rPr>
        <w:t>240.13d-1(b)(1)(ii)(E).</w:t>
      </w:r>
    </w:p>
    <w:p>
      <w:pPr>
        <w:spacing w:after="0" w:line="3" w:lineRule="exact"/>
        <w:rPr>
          <w:sz w:val="20"/>
          <w:szCs w:val="20"/>
          <w:color w:val="auto"/>
        </w:rPr>
      </w:pPr>
    </w:p>
    <w:p>
      <w:pPr>
        <w:ind w:left="1260" w:right="2939" w:hanging="528"/>
        <w:spacing w:after="0" w:line="235" w:lineRule="auto"/>
        <w:tabs>
          <w:tab w:leader="none" w:pos="136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pages 2 to 4</w:t>
      </w:r>
    </w:p>
    <w:p>
      <w:pPr>
        <w:spacing w:after="0" w:line="201" w:lineRule="exact"/>
        <w:rPr>
          <w:sz w:val="20"/>
          <w:szCs w:val="20"/>
          <w:color w:val="auto"/>
        </w:rPr>
      </w:pPr>
    </w:p>
    <w:p>
      <w:pPr>
        <w:ind w:left="1460" w:hanging="728"/>
        <w:spacing w:after="0"/>
        <w:tabs>
          <w:tab w:leader="none" w:pos="14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60" w:hanging="728"/>
        <w:spacing w:after="0" w:line="238" w:lineRule="auto"/>
        <w:tabs>
          <w:tab w:leader="none" w:pos="14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60" w:hanging="728"/>
        <w:spacing w:after="0" w:line="238" w:lineRule="auto"/>
        <w:tabs>
          <w:tab w:leader="none" w:pos="14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60" w:hanging="728"/>
        <w:spacing w:after="0"/>
        <w:tabs>
          <w:tab w:leader="none" w:pos="14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60" w:hanging="728"/>
        <w:spacing w:after="0" w:line="238" w:lineRule="auto"/>
        <w:tabs>
          <w:tab w:leader="none" w:pos="14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60" w:hanging="728"/>
        <w:spacing w:after="0" w:line="238" w:lineRule="auto"/>
        <w:tabs>
          <w:tab w:leader="none" w:pos="14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60" w:hanging="728"/>
        <w:spacing w:after="0" w:line="238" w:lineRule="auto"/>
        <w:tabs>
          <w:tab w:leader="none" w:pos="14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ectPr>
          <w:pgSz w:w="11900" w:h="16838" w:orient="portrait"/>
          <w:cols w:equalWidth="0" w:num="1">
            <w:col w:w="9679"/>
          </w:cols>
          <w:pgMar w:left="780" w:top="919" w:right="1440" w:bottom="1440" w:gutter="0" w:footer="0" w:header="0"/>
        </w:sectPr>
      </w:pPr>
    </w:p>
    <w:bookmarkStart w:id="5" w:name="page6"/>
    <w:bookmarkEnd w:id="5"/>
    <w:p>
      <w:pPr>
        <w:spacing w:after="0" w:line="296" w:lineRule="exact"/>
        <w:rPr>
          <w:sz w:val="20"/>
          <w:szCs w:val="20"/>
          <w:color w:val="auto"/>
        </w:rPr>
      </w:pPr>
    </w:p>
    <w:p>
      <w:pPr>
        <w:ind w:left="740" w:right="1879"/>
        <w:spacing w:after="0" w:line="270" w:lineRule="auto"/>
        <w:rPr>
          <w:sz w:val="20"/>
          <w:szCs w:val="20"/>
          <w:color w:val="auto"/>
        </w:rPr>
      </w:pPr>
      <w:r>
        <w:rPr>
          <w:rFonts w:ascii="Courier New" w:cs="Courier New" w:eastAsia="Courier New" w:hAnsi="Courier New"/>
          <w:sz w:val="16"/>
          <w:szCs w:val="16"/>
          <w:color w:val="auto"/>
        </w:rPr>
        <w:t>Capital Group International,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Capital Group International, Inc. does not have investment power or voting power over any of the securities reported herein; however, Capital Group International, Inc. may be deemed to "beneficially own" such securities by virtue of Rule 13d-3 under the Act.</w:t>
      </w:r>
    </w:p>
    <w:p>
      <w:pPr>
        <w:spacing w:after="0" w:line="388"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Capital International, Inc., an investment adviser registered under Section 203 of the Investment Advisers Act of 1940 is deemed to be the beneficial owner of 7,317,490 shares or 7.8% of the 94,382,000 shares of Common Stock believed to be outstanding as a result of acting as investment adviser to various investment companies and institutional accounts.</w:t>
      </w:r>
    </w:p>
    <w:p>
      <w:pPr>
        <w:spacing w:after="0" w:line="210" w:lineRule="exact"/>
        <w:rPr>
          <w:sz w:val="20"/>
          <w:szCs w:val="20"/>
          <w:color w:val="auto"/>
        </w:rPr>
      </w:pPr>
    </w:p>
    <w:p>
      <w:pPr>
        <w:ind w:left="740" w:right="1999"/>
        <w:spacing w:after="0" w:line="237" w:lineRule="auto"/>
        <w:rPr>
          <w:sz w:val="20"/>
          <w:szCs w:val="20"/>
          <w:color w:val="auto"/>
        </w:rPr>
      </w:pPr>
      <w:r>
        <w:rPr>
          <w:rFonts w:ascii="Courier New" w:cs="Courier New" w:eastAsia="Courier New" w:hAnsi="Courier New"/>
          <w:sz w:val="18"/>
          <w:szCs w:val="18"/>
          <w:color w:val="auto"/>
        </w:rPr>
        <w:t>Emerging Markets Growth Fund, Inc. , an investment company registered under the Investment Company Act of 1940, which is advised by Capital International, Inc., is the beneficial owner of 4,909,362 shares or 5.2% of the 94,382,000 shares of Common Stock believed to be outstanding.</w:t>
      </w:r>
    </w:p>
    <w:p>
      <w:pPr>
        <w:spacing w:after="0" w:line="209" w:lineRule="exact"/>
        <w:rPr>
          <w:sz w:val="20"/>
          <w:szCs w:val="20"/>
          <w:color w:val="auto"/>
        </w:rPr>
      </w:pPr>
    </w:p>
    <w:p>
      <w:pPr>
        <w:ind w:left="740" w:right="1879"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17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40" w:right="1999"/>
        <w:spacing w:after="0" w:line="275" w:lineRule="auto"/>
        <w:rPr>
          <w:sz w:val="20"/>
          <w:szCs w:val="20"/>
          <w:color w:val="auto"/>
        </w:rPr>
      </w:pPr>
      <w:r>
        <w:rPr>
          <w:rFonts w:ascii="Courier New" w:cs="Courier New" w:eastAsia="Courier New" w:hAnsi="Courier New"/>
          <w:sz w:val="16"/>
          <w:szCs w:val="16"/>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40" w:right="1779"/>
        <w:spacing w:after="0" w:line="237" w:lineRule="auto"/>
        <w:rPr>
          <w:sz w:val="20"/>
          <w:szCs w:val="20"/>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6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040" w:right="1779"/>
        <w:spacing w:after="0" w:line="272" w:lineRule="auto"/>
        <w:rPr>
          <w:sz w:val="20"/>
          <w:szCs w:val="20"/>
          <w:color w:val="auto"/>
        </w:rPr>
      </w:pPr>
      <w:r>
        <w:rPr>
          <w:rFonts w:ascii="Courier New" w:cs="Courier New" w:eastAsia="Courier New" w:hAnsi="Courier New"/>
          <w:sz w:val="16"/>
          <w:szCs w:val="16"/>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w:t>
      </w:r>
    </w:p>
    <w:p>
      <w:pPr>
        <w:sectPr>
          <w:pgSz w:w="11900" w:h="16838" w:orient="portrait"/>
          <w:cols w:equalWidth="0" w:num="1">
            <w:col w:w="9679"/>
          </w:cols>
          <w:pgMar w:left="780" w:top="1440" w:right="1440" w:bottom="0" w:gutter="0" w:footer="0" w:header="0"/>
        </w:sectPr>
      </w:pPr>
    </w:p>
    <w:bookmarkStart w:id="6" w:name="page7"/>
    <w:bookmarkEnd w:id="6"/>
    <w:p>
      <w:pPr>
        <w:ind w:left="1040"/>
        <w:spacing w:after="0"/>
        <w:rPr>
          <w:sz w:val="20"/>
          <w:szCs w:val="20"/>
          <w:color w:val="auto"/>
        </w:rPr>
      </w:pPr>
      <w:r>
        <w:rPr>
          <w:rFonts w:ascii="Courier New" w:cs="Courier New" w:eastAsia="Courier New" w:hAnsi="Courier New"/>
          <w:sz w:val="18"/>
          <w:szCs w:val="18"/>
          <w:color w:val="auto"/>
        </w:rPr>
        <w:t>of Capital Group International, Inc.</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1040" w:right="2419"/>
        <w:spacing w:after="0" w:line="279" w:lineRule="auto"/>
        <w:rPr>
          <w:sz w:val="20"/>
          <w:szCs w:val="20"/>
          <w:color w:val="auto"/>
        </w:rPr>
      </w:pPr>
      <w:r>
        <w:rPr>
          <w:rFonts w:ascii="Courier New" w:cs="Courier New" w:eastAsia="Courier New" w:hAnsi="Courier New"/>
          <w:sz w:val="16"/>
          <w:szCs w:val="16"/>
          <w:color w:val="auto"/>
        </w:rPr>
        <w:t>Capital International, Inc. serves as investment adviser to Emerging Markets Growth Fund, Inc., an investment company registered under the Investment Company Act of 1940.</w:t>
      </w:r>
    </w:p>
    <w:p>
      <w:pPr>
        <w:spacing w:after="0" w:line="173"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20" w:val="left"/>
          <w:tab w:leader="none" w:pos="44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9, 2001</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9, 2001</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Vice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7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9, 2001</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Vice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Emerging Markets Growth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Kenneth R. Gorvetzian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9679"/>
          </w:cols>
          <w:pgMar w:left="780" w:top="136" w:right="1440" w:bottom="0" w:gutter="0" w:footer="0" w:header="0"/>
        </w:sectPr>
      </w:pPr>
    </w:p>
    <w:bookmarkStart w:id="7" w:name="page8"/>
    <w:bookmarkEnd w:id="7"/>
    <w:p>
      <w:pPr>
        <w:ind w:left="1580" w:right="199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19, 2000 included as an Exhibit to Schedule 13G filed with the Securities and Exchange Commission by Capital Group International, Inc. on February 9, 2001 with respect to Abitibi-Consolidated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8 of 9</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Los Angeles, CA</w:t>
      </w:r>
    </w:p>
    <w:p>
      <w:pPr>
        <w:ind w:left="3040"/>
        <w:spacing w:after="0" w:line="238" w:lineRule="auto"/>
        <w:rPr>
          <w:sz w:val="20"/>
          <w:szCs w:val="20"/>
          <w:color w:val="auto"/>
        </w:rPr>
      </w:pPr>
      <w:r>
        <w:rPr>
          <w:rFonts w:ascii="Courier New" w:cs="Courier New" w:eastAsia="Courier New" w:hAnsi="Courier New"/>
          <w:sz w:val="18"/>
          <w:szCs w:val="18"/>
          <w:color w:val="auto"/>
        </w:rPr>
        <w:t>February 9, 2001</w:t>
      </w:r>
    </w:p>
    <w:p>
      <w:pPr>
        <w:spacing w:after="0" w:line="200" w:lineRule="exact"/>
        <w:rPr>
          <w:sz w:val="20"/>
          <w:szCs w:val="20"/>
          <w:color w:val="auto"/>
        </w:rPr>
      </w:pPr>
    </w:p>
    <w:p>
      <w:pPr>
        <w:spacing w:after="0" w:line="210"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Capital Group International, Inc. ("CGII"), Capital International, Inc. ("CII") and Emerging Markets Growth Fund, Inc. ("EMGF") hereby agree to file a joint statement on Schedule 13G under the Securities Exchange Act of 1934 (the "Act") in connection with their beneficial ownership of Common Stock issued by Credicorp Ltd.</w:t>
      </w:r>
    </w:p>
    <w:p>
      <w:pPr>
        <w:spacing w:after="0" w:line="209"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CGII, CII and EMGF state that they are each entitled to individually use Schedule 13G pursuant to Rule 13d-1(c) of the Act.</w:t>
      </w:r>
    </w:p>
    <w:p>
      <w:pPr>
        <w:spacing w:after="0" w:line="208"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CGII, CII and EMGF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1" w:lineRule="exact"/>
        <w:rPr>
          <w:sz w:val="20"/>
          <w:szCs w:val="20"/>
          <w:color w:val="auto"/>
        </w:rPr>
      </w:pPr>
    </w:p>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Chairman</w:t>
      </w:r>
    </w:p>
    <w:p>
      <w:pPr>
        <w:ind w:left="3680"/>
        <w:spacing w:after="0" w:line="238" w:lineRule="auto"/>
        <w:rPr>
          <w:sz w:val="20"/>
          <w:szCs w:val="20"/>
          <w:color w:val="auto"/>
        </w:rPr>
      </w:pPr>
      <w:r>
        <w:rPr>
          <w:rFonts w:ascii="Courier New" w:cs="Courier New" w:eastAsia="Courier New" w:hAnsi="Courier New"/>
          <w:sz w:val="18"/>
          <w:szCs w:val="18"/>
          <w:color w:val="auto"/>
        </w:rPr>
        <w:t>Capital Group International,</w:t>
      </w:r>
    </w:p>
    <w:p>
      <w:pPr>
        <w:ind w:left="368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CAPITAL INTERNATIONAL, INC.</w:t>
      </w:r>
    </w:p>
    <w:p>
      <w:pPr>
        <w:sectPr>
          <w:pgSz w:w="11900" w:h="16838" w:orient="portrait"/>
          <w:cols w:equalWidth="0" w:num="1">
            <w:col w:w="9679"/>
          </w:cols>
          <w:pgMar w:left="780" w:top="344" w:right="1440" w:bottom="0" w:gutter="0" w:footer="0" w:header="0"/>
        </w:sectPr>
      </w:pPr>
    </w:p>
    <w:bookmarkStart w:id="8" w:name="page9"/>
    <w:bookmarkEnd w:id="8"/>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Vice Chairman</w:t>
      </w:r>
    </w:p>
    <w:p>
      <w:pPr>
        <w:ind w:left="3680"/>
        <w:spacing w:after="0" w:line="238" w:lineRule="auto"/>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4"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EMERGING MARKETS GROWTH FUND, INC.</w:t>
      </w:r>
    </w:p>
    <w:p>
      <w:pPr>
        <w:spacing w:after="0" w:line="201" w:lineRule="exact"/>
        <w:rPr>
          <w:sz w:val="20"/>
          <w:szCs w:val="20"/>
          <w:color w:val="auto"/>
        </w:rPr>
      </w:pPr>
    </w:p>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Vice Chairman</w:t>
      </w:r>
    </w:p>
    <w:p>
      <w:pPr>
        <w:ind w:left="3680"/>
        <w:spacing w:after="0" w:line="238" w:lineRule="auto"/>
        <w:rPr>
          <w:sz w:val="20"/>
          <w:szCs w:val="20"/>
          <w:color w:val="auto"/>
        </w:rPr>
      </w:pPr>
      <w:r>
        <w:rPr>
          <w:rFonts w:ascii="Courier New" w:cs="Courier New" w:eastAsia="Courier New" w:hAnsi="Courier New"/>
          <w:sz w:val="18"/>
          <w:szCs w:val="18"/>
          <w:color w:val="auto"/>
        </w:rPr>
        <w:t>Emerging Markets Growth Fund,</w:t>
      </w:r>
    </w:p>
    <w:p>
      <w:pPr>
        <w:ind w:left="368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Kenneth R. Gorvetzian</w:t>
      </w:r>
    </w:p>
    <w:p>
      <w:pPr>
        <w:ind w:left="52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20" w:right="199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19, 2000 included as an Exhibit to Schedule 13G filed with the Securities and Exchange Commission by Capital Group International, Inc. on February 9, 2001 with respect to Abitibi-Consolidated Inc.</w:t>
      </w:r>
    </w:p>
    <w:sectPr>
      <w:pgSz w:w="11900" w:h="16838" w:orient="portrait"/>
      <w:cols w:equalWidth="0" w:num="1">
        <w:col w:w="9679"/>
      </w:cols>
      <w:pgMar w:left="7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2"/>
      <w:numFmt w:val="bullet"/>
      <w:start w:val="1"/>
    </w:lvl>
  </w:abstractNum>
  <w:abstractNum w:abstractNumId="3">
    <w:nsid w:val="431BD7B7"/>
    <w:multiLevelType w:val="hybridMultilevel"/>
    <w:lvl w:ilvl="0">
      <w:lvlJc w:val="left"/>
      <w:lvlText w:val="3"/>
      <w:numFmt w:val="bullet"/>
      <w:start w:val="1"/>
    </w:lvl>
  </w:abstractNum>
  <w:abstractNum w:abstractNumId="4">
    <w:nsid w:val="3F2DBA31"/>
    <w:multiLevelType w:val="hybridMultilevel"/>
    <w:lvl w:ilvl="0">
      <w:lvlJc w:val="left"/>
      <w:lvlText w:val="4"/>
      <w:numFmt w:val="bullet"/>
      <w:start w:val="1"/>
    </w:lvl>
  </w:abstractNum>
  <w:abstractNum w:abstractNumId="5">
    <w:nsid w:val="7C83E458"/>
    <w:multiLevelType w:val="hybridMultilevel"/>
    <w:lvl w:ilvl="0">
      <w:lvlJc w:val="left"/>
      <w:lvlText w:val="5"/>
      <w:numFmt w:val="bullet"/>
      <w:start w:val="1"/>
    </w:lvl>
  </w:abstractNum>
  <w:abstractNum w:abstractNumId="6">
    <w:nsid w:val="257130A3"/>
    <w:multiLevelType w:val="hybridMultilevel"/>
    <w:lvl w:ilvl="0">
      <w:lvlJc w:val="left"/>
      <w:lvlText w:val="6"/>
      <w:numFmt w:val="bullet"/>
      <w:start w:val="1"/>
    </w:lvl>
  </w:abstractNum>
  <w:abstractNum w:abstractNumId="7">
    <w:nsid w:val="62BBD95A"/>
    <w:multiLevelType w:val="hybridMultilevel"/>
    <w:lvl w:ilvl="0">
      <w:lvlJc w:val="left"/>
      <w:lvlText w:val="8"/>
      <w:numFmt w:val="bullet"/>
      <w:start w:val="1"/>
    </w:lvl>
  </w:abstractNum>
  <w:abstractNum w:abstractNumId="8">
    <w:nsid w:val="436C6125"/>
    <w:multiLevelType w:val="hybridMultilevel"/>
    <w:lvl w:ilvl="0">
      <w:lvlJc w:val="left"/>
      <w:lvlText w:val="9"/>
      <w:numFmt w:val="bullet"/>
      <w:start w:val="1"/>
    </w:lvl>
  </w:abstractNum>
  <w:abstractNum w:abstractNumId="9">
    <w:nsid w:val="628C895D"/>
    <w:multiLevelType w:val="hybridMultilevel"/>
    <w:lvl w:ilvl="0">
      <w:lvlJc w:val="left"/>
      <w:lvlText w:val="%1"/>
      <w:numFmt w:val="decimal"/>
      <w:start w:val="10"/>
    </w:lvl>
  </w:abstractNum>
  <w:abstractNum w:abstractNumId="10">
    <w:nsid w:val="333AB105"/>
    <w:multiLevelType w:val="hybridMultilevel"/>
    <w:lvl w:ilvl="0">
      <w:lvlJc w:val="left"/>
      <w:lvlText w:val="1"/>
      <w:numFmt w:val="bullet"/>
      <w:start w:val="1"/>
    </w:lvl>
  </w:abstractNum>
  <w:abstractNum w:abstractNumId="11">
    <w:nsid w:val="721DA317"/>
    <w:multiLevelType w:val="hybridMultilevel"/>
    <w:lvl w:ilvl="0">
      <w:lvlJc w:val="left"/>
      <w:lvlText w:val="2"/>
      <w:numFmt w:val="bullet"/>
      <w:start w:val="1"/>
    </w:lvl>
  </w:abstractNum>
  <w:abstractNum w:abstractNumId="12">
    <w:nsid w:val="2443A858"/>
    <w:multiLevelType w:val="hybridMultilevel"/>
    <w:lvl w:ilvl="0">
      <w:lvlJc w:val="left"/>
      <w:lvlText w:val="3"/>
      <w:numFmt w:val="bullet"/>
      <w:start w:val="1"/>
    </w:lvl>
  </w:abstractNum>
  <w:abstractNum w:abstractNumId="13">
    <w:nsid w:val="2D1D5AE9"/>
    <w:multiLevelType w:val="hybridMultilevel"/>
    <w:lvl w:ilvl="0">
      <w:lvlJc w:val="left"/>
      <w:lvlText w:val="4"/>
      <w:numFmt w:val="bullet"/>
      <w:start w:val="1"/>
    </w:lvl>
  </w:abstractNum>
  <w:abstractNum w:abstractNumId="14">
    <w:nsid w:val="6763845E"/>
    <w:multiLevelType w:val="hybridMultilevel"/>
    <w:lvl w:ilvl="0">
      <w:lvlJc w:val="left"/>
      <w:lvlText w:val="5"/>
      <w:numFmt w:val="bullet"/>
      <w:start w:val="1"/>
    </w:lvl>
  </w:abstractNum>
  <w:abstractNum w:abstractNumId="15">
    <w:nsid w:val="75A2A8D4"/>
    <w:multiLevelType w:val="hybridMultilevel"/>
    <w:lvl w:ilvl="0">
      <w:lvlJc w:val="left"/>
      <w:lvlText w:val="6"/>
      <w:numFmt w:val="bullet"/>
      <w:start w:val="1"/>
    </w:lvl>
  </w:abstractNum>
  <w:abstractNum w:abstractNumId="16">
    <w:nsid w:val="8EDBDAB"/>
    <w:multiLevelType w:val="hybridMultilevel"/>
    <w:lvl w:ilvl="0">
      <w:lvlJc w:val="left"/>
      <w:lvlText w:val="8"/>
      <w:numFmt w:val="bullet"/>
      <w:start w:val="1"/>
    </w:lvl>
  </w:abstractNum>
  <w:abstractNum w:abstractNumId="17">
    <w:nsid w:val="79838CB2"/>
    <w:multiLevelType w:val="hybridMultilevel"/>
    <w:lvl w:ilvl="0">
      <w:lvlJc w:val="left"/>
      <w:lvlText w:val="9"/>
      <w:numFmt w:val="bullet"/>
      <w:start w:val="1"/>
    </w:lvl>
  </w:abstractNum>
  <w:abstractNum w:abstractNumId="18">
    <w:nsid w:val="4353D0CD"/>
    <w:multiLevelType w:val="hybridMultilevel"/>
    <w:lvl w:ilvl="0">
      <w:lvlJc w:val="left"/>
      <w:lvlText w:val="%1"/>
      <w:numFmt w:val="decimal"/>
      <w:start w:val="10"/>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2"/>
      <w:numFmt w:val="bullet"/>
      <w:start w:val="1"/>
    </w:lvl>
  </w:abstractNum>
  <w:abstractNum w:abstractNumId="21">
    <w:nsid w:val="54E49EB4"/>
    <w:multiLevelType w:val="hybridMultilevel"/>
    <w:lvl w:ilvl="0">
      <w:lvlJc w:val="left"/>
      <w:lvlText w:val="3"/>
      <w:numFmt w:val="bullet"/>
      <w:start w:val="1"/>
    </w:lvl>
  </w:abstractNum>
  <w:abstractNum w:abstractNumId="22">
    <w:nsid w:val="71F32454"/>
    <w:multiLevelType w:val="hybridMultilevel"/>
    <w:lvl w:ilvl="0">
      <w:lvlJc w:val="left"/>
      <w:lvlText w:val="4"/>
      <w:numFmt w:val="bullet"/>
      <w:start w:val="1"/>
    </w:lvl>
  </w:abstractNum>
  <w:abstractNum w:abstractNumId="23">
    <w:nsid w:val="2CA88611"/>
    <w:multiLevelType w:val="hybridMultilevel"/>
    <w:lvl w:ilvl="0">
      <w:lvlJc w:val="left"/>
      <w:lvlText w:val="5"/>
      <w:numFmt w:val="bullet"/>
      <w:start w:val="1"/>
    </w:lvl>
  </w:abstractNum>
  <w:abstractNum w:abstractNumId="24">
    <w:nsid w:val="836C40E"/>
    <w:multiLevelType w:val="hybridMultilevel"/>
    <w:lvl w:ilvl="0">
      <w:lvlJc w:val="left"/>
      <w:lvlText w:val="6"/>
      <w:numFmt w:val="bullet"/>
      <w:start w:val="1"/>
    </w:lvl>
  </w:abstractNum>
  <w:abstractNum w:abstractNumId="25">
    <w:nsid w:val="2901D82"/>
    <w:multiLevelType w:val="hybridMultilevel"/>
    <w:lvl w:ilvl="0">
      <w:lvlJc w:val="left"/>
      <w:lvlText w:val="8"/>
      <w:numFmt w:val="bullet"/>
      <w:start w:val="1"/>
    </w:lvl>
  </w:abstractNum>
  <w:abstractNum w:abstractNumId="26">
    <w:nsid w:val="3A95F874"/>
    <w:multiLevelType w:val="hybridMultilevel"/>
    <w:lvl w:ilvl="0">
      <w:lvlJc w:val="left"/>
      <w:lvlText w:val="9"/>
      <w:numFmt w:val="bullet"/>
      <w:start w:val="1"/>
    </w:lvl>
  </w:abstractNum>
  <w:abstractNum w:abstractNumId="27">
    <w:nsid w:val="8138641"/>
    <w:multiLevelType w:val="hybridMultilevel"/>
    <w:lvl w:ilvl="0">
      <w:lvlJc w:val="left"/>
      <w:lvlText w:val="%1"/>
      <w:numFmt w:val="decimal"/>
      <w:start w:val="10"/>
    </w:lvl>
  </w:abstractNum>
  <w:abstractNum w:abstractNumId="28">
    <w:nsid w:val="1E7FF521"/>
    <w:multiLevelType w:val="hybridMultilevel"/>
    <w:lvl w:ilvl="0">
      <w:lvlJc w:val="left"/>
      <w:lvlText w:val="(%1)"/>
      <w:numFmt w:val="lowerLetter"/>
      <w:start w:val="4"/>
    </w:lvl>
  </w:abstractNum>
  <w:abstractNum w:abstractNumId="29">
    <w:nsid w:val="7C3DBD3D"/>
    <w:multiLevelType w:val="hybridMultilevel"/>
    <w:lvl w:ilvl="0">
      <w:lvlJc w:val="left"/>
      <w:lvlText w:val="(%1)"/>
      <w:numFmt w:val="lowerLetter"/>
      <w:start w:val="7"/>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2019-12-14T06:51:17Z</dcterms:created>
  <dcterms:modified xsi:type="dcterms:W3CDTF">2019-12-14T06:51:17Z</dcterms:modified>
</cp:coreProperties>
</file>