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January 2025</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Lima, Peru </w:t>
      </w: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240665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334645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471805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85670" cy="283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85670" cy="283210"/>
                    </a:xfrm>
                    <a:prstGeom prst="rect">
                      <a:avLst/>
                    </a:prstGeom>
                    <a:noFill/>
                  </pic:spPr>
                </pic:pic>
              </a:graphicData>
            </a:graphic>
          </wp:anchor>
        </w:drawing>
        <w:t>January 21,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Credicorp Ltd. (the “Company” or “Credicorp”) notifies you as a Material Event that, in response to an official communication from the Peruvian Superintendencia del Mercado de Valores (Securities Market Superintendency or “SMV”) notified to the Company on January 15, 2025, requiring information related to our Material Event communicated on December 30, 2024. The following response to the SMV (translated into English from the original in Spanish), was published in the Peruvian market in the form of an </w:t>
      </w:r>
      <w:r>
        <w:rPr>
          <w:rFonts w:ascii="Times New Roman" w:cs="Times New Roman" w:eastAsia="Times New Roman" w:hAnsi="Times New Roman"/>
          <w:sz w:val="18"/>
          <w:szCs w:val="18"/>
          <w:i w:val="1"/>
          <w:iCs w:val="1"/>
          <w:color w:val="auto"/>
        </w:rPr>
        <w:t>Hecho de Importancia</w:t>
      </w:r>
      <w:r>
        <w:rPr>
          <w:rFonts w:ascii="Times New Roman" w:cs="Times New Roman" w:eastAsia="Times New Roman" w:hAnsi="Times New Roman"/>
          <w:sz w:val="18"/>
          <w:szCs w:val="18"/>
          <w:color w:val="auto"/>
        </w:rPr>
        <w:t xml:space="preserve"> (Material Event):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SUPERINTENDENCY OF SECURITIES MARKET - SMV</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A/A:</w:t>
            </w:r>
          </w:p>
        </w:tc>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Market Public Registry</w:t>
            </w: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Ref.:</w:t>
            </w:r>
          </w:p>
        </w:tc>
        <w:tc>
          <w:tcPr>
            <w:tcW w:w="10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Material Event</w:t>
            </w:r>
          </w:p>
        </w:tc>
        <w:tc>
          <w:tcPr>
            <w:tcW w:w="13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218"/>
        </w:trPr>
        <w:tc>
          <w:tcPr>
            <w:tcW w:w="660" w:type="dxa"/>
            <w:vAlign w:val="bottom"/>
          </w:tcPr>
          <w:p>
            <w:pPr>
              <w:spacing w:after="0"/>
              <w:rPr>
                <w:sz w:val="18"/>
                <w:szCs w:val="18"/>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Official Letter N.º 271-2025-SMV/11.1</w:t>
            </w:r>
          </w:p>
        </w:tc>
      </w:tr>
      <w:tr>
        <w:trPr>
          <w:trHeight w:val="234"/>
        </w:trPr>
        <w:tc>
          <w:tcPr>
            <w:tcW w:w="660" w:type="dxa"/>
            <w:vAlign w:val="bottom"/>
          </w:tcPr>
          <w:p>
            <w:pPr>
              <w:spacing w:after="0"/>
              <w:rPr>
                <w:sz w:val="20"/>
                <w:szCs w:val="20"/>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N.º 2025001638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information provided in the referenced letter, notified to Credicorp Ltd. (“Credicorp”) on January 15, 2025, we hereby inform, as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Hecho de Importancia </w:t>
      </w:r>
      <w:r>
        <w:rPr>
          <w:rFonts w:ascii="Times New Roman" w:cs="Times New Roman" w:eastAsia="Times New Roman" w:hAnsi="Times New Roman"/>
          <w:sz w:val="18"/>
          <w:szCs w:val="18"/>
          <w:color w:val="auto"/>
        </w:rPr>
        <w:t>(Material Event), our responses to your request:</w:t>
      </w:r>
    </w:p>
    <w:p>
      <w:pPr>
        <w:spacing w:after="0" w:line="207" w:lineRule="exact"/>
        <w:rPr>
          <w:sz w:val="20"/>
          <w:szCs w:val="20"/>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to the market through a Material Event notice on December 30, 2024, the economic impact to the Credicorp Group from the matter mentioned in the referenced letter could be up to US$125,300,000, which is the amount authorized for the repurchase of investments in the Credicorp Capital Factoring Dólares and Credicorp Capital Factoring Soles funds. Such repurchase will be carried out by Atlantic Security Holding Corporation (ASHC).</w:t>
      </w:r>
    </w:p>
    <w:p>
      <w:pPr>
        <w:spacing w:after="0" w:line="179"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our subsidiary Credicorp Capital S.A. Sociedad Administradora de Fondos has initiated several legal actions in Chile against Sartor AGF, including: (i) a request for the immediate liquidation of Fondo de Inversión Sartor Táctico Perú and Fondo de Inversión Sartor Facturas USD, funds managed by Sartor AGF, (ii) civil legal actions seeking compensation and the adoption of the following precautionary interim measures: (a) appointment of a trustee for Fondo de Inversión Sartor Táctico Perú and Fondo de Inversión Sartor Facturas USD, both funds managed by Sartor AGF;</w:t>
      </w:r>
    </w:p>
    <w:p>
      <w:pPr>
        <w:spacing w:after="0" w:line="2"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retention of funds; and (c) prohibition of entering into acts and contracts, and (iii) criminal action against anyone deemed responsible. Although the outcome of these actions, as well as the time these processes may take, remains uncertain, we are confident in our ability to partially recover the investments through these and other initiatives.</w:t>
      </w:r>
    </w:p>
    <w:p>
      <w:pPr>
        <w:spacing w:after="0" w:line="18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anticipate any legal impact for Credicorp, considering that our company did not have any direct contractual relationship with Sartor AGF.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Representative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Date: January 21,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99148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2025-01-21T15:36:44Z</dcterms:created>
  <dcterms:modified xsi:type="dcterms:W3CDTF">2025-01-21T15:36:44Z</dcterms:modified>
</cp:coreProperties>
</file>