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191770</wp:posOffset>
            </wp:positionH>
            <wp:positionV relativeFrom="page">
              <wp:posOffset>140970</wp:posOffset>
            </wp:positionV>
            <wp:extent cx="716470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26035"/>
                    </a:xfrm>
                    <a:prstGeom prst="rect">
                      <a:avLst/>
                    </a:prstGeom>
                    <a:noFill/>
                  </pic:spPr>
                </pic:pic>
              </a:graphicData>
            </a:graphic>
          </wp:anchor>
        </w:drawing>
        <w:drawing>
          <wp:anchor simplePos="0" relativeHeight="251657728" behindDoc="1" locked="0" layoutInCell="0" allowOverlap="1">
            <wp:simplePos x="0" y="0"/>
            <wp:positionH relativeFrom="page">
              <wp:posOffset>191770</wp:posOffset>
            </wp:positionH>
            <wp:positionV relativeFrom="page">
              <wp:posOffset>232410</wp:posOffset>
            </wp:positionV>
            <wp:extent cx="71647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6350"/>
                    </a:xfrm>
                    <a:prstGeom prst="rect">
                      <a:avLst/>
                    </a:prstGeom>
                    <a:noFill/>
                  </pic:spPr>
                </pic:pic>
              </a:graphicData>
            </a:graphic>
          </wp:anchor>
        </w:drawing>
        <w:t>SECURITIES AND EXCHANGE COMMISSION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Report of Foreign Private Issuer</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Rule 13a-16 or 15d-16 under the</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Exchange Act of 1934</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month of August 2024</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Commission File Number: 001-14014</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3"/>
          <w:szCs w:val="33"/>
          <w:b w:val="1"/>
          <w:bCs w:val="1"/>
          <w:color w:val="auto"/>
        </w:rPr>
        <w:t>CREDICORP LTD.</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(Translation of registrant’s name into English)</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our subsidiary</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Banco de Credito del Peru:</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Calle Centenario 156</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La Molina</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Lima 12, Peru</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w:t>
      </w:r>
    </w:p>
    <w:p>
      <w:pPr>
        <w:spacing w:after="0" w:line="1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Indicate by check mark whether the registrant files or will file annual reports under cover of Form 20-F or Form 40-F.</w:t>
      </w:r>
    </w:p>
    <w:p>
      <w:pPr>
        <w:spacing w:after="0" w:line="149" w:lineRule="exact"/>
        <w:rPr>
          <w:sz w:val="24"/>
          <w:szCs w:val="24"/>
          <w:color w:val="auto"/>
        </w:rPr>
      </w:pPr>
    </w:p>
    <w:p>
      <w:pPr>
        <w:jc w:val="center"/>
        <w:spacing w:after="0" w:line="161" w:lineRule="exact"/>
        <w:rPr>
          <w:sz w:val="20"/>
          <w:szCs w:val="20"/>
          <w:color w:val="auto"/>
        </w:rPr>
      </w:pPr>
      <w:r>
        <w:rPr>
          <w:rFonts w:ascii="Times New Roman" w:cs="Times New Roman" w:eastAsia="Times New Roman" w:hAnsi="Times New Roman"/>
          <w:sz w:val="14"/>
          <w:szCs w:val="14"/>
          <w:color w:val="auto"/>
        </w:rPr>
        <w:t xml:space="preserve">Form 20-F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Form 40-F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-721995</wp:posOffset>
            </wp:positionH>
            <wp:positionV relativeFrom="paragraph">
              <wp:posOffset>180340</wp:posOffset>
            </wp:positionV>
            <wp:extent cx="716470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252095</wp:posOffset>
            </wp:positionV>
            <wp:extent cx="716470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26035"/>
                    </a:xfrm>
                    <a:prstGeom prst="rect">
                      <a:avLst/>
                    </a:prstGeom>
                    <a:noFill/>
                  </pic:spPr>
                </pic:pic>
              </a:graphicData>
            </a:graphic>
          </wp:anchor>
        </w:drawing>
        <w:drawing>
          <wp:anchor simplePos="0" relativeHeight="251657728" behindDoc="1" locked="0" layoutInCell="0" allowOverlap="1">
            <wp:simplePos x="0" y="0"/>
            <wp:positionH relativeFrom="column">
              <wp:posOffset>-721995</wp:posOffset>
            </wp:positionH>
            <wp:positionV relativeFrom="paragraph">
              <wp:posOffset>356870</wp:posOffset>
            </wp:positionV>
            <wp:extent cx="7164705"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9019"/>
          </w:cols>
          <w:pgMar w:left="1440" w:top="418" w:right="1440" w:bottom="1440" w:gutter="0" w:footer="0" w:header="0"/>
        </w:sectPr>
      </w:pPr>
    </w:p>
    <w:bookmarkStart w:id="1" w:name="page2"/>
    <w:bookmarkEnd w:id="1"/>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August 15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4"/>
          <w:szCs w:val="14"/>
          <w:color w:val="auto"/>
        </w:rPr>
        <w:t>, 2024</w:t>
      </w:r>
    </w:p>
    <w:p>
      <w:pPr>
        <w:spacing w:after="0" w:line="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CREDICORP LTD.</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(Registrant)</w:t>
      </w:r>
    </w:p>
    <w:p>
      <w:pPr>
        <w:spacing w:after="0" w:line="157" w:lineRule="exact"/>
        <w:rPr>
          <w:sz w:val="20"/>
          <w:szCs w:val="20"/>
          <w:color w:val="auto"/>
        </w:rPr>
      </w:pPr>
    </w:p>
    <w:p>
      <w:pPr>
        <w:ind w:left="5240"/>
        <w:spacing w:after="0"/>
        <w:tabs>
          <w:tab w:leader="none" w:pos="580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Milagros Cigüeñas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17145</wp:posOffset>
            </wp:positionV>
            <wp:extent cx="2508250"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8250" cy="13335"/>
                    </a:xfrm>
                    <a:prstGeom prst="rect">
                      <a:avLst/>
                    </a:prstGeom>
                    <a:noFill/>
                  </pic:spPr>
                </pic:pic>
              </a:graphicData>
            </a:graphic>
          </wp:anchor>
        </w:drawing>
      </w:r>
    </w:p>
    <w:p>
      <w:pPr>
        <w:spacing w:after="0" w:line="1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b w:val="1"/>
          <w:bCs w:val="1"/>
          <w:color w:val="auto"/>
        </w:rPr>
        <w:t>Milagros Cigüeñas</w:t>
      </w:r>
    </w:p>
    <w:p>
      <w:pPr>
        <w:spacing w:after="0" w:line="1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172720</wp:posOffset>
            </wp:positionV>
            <wp:extent cx="7164705"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0060"/>
          </w:cols>
          <w:pgMar w:left="700" w:top="123" w:right="11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color w:val="auto"/>
        </w:rPr>
        <w:t>August 15,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and Exchange Commission - SEC</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 CORRECTION TO CERTAIN ACCUMULATED RATIOS IN 2Q24 EARNINGS MATERIALS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Attached herewith find a Press Release dated August 13, 2024, in which Credicorp Ltd. announced corrections to four ratios published in its 2Q24 Earnings Materials.</w:t>
      </w:r>
    </w:p>
    <w:p>
      <w:pPr>
        <w:spacing w:after="0" w:line="16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Sincerely,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 </w:t>
      </w:r>
      <w:r>
        <w:rPr>
          <w:rFonts w:ascii="Times New Roman" w:cs="Times New Roman" w:eastAsia="Times New Roman" w:hAnsi="Times New Roman"/>
          <w:sz w:val="14"/>
          <w:szCs w:val="14"/>
          <w:u w:val="single" w:color="auto"/>
          <w:color w:val="auto"/>
        </w:rPr>
        <w:t>Milagros Cigüeñas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Authorized Representative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7164705"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6135370</wp:posOffset>
            </wp:positionH>
            <wp:positionV relativeFrom="page">
              <wp:posOffset>88900</wp:posOffset>
            </wp:positionV>
            <wp:extent cx="1221105" cy="150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221105" cy="150495"/>
                    </a:xfrm>
                    <a:prstGeom prst="rect">
                      <a:avLst/>
                    </a:prstGeom>
                    <a:noFill/>
                  </pic:spPr>
                </pic:pic>
              </a:graphicData>
            </a:graphic>
          </wp:anchor>
        </w:drawing>
        <w:t>Credicorp Corrects Certain Accumulated Ratios in 2Q24 Earnings Materials and Reaffirms 1H24 Financials and 2024 Guidance</w:t>
      </w:r>
    </w:p>
    <w:p>
      <w:pPr>
        <w:spacing w:after="0" w:line="25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Lima, PERU, August 13, 2024 </w:t>
      </w:r>
      <w:r>
        <w:rPr>
          <w:rFonts w:ascii="Times New Roman" w:cs="Times New Roman" w:eastAsia="Times New Roman" w:hAnsi="Times New Roman"/>
          <w:sz w:val="14"/>
          <w:szCs w:val="14"/>
          <w:color w:val="auto"/>
        </w:rPr>
        <w:t>– Credicorp Ltd. (“Credicorp” or “the Company”) (NYSE: BAP | BVL: BAP) announces to its shareholders and the market, corrections to four ratios published in its 2Q24</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Earnings Materials. These amendments are attributable to miscalculations on certain accumulated performance indicators.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Below is a table including the reported and corrected indicators, presented on the Company´s 2Q24 Earnings Release.</w:t>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2840" w:type="dxa"/>
            <w:vAlign w:val="bottom"/>
            <w:tcBorders>
              <w:top w:val="single" w:sz="8" w:color="auto"/>
              <w:left w:val="single" w:sz="8" w:color="auto"/>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Indicator</w:t>
            </w:r>
          </w:p>
        </w:tc>
        <w:tc>
          <w:tcPr>
            <w:tcW w:w="2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Originally Reported</w:t>
            </w:r>
          </w:p>
        </w:tc>
        <w:tc>
          <w:tcPr>
            <w:tcW w:w="28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Corrected Figure</w:t>
            </w:r>
          </w:p>
        </w:tc>
        <w:tc>
          <w:tcPr>
            <w:tcW w:w="28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Location in Earnings Release</w:t>
            </w:r>
          </w:p>
        </w:tc>
        <w:tc>
          <w:tcPr>
            <w:tcW w:w="0" w:type="dxa"/>
            <w:vAlign w:val="bottom"/>
          </w:tcPr>
          <w:p>
            <w:pPr>
              <w:spacing w:after="0"/>
              <w:rPr>
                <w:sz w:val="1"/>
                <w:szCs w:val="1"/>
                <w:color w:val="auto"/>
              </w:rPr>
            </w:pPr>
          </w:p>
        </w:tc>
      </w:tr>
      <w:tr>
        <w:trPr>
          <w:trHeight w:val="98"/>
        </w:trPr>
        <w:tc>
          <w:tcPr>
            <w:tcW w:w="2840" w:type="dxa"/>
            <w:vAlign w:val="bottom"/>
            <w:tcBorders>
              <w:left w:val="single" w:sz="8" w:color="auto"/>
              <w:right w:val="single" w:sz="8" w:color="auto"/>
            </w:tcBorders>
            <w:gridSpan w:val="2"/>
            <w:vMerge w:val="continue"/>
          </w:tcPr>
          <w:p>
            <w:pPr>
              <w:spacing w:after="0"/>
              <w:rPr>
                <w:sz w:val="8"/>
                <w:szCs w:val="8"/>
                <w:color w:val="auto"/>
              </w:rPr>
            </w:pPr>
          </w:p>
        </w:tc>
        <w:tc>
          <w:tcPr>
            <w:tcW w:w="2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Figure</w:t>
            </w:r>
          </w:p>
        </w:tc>
        <w:tc>
          <w:tcPr>
            <w:tcW w:w="2820" w:type="dxa"/>
            <w:vAlign w:val="bottom"/>
            <w:tcBorders>
              <w:right w:val="single" w:sz="8" w:color="auto"/>
            </w:tcBorders>
            <w:vMerge w:val="continue"/>
          </w:tcPr>
          <w:p>
            <w:pPr>
              <w:spacing w:after="0"/>
              <w:rPr>
                <w:sz w:val="8"/>
                <w:szCs w:val="8"/>
                <w:color w:val="auto"/>
              </w:rPr>
            </w:pPr>
          </w:p>
        </w:tc>
        <w:tc>
          <w:tcPr>
            <w:tcW w:w="2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340" w:type="dxa"/>
            <w:vAlign w:val="bottom"/>
            <w:tcBorders>
              <w:left w:val="single" w:sz="8" w:color="auto"/>
              <w:bottom w:val="single" w:sz="8" w:color="auto"/>
            </w:tcBorders>
          </w:tcPr>
          <w:p>
            <w:pPr>
              <w:spacing w:after="0"/>
              <w:rPr>
                <w:sz w:val="7"/>
                <w:szCs w:val="7"/>
                <w:color w:val="auto"/>
              </w:rPr>
            </w:pPr>
          </w:p>
        </w:tc>
        <w:tc>
          <w:tcPr>
            <w:tcW w:w="2500" w:type="dxa"/>
            <w:vAlign w:val="bottom"/>
            <w:tcBorders>
              <w:bottom w:val="single" w:sz="8" w:color="auto"/>
              <w:right w:val="single" w:sz="8" w:color="auto"/>
            </w:tcBorders>
          </w:tcPr>
          <w:p>
            <w:pPr>
              <w:spacing w:after="0"/>
              <w:rPr>
                <w:sz w:val="7"/>
                <w:szCs w:val="7"/>
                <w:color w:val="auto"/>
              </w:rPr>
            </w:pPr>
          </w:p>
        </w:tc>
        <w:tc>
          <w:tcPr>
            <w:tcW w:w="2820" w:type="dxa"/>
            <w:vAlign w:val="bottom"/>
            <w:tcBorders>
              <w:bottom w:val="single" w:sz="8" w:color="auto"/>
              <w:right w:val="single" w:sz="8" w:color="auto"/>
            </w:tcBorders>
            <w:vMerge w:val="continue"/>
          </w:tcPr>
          <w:p>
            <w:pPr>
              <w:spacing w:after="0"/>
              <w:rPr>
                <w:sz w:val="7"/>
                <w:szCs w:val="7"/>
                <w:color w:val="auto"/>
              </w:rPr>
            </w:pPr>
          </w:p>
        </w:tc>
        <w:tc>
          <w:tcPr>
            <w:tcW w:w="2820" w:type="dxa"/>
            <w:vAlign w:val="bottom"/>
            <w:tcBorders>
              <w:bottom w:val="single" w:sz="8" w:color="auto"/>
              <w:right w:val="single" w:sz="8" w:color="auto"/>
            </w:tcBorders>
          </w:tcPr>
          <w:p>
            <w:pPr>
              <w:spacing w:after="0"/>
              <w:rPr>
                <w:sz w:val="7"/>
                <w:szCs w:val="7"/>
                <w:color w:val="auto"/>
              </w:rPr>
            </w:pPr>
          </w:p>
        </w:tc>
        <w:tc>
          <w:tcPr>
            <w:tcW w:w="28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340" w:type="dxa"/>
            <w:vAlign w:val="bottom"/>
            <w:tcBorders>
              <w:left w:val="single" w:sz="8" w:color="auto"/>
            </w:tcBorders>
          </w:tcPr>
          <w:p>
            <w:pPr>
              <w:spacing w:after="0"/>
              <w:rPr>
                <w:sz w:val="14"/>
                <w:szCs w:val="14"/>
                <w:color w:val="auto"/>
              </w:rPr>
            </w:pPr>
          </w:p>
        </w:tc>
        <w:tc>
          <w:tcPr>
            <w:tcW w:w="2500" w:type="dxa"/>
            <w:vAlign w:val="bottom"/>
            <w:tcBorders>
              <w:right w:val="single" w:sz="8" w:color="auto"/>
            </w:tcBorders>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2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840" w:type="dxa"/>
            <w:vAlign w:val="bottom"/>
            <w:tcBorders>
              <w:left w:val="single" w:sz="8" w:color="auto"/>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1H24 ROE</w:t>
            </w:r>
          </w:p>
        </w:tc>
        <w:tc>
          <w:tcPr>
            <w:tcW w:w="28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17.2%</w:t>
            </w:r>
          </w:p>
        </w:tc>
        <w:tc>
          <w:tcPr>
            <w:tcW w:w="28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17.6%</w:t>
            </w:r>
          </w:p>
        </w:tc>
        <w:tc>
          <w:tcPr>
            <w:tcW w:w="28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Pages 3 and 11</w:t>
            </w:r>
          </w:p>
        </w:tc>
        <w:tc>
          <w:tcPr>
            <w:tcW w:w="0" w:type="dxa"/>
            <w:vAlign w:val="bottom"/>
          </w:tcPr>
          <w:p>
            <w:pPr>
              <w:spacing w:after="0"/>
              <w:rPr>
                <w:sz w:val="1"/>
                <w:szCs w:val="1"/>
                <w:color w:val="auto"/>
              </w:rPr>
            </w:pPr>
          </w:p>
        </w:tc>
      </w:tr>
      <w:tr>
        <w:trPr>
          <w:trHeight w:val="165"/>
        </w:trPr>
        <w:tc>
          <w:tcPr>
            <w:tcW w:w="340" w:type="dxa"/>
            <w:vAlign w:val="bottom"/>
            <w:tcBorders>
              <w:left w:val="single" w:sz="8" w:color="auto"/>
            </w:tcBorders>
          </w:tcPr>
          <w:p>
            <w:pPr>
              <w:spacing w:after="0"/>
              <w:rPr>
                <w:sz w:val="14"/>
                <w:szCs w:val="14"/>
                <w:color w:val="auto"/>
              </w:rPr>
            </w:pPr>
          </w:p>
        </w:tc>
        <w:tc>
          <w:tcPr>
            <w:tcW w:w="2500" w:type="dxa"/>
            <w:vAlign w:val="bottom"/>
            <w:tcBorders>
              <w:right w:val="single" w:sz="8" w:color="auto"/>
            </w:tcBorders>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2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0" w:type="dxa"/>
            <w:vAlign w:val="bottom"/>
            <w:tcBorders>
              <w:lef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6"/>
              </w:rPr>
              <w:t>1H24</w:t>
            </w:r>
          </w:p>
        </w:tc>
        <w:tc>
          <w:tcPr>
            <w:tcW w:w="25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Funding cost</w:t>
            </w:r>
          </w:p>
        </w:tc>
        <w:tc>
          <w:tcPr>
            <w:tcW w:w="28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3.16%</w:t>
            </w:r>
          </w:p>
        </w:tc>
        <w:tc>
          <w:tcPr>
            <w:tcW w:w="28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2.90%</w:t>
            </w:r>
          </w:p>
        </w:tc>
        <w:tc>
          <w:tcPr>
            <w:tcW w:w="28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Page 11</w:t>
            </w:r>
          </w:p>
        </w:tc>
        <w:tc>
          <w:tcPr>
            <w:tcW w:w="0" w:type="dxa"/>
            <w:vAlign w:val="bottom"/>
          </w:tcPr>
          <w:p>
            <w:pPr>
              <w:spacing w:after="0"/>
              <w:rPr>
                <w:sz w:val="1"/>
                <w:szCs w:val="1"/>
                <w:color w:val="auto"/>
              </w:rPr>
            </w:pPr>
          </w:p>
        </w:tc>
      </w:tr>
      <w:tr>
        <w:trPr>
          <w:trHeight w:val="165"/>
        </w:trPr>
        <w:tc>
          <w:tcPr>
            <w:tcW w:w="340" w:type="dxa"/>
            <w:vAlign w:val="bottom"/>
            <w:tcBorders>
              <w:left w:val="single" w:sz="8" w:color="auto"/>
            </w:tcBorders>
          </w:tcPr>
          <w:p>
            <w:pPr>
              <w:spacing w:after="0"/>
              <w:rPr>
                <w:sz w:val="14"/>
                <w:szCs w:val="14"/>
                <w:color w:val="auto"/>
              </w:rPr>
            </w:pPr>
          </w:p>
        </w:tc>
        <w:tc>
          <w:tcPr>
            <w:tcW w:w="2500" w:type="dxa"/>
            <w:vAlign w:val="bottom"/>
            <w:tcBorders>
              <w:right w:val="single" w:sz="8" w:color="auto"/>
            </w:tcBorders>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2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40" w:type="dxa"/>
            <w:vAlign w:val="bottom"/>
            <w:tcBorders>
              <w:left w:val="single" w:sz="8" w:color="auto"/>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4"/>
                <w:szCs w:val="14"/>
                <w:color w:val="auto"/>
                <w:w w:val="96"/>
              </w:rPr>
              <w:t>1H24</w:t>
            </w:r>
          </w:p>
        </w:tc>
        <w:tc>
          <w:tcPr>
            <w:tcW w:w="2500" w:type="dxa"/>
            <w:vAlign w:val="bottom"/>
            <w:tcBorders>
              <w:right w:val="single" w:sz="8" w:color="auto"/>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4"/>
                <w:szCs w:val="14"/>
                <w:color w:val="auto"/>
              </w:rPr>
              <w:t>Operating expenses /</w:t>
            </w:r>
          </w:p>
        </w:tc>
        <w:tc>
          <w:tcPr>
            <w:tcW w:w="2820" w:type="dxa"/>
            <w:vAlign w:val="bottom"/>
            <w:tcBorders>
              <w:right w:val="single" w:sz="8" w:color="auto"/>
            </w:tcBorders>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w w:val="95"/>
              </w:rPr>
              <w:t>7.4%</w:t>
            </w:r>
          </w:p>
        </w:tc>
        <w:tc>
          <w:tcPr>
            <w:tcW w:w="2820" w:type="dxa"/>
            <w:vAlign w:val="bottom"/>
            <w:tcBorders>
              <w:right w:val="single" w:sz="8" w:color="auto"/>
            </w:tcBorders>
            <w:shd w:val="clear" w:color="auto" w:fill="CCEEFF"/>
          </w:tcPr>
          <w:p>
            <w:pPr>
              <w:jc w:val="right"/>
              <w:ind w:right="1191"/>
              <w:spacing w:after="0" w:line="152" w:lineRule="exact"/>
              <w:rPr>
                <w:sz w:val="20"/>
                <w:szCs w:val="20"/>
                <w:color w:val="auto"/>
              </w:rPr>
            </w:pPr>
            <w:r>
              <w:rPr>
                <w:rFonts w:ascii="Times New Roman" w:cs="Times New Roman" w:eastAsia="Times New Roman" w:hAnsi="Times New Roman"/>
                <w:sz w:val="14"/>
                <w:szCs w:val="14"/>
                <w:color w:val="auto"/>
              </w:rPr>
              <w:t>3.7%</w:t>
            </w:r>
          </w:p>
        </w:tc>
        <w:tc>
          <w:tcPr>
            <w:tcW w:w="2800" w:type="dxa"/>
            <w:vAlign w:val="bottom"/>
            <w:tcBorders>
              <w:right w:val="single" w:sz="8" w:color="auto"/>
            </w:tcBorders>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w w:val="98"/>
              </w:rPr>
              <w:t>Page 11</w:t>
            </w:r>
          </w:p>
        </w:tc>
        <w:tc>
          <w:tcPr>
            <w:tcW w:w="0" w:type="dxa"/>
            <w:vAlign w:val="bottom"/>
          </w:tcPr>
          <w:p>
            <w:pPr>
              <w:spacing w:after="0"/>
              <w:rPr>
                <w:sz w:val="1"/>
                <w:szCs w:val="1"/>
                <w:color w:val="auto"/>
              </w:rPr>
            </w:pPr>
          </w:p>
        </w:tc>
      </w:tr>
      <w:tr>
        <w:trPr>
          <w:trHeight w:val="177"/>
        </w:trPr>
        <w:tc>
          <w:tcPr>
            <w:tcW w:w="2840" w:type="dxa"/>
            <w:vAlign w:val="bottom"/>
            <w:tcBorders>
              <w:left w:val="single" w:sz="8" w:color="auto"/>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average assets</w:t>
            </w:r>
          </w:p>
        </w:tc>
        <w:tc>
          <w:tcPr>
            <w:tcW w:w="2820" w:type="dxa"/>
            <w:vAlign w:val="bottom"/>
            <w:tcBorders>
              <w:right w:val="single" w:sz="8" w:color="auto"/>
            </w:tcBorders>
            <w:shd w:val="clear" w:color="auto" w:fill="CCEEFF"/>
          </w:tcPr>
          <w:p>
            <w:pPr>
              <w:spacing w:after="0"/>
              <w:rPr>
                <w:sz w:val="15"/>
                <w:szCs w:val="15"/>
                <w:color w:val="auto"/>
              </w:rPr>
            </w:pPr>
          </w:p>
        </w:tc>
        <w:tc>
          <w:tcPr>
            <w:tcW w:w="2820" w:type="dxa"/>
            <w:vAlign w:val="bottom"/>
            <w:tcBorders>
              <w:right w:val="single" w:sz="8" w:color="auto"/>
            </w:tcBorders>
            <w:shd w:val="clear" w:color="auto" w:fill="CCEEFF"/>
          </w:tcPr>
          <w:p>
            <w:pPr>
              <w:spacing w:after="0"/>
              <w:rPr>
                <w:sz w:val="15"/>
                <w:szCs w:val="15"/>
                <w:color w:val="auto"/>
              </w:rPr>
            </w:pPr>
          </w:p>
        </w:tc>
        <w:tc>
          <w:tcPr>
            <w:tcW w:w="280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40" w:type="dxa"/>
            <w:vAlign w:val="bottom"/>
            <w:tcBorders>
              <w:left w:val="single" w:sz="8" w:color="auto"/>
            </w:tcBorders>
          </w:tcPr>
          <w:p>
            <w:pPr>
              <w:spacing w:after="0"/>
              <w:rPr>
                <w:sz w:val="14"/>
                <w:szCs w:val="14"/>
                <w:color w:val="auto"/>
              </w:rPr>
            </w:pPr>
          </w:p>
        </w:tc>
        <w:tc>
          <w:tcPr>
            <w:tcW w:w="2500" w:type="dxa"/>
            <w:vAlign w:val="bottom"/>
            <w:tcBorders>
              <w:right w:val="single" w:sz="8" w:color="auto"/>
            </w:tcBorders>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2820" w:type="dxa"/>
            <w:vAlign w:val="bottom"/>
            <w:tcBorders>
              <w:right w:val="single" w:sz="8" w:color="auto"/>
            </w:tcBorders>
          </w:tcPr>
          <w:p>
            <w:pPr>
              <w:spacing w:after="0"/>
              <w:rPr>
                <w:sz w:val="14"/>
                <w:szCs w:val="14"/>
                <w:color w:val="auto"/>
              </w:rPr>
            </w:pPr>
          </w:p>
        </w:tc>
        <w:tc>
          <w:tcPr>
            <w:tcW w:w="28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40" w:type="dxa"/>
            <w:vAlign w:val="bottom"/>
            <w:tcBorders>
              <w:left w:val="single" w:sz="8" w:color="auto"/>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4"/>
                <w:szCs w:val="14"/>
                <w:color w:val="auto"/>
                <w:w w:val="96"/>
              </w:rPr>
              <w:t>1H23</w:t>
            </w:r>
          </w:p>
        </w:tc>
        <w:tc>
          <w:tcPr>
            <w:tcW w:w="2500" w:type="dxa"/>
            <w:vAlign w:val="bottom"/>
            <w:tcBorders>
              <w:right w:val="single" w:sz="8" w:color="auto"/>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4"/>
                <w:szCs w:val="14"/>
                <w:color w:val="auto"/>
              </w:rPr>
              <w:t>Operating Expenses /</w:t>
            </w:r>
          </w:p>
        </w:tc>
        <w:tc>
          <w:tcPr>
            <w:tcW w:w="2820" w:type="dxa"/>
            <w:vAlign w:val="bottom"/>
            <w:tcBorders>
              <w:right w:val="single" w:sz="8" w:color="auto"/>
            </w:tcBorders>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w w:val="95"/>
              </w:rPr>
              <w:t>7.1%</w:t>
            </w:r>
          </w:p>
        </w:tc>
        <w:tc>
          <w:tcPr>
            <w:tcW w:w="2820" w:type="dxa"/>
            <w:vAlign w:val="bottom"/>
            <w:tcBorders>
              <w:right w:val="single" w:sz="8" w:color="auto"/>
            </w:tcBorders>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w w:val="95"/>
              </w:rPr>
              <w:t>3.5%</w:t>
            </w:r>
          </w:p>
        </w:tc>
        <w:tc>
          <w:tcPr>
            <w:tcW w:w="2800" w:type="dxa"/>
            <w:vAlign w:val="bottom"/>
            <w:tcBorders>
              <w:right w:val="single" w:sz="8" w:color="auto"/>
            </w:tcBorders>
            <w:shd w:val="clear" w:color="auto" w:fill="CCEEFF"/>
          </w:tcPr>
          <w:p>
            <w:pPr>
              <w:jc w:val="center"/>
              <w:spacing w:after="0" w:line="152" w:lineRule="exact"/>
              <w:rPr>
                <w:sz w:val="20"/>
                <w:szCs w:val="20"/>
                <w:color w:val="auto"/>
              </w:rPr>
            </w:pPr>
            <w:r>
              <w:rPr>
                <w:rFonts w:ascii="Times New Roman" w:cs="Times New Roman" w:eastAsia="Times New Roman" w:hAnsi="Times New Roman"/>
                <w:sz w:val="14"/>
                <w:szCs w:val="14"/>
                <w:color w:val="auto"/>
                <w:w w:val="93"/>
              </w:rPr>
              <w:t>Page 11</w:t>
            </w:r>
          </w:p>
        </w:tc>
        <w:tc>
          <w:tcPr>
            <w:tcW w:w="0" w:type="dxa"/>
            <w:vAlign w:val="bottom"/>
          </w:tcPr>
          <w:p>
            <w:pPr>
              <w:spacing w:after="0"/>
              <w:rPr>
                <w:sz w:val="1"/>
                <w:szCs w:val="1"/>
                <w:color w:val="auto"/>
              </w:rPr>
            </w:pPr>
          </w:p>
        </w:tc>
      </w:tr>
      <w:tr>
        <w:trPr>
          <w:trHeight w:val="178"/>
        </w:trPr>
        <w:tc>
          <w:tcPr>
            <w:tcW w:w="2840" w:type="dxa"/>
            <w:vAlign w:val="bottom"/>
            <w:tcBorders>
              <w:left w:val="single" w:sz="8" w:color="auto"/>
              <w:bottom w:val="single" w:sz="8" w:color="auto"/>
              <w:right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average assets</w:t>
            </w:r>
          </w:p>
        </w:tc>
        <w:tc>
          <w:tcPr>
            <w:tcW w:w="2820" w:type="dxa"/>
            <w:vAlign w:val="bottom"/>
            <w:tcBorders>
              <w:bottom w:val="single" w:sz="8" w:color="auto"/>
              <w:right w:val="single" w:sz="8" w:color="auto"/>
            </w:tcBorders>
            <w:shd w:val="clear" w:color="auto" w:fill="CCEEFF"/>
          </w:tcPr>
          <w:p>
            <w:pPr>
              <w:spacing w:after="0"/>
              <w:rPr>
                <w:sz w:val="15"/>
                <w:szCs w:val="15"/>
                <w:color w:val="auto"/>
              </w:rPr>
            </w:pPr>
          </w:p>
        </w:tc>
        <w:tc>
          <w:tcPr>
            <w:tcW w:w="2820" w:type="dxa"/>
            <w:vAlign w:val="bottom"/>
            <w:tcBorders>
              <w:bottom w:val="single" w:sz="8" w:color="auto"/>
              <w:right w:val="single" w:sz="8" w:color="auto"/>
            </w:tcBorders>
            <w:shd w:val="clear" w:color="auto" w:fill="CCEEFF"/>
          </w:tcPr>
          <w:p>
            <w:pPr>
              <w:spacing w:after="0"/>
              <w:rPr>
                <w:sz w:val="15"/>
                <w:szCs w:val="15"/>
                <w:color w:val="auto"/>
              </w:rPr>
            </w:pPr>
          </w:p>
        </w:tc>
        <w:tc>
          <w:tcPr>
            <w:tcW w:w="280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above-mentioned corrections do not affect the Company’s reported IFRS financial results nor the Company’s full year 2024 guidance, as announced on August 8, 2024.</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Company will replace its quarterly materials (Earnings Release, Conference Call Presentation and Historical Consolidated Charts) to reflect the conforming corrections for the following metrics: ROE for 1H24, Funding cost for 1H24, and Operating expenses to Total average assets for 1H23 and 1H24.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Credicorp</w:t>
      </w: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4"/>
          <w:szCs w:val="14"/>
          <w:color w:val="auto"/>
        </w:rPr>
        <w:t>Credicorp Ltd. (NYSE: BAP) is the leading financial services holding company in Peru with presence in Chile, Colombia, Bolivia, and Panama. Credicorp has a diversified business portfolio organized into four lines of business: Universal Banking, through Banco de Credito del Peru – BCP and Banco de Credito de Bolivia; Microfinance, through Mibanco in Peru and Colombia; Insurance &amp; Pension Funds, through Grupo Pacifico and Prima AFP; and Investment Management &amp; Advisory, through Credicorp Capital, Wealth Management at BCP and ASB Bank Corp.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further information please contact the IR team: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Investorrelations@credicorpperu.com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Investor Relations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234950</wp:posOffset>
            </wp:positionV>
            <wp:extent cx="7164705"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705" cy="13335"/>
                    </a:xfrm>
                    <a:prstGeom prst="rect">
                      <a:avLst/>
                    </a:prstGeom>
                    <a:noFill/>
                  </pic:spPr>
                </pic:pic>
              </a:graphicData>
            </a:graphic>
          </wp:anchor>
        </w:drawing>
      </w:r>
    </w:p>
    <w:p>
      <w:pPr>
        <w:sectPr>
          <w:pgSz w:w="11900" w:h="16838" w:orient="portrait"/>
          <w:cols w:equalWidth="0" w:num="1">
            <w:col w:w="11280"/>
          </w:cols>
          <w:pgMar w:left="300" w:top="524" w:right="319" w:bottom="1440" w:gutter="0" w:footer="0" w:header="0"/>
        </w:sectPr>
      </w:pPr>
    </w:p>
    <w:bookmarkStart w:id="4" w:name="page5"/>
    <w:bookmarkEnd w:id="4"/>
    <w:p>
      <w:pPr>
        <w:ind w:left="93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705" cy="260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208280</wp:posOffset>
            </wp:positionV>
            <wp:extent cx="7164705" cy="5381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705" cy="5381625"/>
                    </a:xfrm>
                    <a:prstGeom prst="rect">
                      <a:avLst/>
                    </a:prstGeom>
                    <a:noFill/>
                  </pic:spPr>
                </pic:pic>
              </a:graphicData>
            </a:graphic>
          </wp:anchor>
        </w:drawing>
      </w:r>
    </w:p>
    <w:p>
      <w:pPr>
        <w:sectPr>
          <w:pgSz w:w="11900" w:h="16838" w:orient="portrait"/>
          <w:cols w:equalWidth="0" w:num="1">
            <w:col w:w="10100"/>
          </w:cols>
          <w:pgMar w:left="1440" w:top="238" w:right="359" w:bottom="1440" w:gutter="0" w:footer="0" w:header="0"/>
        </w:sectPr>
      </w:pPr>
    </w:p>
    <w:bookmarkStart w:id="5" w:name="page6"/>
    <w:bookmarkEnd w:id="5"/>
    <w:p>
      <w:pPr>
        <w:ind w:left="2720"/>
        <w:spacing w:after="0"/>
        <w:tabs>
          <w:tab w:leader="none" w:pos="2920" w:val="left"/>
          <w:tab w:leader="none" w:pos="7920"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365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705" cy="365760"/>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376" w:lineRule="exact"/>
        <w:rPr>
          <w:sz w:val="20"/>
          <w:szCs w:val="20"/>
          <w:color w:val="auto"/>
        </w:rPr>
      </w:pPr>
    </w:p>
    <w:p>
      <w:pPr>
        <w:ind w:left="500"/>
        <w:spacing w:after="0"/>
        <w:rPr>
          <w:sz w:val="20"/>
          <w:szCs w:val="20"/>
          <w:color w:val="auto"/>
        </w:rPr>
      </w:pPr>
      <w:r>
        <w:rPr>
          <w:rFonts w:ascii="Arial" w:cs="Arial" w:eastAsia="Arial" w:hAnsi="Arial"/>
          <w:sz w:val="37"/>
          <w:szCs w:val="37"/>
          <w:b w:val="1"/>
          <w:bCs w:val="1"/>
          <w:color w:val="2AD2C8"/>
        </w:rPr>
        <w:t>Table of Contents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720" w:type="dxa"/>
            <w:vAlign w:val="bottom"/>
            <w:gridSpan w:val="2"/>
          </w:tcPr>
          <w:p>
            <w:pPr>
              <w:ind w:left="1220"/>
              <w:spacing w:after="0"/>
              <w:rPr>
                <w:sz w:val="20"/>
                <w:szCs w:val="20"/>
                <w:color w:val="auto"/>
              </w:rPr>
            </w:pPr>
            <w:r>
              <w:rPr>
                <w:rFonts w:ascii="Arial" w:cs="Arial" w:eastAsia="Arial" w:hAnsi="Arial"/>
                <w:sz w:val="16"/>
                <w:szCs w:val="16"/>
                <w:b w:val="1"/>
                <w:bCs w:val="1"/>
                <w:color w:val="A6A6A6"/>
              </w:rPr>
              <w:t>Operating and Financial Highlights</w:t>
            </w:r>
          </w:p>
        </w:tc>
        <w:tc>
          <w:tcPr>
            <w:tcW w:w="3560" w:type="dxa"/>
            <w:vAlign w:val="bottom"/>
          </w:tcPr>
          <w:p>
            <w:pPr>
              <w:jc w:val="right"/>
              <w:ind w:right="558"/>
              <w:spacing w:after="0"/>
              <w:rPr>
                <w:sz w:val="20"/>
                <w:szCs w:val="20"/>
                <w:color w:val="auto"/>
              </w:rPr>
            </w:pPr>
            <w:r>
              <w:rPr>
                <w:rFonts w:ascii="Arial" w:cs="Arial" w:eastAsia="Arial" w:hAnsi="Arial"/>
                <w:sz w:val="16"/>
                <w:szCs w:val="16"/>
                <w:color w:val="auto"/>
              </w:rPr>
              <w:t>03</w:t>
            </w:r>
          </w:p>
        </w:tc>
      </w:tr>
      <w:tr>
        <w:trPr>
          <w:trHeight w:val="370"/>
        </w:trPr>
        <w:tc>
          <w:tcPr>
            <w:tcW w:w="7720" w:type="dxa"/>
            <w:vAlign w:val="bottom"/>
            <w:gridSpan w:val="2"/>
          </w:tcPr>
          <w:p>
            <w:pPr>
              <w:ind w:left="1220"/>
              <w:spacing w:after="0"/>
              <w:rPr>
                <w:sz w:val="20"/>
                <w:szCs w:val="20"/>
                <w:color w:val="auto"/>
              </w:rPr>
            </w:pPr>
            <w:r>
              <w:rPr>
                <w:rFonts w:ascii="Arial" w:cs="Arial" w:eastAsia="Arial" w:hAnsi="Arial"/>
                <w:sz w:val="16"/>
                <w:szCs w:val="16"/>
                <w:b w:val="1"/>
                <w:bCs w:val="1"/>
                <w:color w:val="A6A6A6"/>
              </w:rPr>
              <w:t>Senior Management Quotes</w:t>
            </w:r>
          </w:p>
        </w:tc>
        <w:tc>
          <w:tcPr>
            <w:tcW w:w="3560" w:type="dxa"/>
            <w:vAlign w:val="bottom"/>
          </w:tcPr>
          <w:p>
            <w:pPr>
              <w:jc w:val="right"/>
              <w:ind w:right="558"/>
              <w:spacing w:after="0"/>
              <w:rPr>
                <w:sz w:val="20"/>
                <w:szCs w:val="20"/>
                <w:color w:val="auto"/>
              </w:rPr>
            </w:pPr>
            <w:r>
              <w:rPr>
                <w:rFonts w:ascii="Arial" w:cs="Arial" w:eastAsia="Arial" w:hAnsi="Arial"/>
                <w:sz w:val="16"/>
                <w:szCs w:val="16"/>
                <w:color w:val="auto"/>
              </w:rPr>
              <w:t>04</w:t>
            </w:r>
          </w:p>
        </w:tc>
      </w:tr>
      <w:tr>
        <w:trPr>
          <w:trHeight w:val="370"/>
        </w:trPr>
        <w:tc>
          <w:tcPr>
            <w:tcW w:w="7720" w:type="dxa"/>
            <w:vAlign w:val="bottom"/>
            <w:gridSpan w:val="2"/>
          </w:tcPr>
          <w:p>
            <w:pPr>
              <w:ind w:left="1220"/>
              <w:spacing w:after="0"/>
              <w:rPr>
                <w:sz w:val="20"/>
                <w:szCs w:val="20"/>
                <w:color w:val="auto"/>
              </w:rPr>
            </w:pPr>
            <w:r>
              <w:rPr>
                <w:rFonts w:ascii="Arial" w:cs="Arial" w:eastAsia="Arial" w:hAnsi="Arial"/>
                <w:sz w:val="16"/>
                <w:szCs w:val="16"/>
                <w:b w:val="1"/>
                <w:bCs w:val="1"/>
                <w:color w:val="A6A6A6"/>
              </w:rPr>
              <w:t>Second Quarter 2024 Earnings Conference Call</w:t>
            </w:r>
          </w:p>
        </w:tc>
        <w:tc>
          <w:tcPr>
            <w:tcW w:w="3560" w:type="dxa"/>
            <w:vAlign w:val="bottom"/>
          </w:tcPr>
          <w:p>
            <w:pPr>
              <w:jc w:val="right"/>
              <w:ind w:right="558"/>
              <w:spacing w:after="0"/>
              <w:rPr>
                <w:sz w:val="20"/>
                <w:szCs w:val="20"/>
                <w:color w:val="auto"/>
              </w:rPr>
            </w:pPr>
            <w:r>
              <w:rPr>
                <w:rFonts w:ascii="Arial" w:cs="Arial" w:eastAsia="Arial" w:hAnsi="Arial"/>
                <w:sz w:val="16"/>
                <w:szCs w:val="16"/>
                <w:color w:val="auto"/>
              </w:rPr>
              <w:t>05</w:t>
            </w:r>
          </w:p>
        </w:tc>
      </w:tr>
      <w:tr>
        <w:trPr>
          <w:trHeight w:val="370"/>
        </w:trPr>
        <w:tc>
          <w:tcPr>
            <w:tcW w:w="7720" w:type="dxa"/>
            <w:vAlign w:val="bottom"/>
            <w:gridSpan w:val="2"/>
          </w:tcPr>
          <w:p>
            <w:pPr>
              <w:ind w:left="1220"/>
              <w:spacing w:after="0"/>
              <w:rPr>
                <w:sz w:val="20"/>
                <w:szCs w:val="20"/>
                <w:color w:val="auto"/>
              </w:rPr>
            </w:pPr>
            <w:r>
              <w:rPr>
                <w:rFonts w:ascii="Arial" w:cs="Arial" w:eastAsia="Arial" w:hAnsi="Arial"/>
                <w:sz w:val="16"/>
                <w:szCs w:val="16"/>
                <w:b w:val="1"/>
                <w:bCs w:val="1"/>
                <w:color w:val="A6A6A6"/>
              </w:rPr>
              <w:t>Summary of Financial Performance and Outlook</w:t>
            </w:r>
          </w:p>
        </w:tc>
        <w:tc>
          <w:tcPr>
            <w:tcW w:w="3560" w:type="dxa"/>
            <w:vAlign w:val="bottom"/>
          </w:tcPr>
          <w:p>
            <w:pPr>
              <w:jc w:val="right"/>
              <w:ind w:right="558"/>
              <w:spacing w:after="0"/>
              <w:rPr>
                <w:sz w:val="20"/>
                <w:szCs w:val="20"/>
                <w:color w:val="auto"/>
              </w:rPr>
            </w:pPr>
            <w:r>
              <w:rPr>
                <w:rFonts w:ascii="Arial" w:cs="Arial" w:eastAsia="Arial" w:hAnsi="Arial"/>
                <w:sz w:val="16"/>
                <w:szCs w:val="16"/>
                <w:color w:val="auto"/>
              </w:rPr>
              <w:t>06</w:t>
            </w:r>
          </w:p>
        </w:tc>
      </w:tr>
      <w:tr>
        <w:trPr>
          <w:trHeight w:val="370"/>
        </w:trPr>
        <w:tc>
          <w:tcPr>
            <w:tcW w:w="7720" w:type="dxa"/>
            <w:vAlign w:val="bottom"/>
            <w:gridSpan w:val="2"/>
          </w:tcPr>
          <w:p>
            <w:pPr>
              <w:ind w:left="1220"/>
              <w:spacing w:after="0"/>
              <w:rPr>
                <w:sz w:val="20"/>
                <w:szCs w:val="20"/>
                <w:color w:val="auto"/>
              </w:rPr>
            </w:pPr>
            <w:r>
              <w:rPr>
                <w:rFonts w:ascii="Arial" w:cs="Arial" w:eastAsia="Arial" w:hAnsi="Arial"/>
                <w:sz w:val="16"/>
                <w:szCs w:val="16"/>
                <w:b w:val="1"/>
                <w:bCs w:val="1"/>
                <w:color w:val="A6A6A6"/>
              </w:rPr>
              <w:t>Financial Overview</w:t>
            </w:r>
          </w:p>
        </w:tc>
        <w:tc>
          <w:tcPr>
            <w:tcW w:w="3560" w:type="dxa"/>
            <w:vAlign w:val="bottom"/>
          </w:tcPr>
          <w:p>
            <w:pPr>
              <w:jc w:val="right"/>
              <w:ind w:right="558"/>
              <w:spacing w:after="0"/>
              <w:rPr>
                <w:sz w:val="20"/>
                <w:szCs w:val="20"/>
                <w:color w:val="auto"/>
              </w:rPr>
            </w:pPr>
            <w:r>
              <w:rPr>
                <w:rFonts w:ascii="Arial" w:cs="Arial" w:eastAsia="Arial" w:hAnsi="Arial"/>
                <w:sz w:val="16"/>
                <w:szCs w:val="16"/>
                <w:color w:val="auto"/>
              </w:rPr>
              <w:t>11</w:t>
            </w:r>
          </w:p>
        </w:tc>
      </w:tr>
      <w:tr>
        <w:trPr>
          <w:trHeight w:val="370"/>
        </w:trPr>
        <w:tc>
          <w:tcPr>
            <w:tcW w:w="7720" w:type="dxa"/>
            <w:vAlign w:val="bottom"/>
            <w:gridSpan w:val="2"/>
          </w:tcPr>
          <w:p>
            <w:pPr>
              <w:ind w:left="1220"/>
              <w:spacing w:after="0"/>
              <w:rPr>
                <w:sz w:val="20"/>
                <w:szCs w:val="20"/>
                <w:color w:val="auto"/>
              </w:rPr>
            </w:pPr>
            <w:r>
              <w:rPr>
                <w:rFonts w:ascii="Arial" w:cs="Arial" w:eastAsia="Arial" w:hAnsi="Arial"/>
                <w:sz w:val="16"/>
                <w:szCs w:val="16"/>
                <w:b w:val="1"/>
                <w:bCs w:val="1"/>
                <w:color w:val="A6A6A6"/>
              </w:rPr>
              <w:t>Credicorp’s Strategy Update</w:t>
            </w:r>
          </w:p>
        </w:tc>
        <w:tc>
          <w:tcPr>
            <w:tcW w:w="3560" w:type="dxa"/>
            <w:vAlign w:val="bottom"/>
          </w:tcPr>
          <w:p>
            <w:pPr>
              <w:jc w:val="right"/>
              <w:ind w:right="558"/>
              <w:spacing w:after="0"/>
              <w:rPr>
                <w:sz w:val="20"/>
                <w:szCs w:val="20"/>
                <w:color w:val="auto"/>
              </w:rPr>
            </w:pPr>
            <w:r>
              <w:rPr>
                <w:rFonts w:ascii="Arial" w:cs="Arial" w:eastAsia="Arial" w:hAnsi="Arial"/>
                <w:sz w:val="16"/>
                <w:szCs w:val="16"/>
                <w:color w:val="auto"/>
              </w:rPr>
              <w:t>12</w:t>
            </w:r>
          </w:p>
        </w:tc>
      </w:tr>
      <w:tr>
        <w:trPr>
          <w:trHeight w:val="370"/>
        </w:trPr>
        <w:tc>
          <w:tcPr>
            <w:tcW w:w="7720" w:type="dxa"/>
            <w:vAlign w:val="bottom"/>
            <w:gridSpan w:val="2"/>
          </w:tcPr>
          <w:p>
            <w:pPr>
              <w:ind w:left="1220"/>
              <w:spacing w:after="0"/>
              <w:rPr>
                <w:sz w:val="20"/>
                <w:szCs w:val="20"/>
                <w:color w:val="auto"/>
              </w:rPr>
            </w:pPr>
            <w:r>
              <w:rPr>
                <w:rFonts w:ascii="Arial" w:cs="Arial" w:eastAsia="Arial" w:hAnsi="Arial"/>
                <w:sz w:val="16"/>
                <w:szCs w:val="16"/>
                <w:b w:val="1"/>
                <w:bCs w:val="1"/>
                <w:color w:val="A6A6A6"/>
              </w:rPr>
              <w:t>Analysis of 2Q24 Consolidated Results</w:t>
            </w:r>
          </w:p>
        </w:tc>
        <w:tc>
          <w:tcPr>
            <w:tcW w:w="3560" w:type="dxa"/>
            <w:vAlign w:val="bottom"/>
          </w:tcPr>
          <w:p>
            <w:pPr>
              <w:spacing w:after="0"/>
              <w:rPr>
                <w:sz w:val="24"/>
                <w:szCs w:val="24"/>
                <w:color w:val="auto"/>
              </w:rPr>
            </w:pPr>
          </w:p>
        </w:tc>
      </w:tr>
      <w:tr>
        <w:trPr>
          <w:trHeight w:val="566"/>
        </w:trPr>
        <w:tc>
          <w:tcPr>
            <w:tcW w:w="1800" w:type="dxa"/>
            <w:vAlign w:val="bottom"/>
          </w:tcPr>
          <w:p>
            <w:pPr>
              <w:ind w:left="1220"/>
              <w:spacing w:after="0"/>
              <w:rPr>
                <w:sz w:val="20"/>
                <w:szCs w:val="20"/>
                <w:color w:val="auto"/>
              </w:rPr>
            </w:pPr>
            <w:r>
              <w:rPr>
                <w:rFonts w:ascii="Arial" w:cs="Arial" w:eastAsia="Arial" w:hAnsi="Arial"/>
                <w:sz w:val="33"/>
                <w:szCs w:val="33"/>
                <w:b w:val="1"/>
                <w:bCs w:val="1"/>
                <w:color w:val="E93BAC"/>
              </w:rPr>
              <w:t>01</w:t>
            </w:r>
          </w:p>
        </w:tc>
        <w:tc>
          <w:tcPr>
            <w:tcW w:w="5920" w:type="dxa"/>
            <w:vAlign w:val="bottom"/>
          </w:tcPr>
          <w:p>
            <w:pPr>
              <w:ind w:left="220"/>
              <w:spacing w:after="0"/>
              <w:rPr>
                <w:sz w:val="20"/>
                <w:szCs w:val="20"/>
                <w:color w:val="auto"/>
              </w:rPr>
            </w:pPr>
            <w:r>
              <w:rPr>
                <w:rFonts w:ascii="Arial" w:cs="Arial" w:eastAsia="Arial" w:hAnsi="Arial"/>
                <w:sz w:val="16"/>
                <w:szCs w:val="16"/>
                <w:color w:val="E93BAC"/>
              </w:rPr>
              <w:t>Loan Portfolio</w:t>
            </w:r>
          </w:p>
        </w:tc>
        <w:tc>
          <w:tcPr>
            <w:tcW w:w="3560" w:type="dxa"/>
            <w:vAlign w:val="bottom"/>
          </w:tcPr>
          <w:p>
            <w:pPr>
              <w:jc w:val="right"/>
              <w:ind w:right="558"/>
              <w:spacing w:after="0"/>
              <w:rPr>
                <w:sz w:val="20"/>
                <w:szCs w:val="20"/>
                <w:color w:val="auto"/>
              </w:rPr>
            </w:pPr>
            <w:r>
              <w:rPr>
                <w:rFonts w:ascii="Arial" w:cs="Arial" w:eastAsia="Arial" w:hAnsi="Arial"/>
                <w:sz w:val="16"/>
                <w:szCs w:val="16"/>
                <w:color w:val="auto"/>
              </w:rPr>
              <w:t>16</w:t>
            </w:r>
          </w:p>
        </w:tc>
      </w:tr>
      <w:tr>
        <w:trPr>
          <w:trHeight w:val="535"/>
        </w:trPr>
        <w:tc>
          <w:tcPr>
            <w:tcW w:w="1800" w:type="dxa"/>
            <w:vAlign w:val="bottom"/>
          </w:tcPr>
          <w:p>
            <w:pPr>
              <w:ind w:left="1220"/>
              <w:spacing w:after="0"/>
              <w:rPr>
                <w:sz w:val="20"/>
                <w:szCs w:val="20"/>
                <w:color w:val="auto"/>
              </w:rPr>
            </w:pPr>
            <w:r>
              <w:rPr>
                <w:rFonts w:ascii="Arial" w:cs="Arial" w:eastAsia="Arial" w:hAnsi="Arial"/>
                <w:sz w:val="33"/>
                <w:szCs w:val="33"/>
                <w:b w:val="1"/>
                <w:bCs w:val="1"/>
                <w:color w:val="E93BAC"/>
              </w:rPr>
              <w:t>02</w:t>
            </w:r>
          </w:p>
        </w:tc>
        <w:tc>
          <w:tcPr>
            <w:tcW w:w="5920" w:type="dxa"/>
            <w:vAlign w:val="bottom"/>
          </w:tcPr>
          <w:p>
            <w:pPr>
              <w:ind w:left="220"/>
              <w:spacing w:after="0"/>
              <w:rPr>
                <w:sz w:val="20"/>
                <w:szCs w:val="20"/>
                <w:color w:val="auto"/>
              </w:rPr>
            </w:pPr>
            <w:r>
              <w:rPr>
                <w:rFonts w:ascii="Arial" w:cs="Arial" w:eastAsia="Arial" w:hAnsi="Arial"/>
                <w:sz w:val="16"/>
                <w:szCs w:val="16"/>
                <w:color w:val="E93BAC"/>
              </w:rPr>
              <w:t>Deposits</w:t>
            </w:r>
          </w:p>
        </w:tc>
        <w:tc>
          <w:tcPr>
            <w:tcW w:w="3560" w:type="dxa"/>
            <w:vAlign w:val="bottom"/>
          </w:tcPr>
          <w:p>
            <w:pPr>
              <w:jc w:val="right"/>
              <w:ind w:right="558"/>
              <w:spacing w:after="0"/>
              <w:rPr>
                <w:sz w:val="20"/>
                <w:szCs w:val="20"/>
                <w:color w:val="auto"/>
              </w:rPr>
            </w:pPr>
            <w:r>
              <w:rPr>
                <w:rFonts w:ascii="Arial" w:cs="Arial" w:eastAsia="Arial" w:hAnsi="Arial"/>
                <w:sz w:val="16"/>
                <w:szCs w:val="16"/>
                <w:color w:val="auto"/>
              </w:rPr>
              <w:t>19</w:t>
            </w:r>
          </w:p>
        </w:tc>
      </w:tr>
      <w:tr>
        <w:trPr>
          <w:trHeight w:val="535"/>
        </w:trPr>
        <w:tc>
          <w:tcPr>
            <w:tcW w:w="1800" w:type="dxa"/>
            <w:vAlign w:val="bottom"/>
          </w:tcPr>
          <w:p>
            <w:pPr>
              <w:ind w:left="1220"/>
              <w:spacing w:after="0"/>
              <w:rPr>
                <w:sz w:val="20"/>
                <w:szCs w:val="20"/>
                <w:color w:val="auto"/>
              </w:rPr>
            </w:pPr>
            <w:r>
              <w:rPr>
                <w:rFonts w:ascii="Arial" w:cs="Arial" w:eastAsia="Arial" w:hAnsi="Arial"/>
                <w:sz w:val="33"/>
                <w:szCs w:val="33"/>
                <w:b w:val="1"/>
                <w:bCs w:val="1"/>
                <w:color w:val="E93BAC"/>
              </w:rPr>
              <w:t>03</w:t>
            </w:r>
          </w:p>
        </w:tc>
        <w:tc>
          <w:tcPr>
            <w:tcW w:w="5920" w:type="dxa"/>
            <w:vAlign w:val="bottom"/>
          </w:tcPr>
          <w:p>
            <w:pPr>
              <w:ind w:left="220"/>
              <w:spacing w:after="0"/>
              <w:rPr>
                <w:sz w:val="20"/>
                <w:szCs w:val="20"/>
                <w:color w:val="auto"/>
              </w:rPr>
            </w:pPr>
            <w:r>
              <w:rPr>
                <w:rFonts w:ascii="Arial" w:cs="Arial" w:eastAsia="Arial" w:hAnsi="Arial"/>
                <w:sz w:val="16"/>
                <w:szCs w:val="16"/>
                <w:color w:val="E93BAC"/>
              </w:rPr>
              <w:t>Interest Earning Assets and Funding</w:t>
            </w:r>
          </w:p>
        </w:tc>
        <w:tc>
          <w:tcPr>
            <w:tcW w:w="3560" w:type="dxa"/>
            <w:vAlign w:val="bottom"/>
          </w:tcPr>
          <w:p>
            <w:pPr>
              <w:jc w:val="right"/>
              <w:ind w:right="558"/>
              <w:spacing w:after="0"/>
              <w:rPr>
                <w:sz w:val="20"/>
                <w:szCs w:val="20"/>
                <w:color w:val="auto"/>
              </w:rPr>
            </w:pPr>
            <w:r>
              <w:rPr>
                <w:rFonts w:ascii="Arial" w:cs="Arial" w:eastAsia="Arial" w:hAnsi="Arial"/>
                <w:sz w:val="16"/>
                <w:szCs w:val="16"/>
                <w:color w:val="auto"/>
              </w:rPr>
              <w:t>22</w:t>
            </w:r>
          </w:p>
        </w:tc>
      </w:tr>
      <w:tr>
        <w:trPr>
          <w:trHeight w:val="535"/>
        </w:trPr>
        <w:tc>
          <w:tcPr>
            <w:tcW w:w="1800" w:type="dxa"/>
            <w:vAlign w:val="bottom"/>
          </w:tcPr>
          <w:p>
            <w:pPr>
              <w:ind w:left="1220"/>
              <w:spacing w:after="0"/>
              <w:rPr>
                <w:sz w:val="20"/>
                <w:szCs w:val="20"/>
                <w:color w:val="auto"/>
              </w:rPr>
            </w:pPr>
            <w:r>
              <w:rPr>
                <w:rFonts w:ascii="Arial" w:cs="Arial" w:eastAsia="Arial" w:hAnsi="Arial"/>
                <w:sz w:val="33"/>
                <w:szCs w:val="33"/>
                <w:b w:val="1"/>
                <w:bCs w:val="1"/>
                <w:color w:val="E93BAC"/>
              </w:rPr>
              <w:t>04</w:t>
            </w:r>
          </w:p>
        </w:tc>
        <w:tc>
          <w:tcPr>
            <w:tcW w:w="5920" w:type="dxa"/>
            <w:vAlign w:val="bottom"/>
          </w:tcPr>
          <w:p>
            <w:pPr>
              <w:ind w:left="220"/>
              <w:spacing w:after="0"/>
              <w:rPr>
                <w:sz w:val="20"/>
                <w:szCs w:val="20"/>
                <w:color w:val="auto"/>
              </w:rPr>
            </w:pPr>
            <w:r>
              <w:rPr>
                <w:rFonts w:ascii="Arial" w:cs="Arial" w:eastAsia="Arial" w:hAnsi="Arial"/>
                <w:sz w:val="16"/>
                <w:szCs w:val="16"/>
                <w:color w:val="E93BAC"/>
              </w:rPr>
              <w:t>Net Interest Income (NII)</w:t>
            </w:r>
          </w:p>
        </w:tc>
        <w:tc>
          <w:tcPr>
            <w:tcW w:w="3560" w:type="dxa"/>
            <w:vAlign w:val="bottom"/>
          </w:tcPr>
          <w:p>
            <w:pPr>
              <w:jc w:val="right"/>
              <w:ind w:right="558"/>
              <w:spacing w:after="0"/>
              <w:rPr>
                <w:sz w:val="20"/>
                <w:szCs w:val="20"/>
                <w:color w:val="auto"/>
              </w:rPr>
            </w:pPr>
            <w:r>
              <w:rPr>
                <w:rFonts w:ascii="Arial" w:cs="Arial" w:eastAsia="Arial" w:hAnsi="Arial"/>
                <w:sz w:val="16"/>
                <w:szCs w:val="16"/>
                <w:color w:val="auto"/>
              </w:rPr>
              <w:t>23</w:t>
            </w:r>
          </w:p>
        </w:tc>
      </w:tr>
      <w:tr>
        <w:trPr>
          <w:trHeight w:val="535"/>
        </w:trPr>
        <w:tc>
          <w:tcPr>
            <w:tcW w:w="1800" w:type="dxa"/>
            <w:vAlign w:val="bottom"/>
          </w:tcPr>
          <w:p>
            <w:pPr>
              <w:ind w:left="1220"/>
              <w:spacing w:after="0"/>
              <w:rPr>
                <w:sz w:val="20"/>
                <w:szCs w:val="20"/>
                <w:color w:val="auto"/>
              </w:rPr>
            </w:pPr>
            <w:r>
              <w:rPr>
                <w:rFonts w:ascii="Arial" w:cs="Arial" w:eastAsia="Arial" w:hAnsi="Arial"/>
                <w:sz w:val="33"/>
                <w:szCs w:val="33"/>
                <w:b w:val="1"/>
                <w:bCs w:val="1"/>
                <w:color w:val="E93BAC"/>
              </w:rPr>
              <w:t>05</w:t>
            </w:r>
          </w:p>
        </w:tc>
        <w:tc>
          <w:tcPr>
            <w:tcW w:w="5920" w:type="dxa"/>
            <w:vAlign w:val="bottom"/>
          </w:tcPr>
          <w:p>
            <w:pPr>
              <w:ind w:left="220"/>
              <w:spacing w:after="0"/>
              <w:rPr>
                <w:sz w:val="20"/>
                <w:szCs w:val="20"/>
                <w:color w:val="auto"/>
              </w:rPr>
            </w:pPr>
            <w:r>
              <w:rPr>
                <w:rFonts w:ascii="Arial" w:cs="Arial" w:eastAsia="Arial" w:hAnsi="Arial"/>
                <w:sz w:val="16"/>
                <w:szCs w:val="16"/>
                <w:color w:val="E93BAC"/>
              </w:rPr>
              <w:t>Portfolio Quality and Provisions</w:t>
            </w:r>
          </w:p>
        </w:tc>
        <w:tc>
          <w:tcPr>
            <w:tcW w:w="3560" w:type="dxa"/>
            <w:vAlign w:val="bottom"/>
          </w:tcPr>
          <w:p>
            <w:pPr>
              <w:jc w:val="right"/>
              <w:ind w:right="558"/>
              <w:spacing w:after="0"/>
              <w:rPr>
                <w:sz w:val="20"/>
                <w:szCs w:val="20"/>
                <w:color w:val="auto"/>
              </w:rPr>
            </w:pPr>
            <w:r>
              <w:rPr>
                <w:rFonts w:ascii="Arial" w:cs="Arial" w:eastAsia="Arial" w:hAnsi="Arial"/>
                <w:sz w:val="16"/>
                <w:szCs w:val="16"/>
                <w:color w:val="auto"/>
              </w:rPr>
              <w:t>27</w:t>
            </w:r>
          </w:p>
        </w:tc>
      </w:tr>
      <w:tr>
        <w:trPr>
          <w:trHeight w:val="535"/>
        </w:trPr>
        <w:tc>
          <w:tcPr>
            <w:tcW w:w="1800" w:type="dxa"/>
            <w:vAlign w:val="bottom"/>
          </w:tcPr>
          <w:p>
            <w:pPr>
              <w:ind w:left="1220"/>
              <w:spacing w:after="0"/>
              <w:rPr>
                <w:sz w:val="20"/>
                <w:szCs w:val="20"/>
                <w:color w:val="auto"/>
              </w:rPr>
            </w:pPr>
            <w:r>
              <w:rPr>
                <w:rFonts w:ascii="Arial" w:cs="Arial" w:eastAsia="Arial" w:hAnsi="Arial"/>
                <w:sz w:val="33"/>
                <w:szCs w:val="33"/>
                <w:b w:val="1"/>
                <w:bCs w:val="1"/>
                <w:color w:val="E93BAC"/>
              </w:rPr>
              <w:t>06</w:t>
            </w:r>
          </w:p>
        </w:tc>
        <w:tc>
          <w:tcPr>
            <w:tcW w:w="5920" w:type="dxa"/>
            <w:vAlign w:val="bottom"/>
          </w:tcPr>
          <w:p>
            <w:pPr>
              <w:ind w:left="220"/>
              <w:spacing w:after="0"/>
              <w:rPr>
                <w:sz w:val="20"/>
                <w:szCs w:val="20"/>
                <w:color w:val="auto"/>
              </w:rPr>
            </w:pPr>
            <w:r>
              <w:rPr>
                <w:rFonts w:ascii="Arial" w:cs="Arial" w:eastAsia="Arial" w:hAnsi="Arial"/>
                <w:sz w:val="16"/>
                <w:szCs w:val="16"/>
                <w:color w:val="E93BAC"/>
              </w:rPr>
              <w:t>Other Income</w:t>
            </w:r>
          </w:p>
        </w:tc>
        <w:tc>
          <w:tcPr>
            <w:tcW w:w="3560" w:type="dxa"/>
            <w:vAlign w:val="bottom"/>
          </w:tcPr>
          <w:p>
            <w:pPr>
              <w:jc w:val="right"/>
              <w:ind w:right="558"/>
              <w:spacing w:after="0"/>
              <w:rPr>
                <w:sz w:val="20"/>
                <w:szCs w:val="20"/>
                <w:color w:val="auto"/>
              </w:rPr>
            </w:pPr>
            <w:r>
              <w:rPr>
                <w:rFonts w:ascii="Arial" w:cs="Arial" w:eastAsia="Arial" w:hAnsi="Arial"/>
                <w:sz w:val="16"/>
                <w:szCs w:val="16"/>
                <w:color w:val="auto"/>
              </w:rPr>
              <w:t>31</w:t>
            </w:r>
          </w:p>
        </w:tc>
      </w:tr>
      <w:tr>
        <w:trPr>
          <w:trHeight w:val="535"/>
        </w:trPr>
        <w:tc>
          <w:tcPr>
            <w:tcW w:w="1800" w:type="dxa"/>
            <w:vAlign w:val="bottom"/>
          </w:tcPr>
          <w:p>
            <w:pPr>
              <w:ind w:left="1220"/>
              <w:spacing w:after="0"/>
              <w:rPr>
                <w:sz w:val="20"/>
                <w:szCs w:val="20"/>
                <w:color w:val="auto"/>
              </w:rPr>
            </w:pPr>
            <w:r>
              <w:rPr>
                <w:rFonts w:ascii="Arial" w:cs="Arial" w:eastAsia="Arial" w:hAnsi="Arial"/>
                <w:sz w:val="33"/>
                <w:szCs w:val="33"/>
                <w:b w:val="1"/>
                <w:bCs w:val="1"/>
                <w:color w:val="E93BAC"/>
              </w:rPr>
              <w:t>07</w:t>
            </w:r>
          </w:p>
        </w:tc>
        <w:tc>
          <w:tcPr>
            <w:tcW w:w="5920" w:type="dxa"/>
            <w:vAlign w:val="bottom"/>
          </w:tcPr>
          <w:p>
            <w:pPr>
              <w:ind w:left="220"/>
              <w:spacing w:after="0"/>
              <w:rPr>
                <w:sz w:val="20"/>
                <w:szCs w:val="20"/>
                <w:color w:val="auto"/>
              </w:rPr>
            </w:pPr>
            <w:r>
              <w:rPr>
                <w:rFonts w:ascii="Arial" w:cs="Arial" w:eastAsia="Arial" w:hAnsi="Arial"/>
                <w:sz w:val="16"/>
                <w:szCs w:val="16"/>
                <w:color w:val="E93BAC"/>
              </w:rPr>
              <w:t>Insurance Underwriting Results</w:t>
            </w:r>
          </w:p>
        </w:tc>
        <w:tc>
          <w:tcPr>
            <w:tcW w:w="3560" w:type="dxa"/>
            <w:vAlign w:val="bottom"/>
          </w:tcPr>
          <w:p>
            <w:pPr>
              <w:jc w:val="right"/>
              <w:ind w:right="558"/>
              <w:spacing w:after="0"/>
              <w:rPr>
                <w:sz w:val="20"/>
                <w:szCs w:val="20"/>
                <w:color w:val="auto"/>
              </w:rPr>
            </w:pPr>
            <w:r>
              <w:rPr>
                <w:rFonts w:ascii="Arial" w:cs="Arial" w:eastAsia="Arial" w:hAnsi="Arial"/>
                <w:sz w:val="16"/>
                <w:szCs w:val="16"/>
                <w:color w:val="auto"/>
              </w:rPr>
              <w:t>34</w:t>
            </w:r>
          </w:p>
        </w:tc>
      </w:tr>
      <w:tr>
        <w:trPr>
          <w:trHeight w:val="535"/>
        </w:trPr>
        <w:tc>
          <w:tcPr>
            <w:tcW w:w="1800" w:type="dxa"/>
            <w:vAlign w:val="bottom"/>
          </w:tcPr>
          <w:p>
            <w:pPr>
              <w:ind w:left="1220"/>
              <w:spacing w:after="0"/>
              <w:rPr>
                <w:sz w:val="20"/>
                <w:szCs w:val="20"/>
                <w:color w:val="auto"/>
              </w:rPr>
            </w:pPr>
            <w:r>
              <w:rPr>
                <w:rFonts w:ascii="Arial" w:cs="Arial" w:eastAsia="Arial" w:hAnsi="Arial"/>
                <w:sz w:val="33"/>
                <w:szCs w:val="33"/>
                <w:b w:val="1"/>
                <w:bCs w:val="1"/>
                <w:color w:val="E93BAC"/>
              </w:rPr>
              <w:t>08</w:t>
            </w:r>
          </w:p>
        </w:tc>
        <w:tc>
          <w:tcPr>
            <w:tcW w:w="5920" w:type="dxa"/>
            <w:vAlign w:val="bottom"/>
          </w:tcPr>
          <w:p>
            <w:pPr>
              <w:ind w:left="220"/>
              <w:spacing w:after="0"/>
              <w:rPr>
                <w:sz w:val="20"/>
                <w:szCs w:val="20"/>
                <w:color w:val="auto"/>
              </w:rPr>
            </w:pPr>
            <w:r>
              <w:rPr>
                <w:rFonts w:ascii="Arial" w:cs="Arial" w:eastAsia="Arial" w:hAnsi="Arial"/>
                <w:sz w:val="16"/>
                <w:szCs w:val="16"/>
                <w:color w:val="E93BAC"/>
              </w:rPr>
              <w:t>Operating Expenses</w:t>
            </w:r>
          </w:p>
        </w:tc>
        <w:tc>
          <w:tcPr>
            <w:tcW w:w="3560" w:type="dxa"/>
            <w:vAlign w:val="bottom"/>
          </w:tcPr>
          <w:p>
            <w:pPr>
              <w:jc w:val="right"/>
              <w:ind w:right="558"/>
              <w:spacing w:after="0"/>
              <w:rPr>
                <w:sz w:val="20"/>
                <w:szCs w:val="20"/>
                <w:color w:val="auto"/>
              </w:rPr>
            </w:pPr>
            <w:r>
              <w:rPr>
                <w:rFonts w:ascii="Arial" w:cs="Arial" w:eastAsia="Arial" w:hAnsi="Arial"/>
                <w:sz w:val="16"/>
                <w:szCs w:val="16"/>
                <w:color w:val="auto"/>
              </w:rPr>
              <w:t>36</w:t>
            </w:r>
          </w:p>
        </w:tc>
      </w:tr>
      <w:tr>
        <w:trPr>
          <w:trHeight w:val="535"/>
        </w:trPr>
        <w:tc>
          <w:tcPr>
            <w:tcW w:w="1800" w:type="dxa"/>
            <w:vAlign w:val="bottom"/>
          </w:tcPr>
          <w:p>
            <w:pPr>
              <w:ind w:left="1220"/>
              <w:spacing w:after="0"/>
              <w:rPr>
                <w:sz w:val="20"/>
                <w:szCs w:val="20"/>
                <w:color w:val="auto"/>
              </w:rPr>
            </w:pPr>
            <w:r>
              <w:rPr>
                <w:rFonts w:ascii="Arial" w:cs="Arial" w:eastAsia="Arial" w:hAnsi="Arial"/>
                <w:sz w:val="33"/>
                <w:szCs w:val="33"/>
                <w:b w:val="1"/>
                <w:bCs w:val="1"/>
                <w:color w:val="E93BAC"/>
              </w:rPr>
              <w:t>09</w:t>
            </w:r>
          </w:p>
        </w:tc>
        <w:tc>
          <w:tcPr>
            <w:tcW w:w="5920" w:type="dxa"/>
            <w:vAlign w:val="bottom"/>
          </w:tcPr>
          <w:p>
            <w:pPr>
              <w:ind w:left="220"/>
              <w:spacing w:after="0"/>
              <w:rPr>
                <w:sz w:val="20"/>
                <w:szCs w:val="20"/>
                <w:color w:val="auto"/>
              </w:rPr>
            </w:pPr>
            <w:r>
              <w:rPr>
                <w:rFonts w:ascii="Arial" w:cs="Arial" w:eastAsia="Arial" w:hAnsi="Arial"/>
                <w:sz w:val="16"/>
                <w:szCs w:val="16"/>
                <w:color w:val="E93BAC"/>
              </w:rPr>
              <w:t>Operating Efficiency</w:t>
            </w:r>
          </w:p>
        </w:tc>
        <w:tc>
          <w:tcPr>
            <w:tcW w:w="3560" w:type="dxa"/>
            <w:vAlign w:val="bottom"/>
          </w:tcPr>
          <w:p>
            <w:pPr>
              <w:jc w:val="right"/>
              <w:ind w:right="558"/>
              <w:spacing w:after="0"/>
              <w:rPr>
                <w:sz w:val="20"/>
                <w:szCs w:val="20"/>
                <w:color w:val="auto"/>
              </w:rPr>
            </w:pPr>
            <w:r>
              <w:rPr>
                <w:rFonts w:ascii="Arial" w:cs="Arial" w:eastAsia="Arial" w:hAnsi="Arial"/>
                <w:sz w:val="16"/>
                <w:szCs w:val="16"/>
                <w:color w:val="auto"/>
              </w:rPr>
              <w:t>38</w:t>
            </w:r>
          </w:p>
        </w:tc>
      </w:tr>
      <w:tr>
        <w:trPr>
          <w:trHeight w:val="535"/>
        </w:trPr>
        <w:tc>
          <w:tcPr>
            <w:tcW w:w="1800" w:type="dxa"/>
            <w:vAlign w:val="bottom"/>
          </w:tcPr>
          <w:p>
            <w:pPr>
              <w:ind w:left="1220"/>
              <w:spacing w:after="0"/>
              <w:rPr>
                <w:sz w:val="20"/>
                <w:szCs w:val="20"/>
                <w:color w:val="auto"/>
              </w:rPr>
            </w:pPr>
            <w:r>
              <w:rPr>
                <w:rFonts w:ascii="Arial" w:cs="Arial" w:eastAsia="Arial" w:hAnsi="Arial"/>
                <w:sz w:val="33"/>
                <w:szCs w:val="33"/>
                <w:b w:val="1"/>
                <w:bCs w:val="1"/>
                <w:color w:val="E93BAC"/>
              </w:rPr>
              <w:t>10</w:t>
            </w:r>
          </w:p>
        </w:tc>
        <w:tc>
          <w:tcPr>
            <w:tcW w:w="5920" w:type="dxa"/>
            <w:vAlign w:val="bottom"/>
          </w:tcPr>
          <w:p>
            <w:pPr>
              <w:ind w:left="220"/>
              <w:spacing w:after="0"/>
              <w:rPr>
                <w:sz w:val="20"/>
                <w:szCs w:val="20"/>
                <w:color w:val="auto"/>
              </w:rPr>
            </w:pPr>
            <w:r>
              <w:rPr>
                <w:rFonts w:ascii="Arial" w:cs="Arial" w:eastAsia="Arial" w:hAnsi="Arial"/>
                <w:sz w:val="16"/>
                <w:szCs w:val="16"/>
                <w:color w:val="E93BAC"/>
              </w:rPr>
              <w:t>Regulatory Capital</w:t>
            </w:r>
          </w:p>
        </w:tc>
        <w:tc>
          <w:tcPr>
            <w:tcW w:w="3560" w:type="dxa"/>
            <w:vAlign w:val="bottom"/>
          </w:tcPr>
          <w:p>
            <w:pPr>
              <w:jc w:val="right"/>
              <w:ind w:right="558"/>
              <w:spacing w:after="0"/>
              <w:rPr>
                <w:sz w:val="20"/>
                <w:szCs w:val="20"/>
                <w:color w:val="auto"/>
              </w:rPr>
            </w:pPr>
            <w:r>
              <w:rPr>
                <w:rFonts w:ascii="Arial" w:cs="Arial" w:eastAsia="Arial" w:hAnsi="Arial"/>
                <w:sz w:val="16"/>
                <w:szCs w:val="16"/>
                <w:color w:val="auto"/>
              </w:rPr>
              <w:t>39</w:t>
            </w:r>
          </w:p>
        </w:tc>
      </w:tr>
      <w:tr>
        <w:trPr>
          <w:trHeight w:val="535"/>
        </w:trPr>
        <w:tc>
          <w:tcPr>
            <w:tcW w:w="1800" w:type="dxa"/>
            <w:vAlign w:val="bottom"/>
          </w:tcPr>
          <w:p>
            <w:pPr>
              <w:ind w:left="1220"/>
              <w:spacing w:after="0"/>
              <w:rPr>
                <w:sz w:val="20"/>
                <w:szCs w:val="20"/>
                <w:color w:val="auto"/>
              </w:rPr>
            </w:pPr>
            <w:r>
              <w:rPr>
                <w:rFonts w:ascii="Arial" w:cs="Arial" w:eastAsia="Arial" w:hAnsi="Arial"/>
                <w:sz w:val="33"/>
                <w:szCs w:val="33"/>
                <w:b w:val="1"/>
                <w:bCs w:val="1"/>
                <w:color w:val="E93BAC"/>
              </w:rPr>
              <w:t>11</w:t>
            </w:r>
          </w:p>
        </w:tc>
        <w:tc>
          <w:tcPr>
            <w:tcW w:w="5920" w:type="dxa"/>
            <w:vAlign w:val="bottom"/>
          </w:tcPr>
          <w:p>
            <w:pPr>
              <w:ind w:left="220"/>
              <w:spacing w:after="0"/>
              <w:rPr>
                <w:sz w:val="20"/>
                <w:szCs w:val="20"/>
                <w:color w:val="auto"/>
              </w:rPr>
            </w:pPr>
            <w:r>
              <w:rPr>
                <w:rFonts w:ascii="Arial" w:cs="Arial" w:eastAsia="Arial" w:hAnsi="Arial"/>
                <w:sz w:val="16"/>
                <w:szCs w:val="16"/>
                <w:color w:val="E93BAC"/>
              </w:rPr>
              <w:t>Economic Outlook</w:t>
            </w:r>
          </w:p>
        </w:tc>
        <w:tc>
          <w:tcPr>
            <w:tcW w:w="3560" w:type="dxa"/>
            <w:vAlign w:val="bottom"/>
          </w:tcPr>
          <w:p>
            <w:pPr>
              <w:jc w:val="right"/>
              <w:ind w:right="558"/>
              <w:spacing w:after="0"/>
              <w:rPr>
                <w:sz w:val="20"/>
                <w:szCs w:val="20"/>
                <w:color w:val="auto"/>
              </w:rPr>
            </w:pPr>
            <w:r>
              <w:rPr>
                <w:rFonts w:ascii="Arial" w:cs="Arial" w:eastAsia="Arial" w:hAnsi="Arial"/>
                <w:sz w:val="16"/>
                <w:szCs w:val="16"/>
                <w:color w:val="auto"/>
              </w:rPr>
              <w:t>41</w:t>
            </w:r>
          </w:p>
        </w:tc>
      </w:tr>
      <w:tr>
        <w:trPr>
          <w:trHeight w:val="535"/>
        </w:trPr>
        <w:tc>
          <w:tcPr>
            <w:tcW w:w="1800" w:type="dxa"/>
            <w:vAlign w:val="bottom"/>
          </w:tcPr>
          <w:p>
            <w:pPr>
              <w:ind w:left="1220"/>
              <w:spacing w:after="0"/>
              <w:rPr>
                <w:sz w:val="20"/>
                <w:szCs w:val="20"/>
                <w:color w:val="auto"/>
              </w:rPr>
            </w:pPr>
            <w:r>
              <w:rPr>
                <w:rFonts w:ascii="Arial" w:cs="Arial" w:eastAsia="Arial" w:hAnsi="Arial"/>
                <w:sz w:val="33"/>
                <w:szCs w:val="33"/>
                <w:b w:val="1"/>
                <w:bCs w:val="1"/>
                <w:color w:val="E93BAC"/>
              </w:rPr>
              <w:t>12</w:t>
            </w:r>
          </w:p>
        </w:tc>
        <w:tc>
          <w:tcPr>
            <w:tcW w:w="5920" w:type="dxa"/>
            <w:vAlign w:val="bottom"/>
          </w:tcPr>
          <w:p>
            <w:pPr>
              <w:ind w:left="220"/>
              <w:spacing w:after="0"/>
              <w:rPr>
                <w:sz w:val="20"/>
                <w:szCs w:val="20"/>
                <w:color w:val="auto"/>
              </w:rPr>
            </w:pPr>
            <w:r>
              <w:rPr>
                <w:rFonts w:ascii="Arial" w:cs="Arial" w:eastAsia="Arial" w:hAnsi="Arial"/>
                <w:sz w:val="16"/>
                <w:szCs w:val="16"/>
                <w:color w:val="E93BAC"/>
              </w:rPr>
              <w:t>Appendix</w:t>
            </w:r>
          </w:p>
        </w:tc>
        <w:tc>
          <w:tcPr>
            <w:tcW w:w="3560" w:type="dxa"/>
            <w:vAlign w:val="bottom"/>
          </w:tcPr>
          <w:p>
            <w:pPr>
              <w:jc w:val="right"/>
              <w:ind w:right="558"/>
              <w:spacing w:after="0"/>
              <w:rPr>
                <w:sz w:val="20"/>
                <w:szCs w:val="20"/>
                <w:color w:val="auto"/>
              </w:rPr>
            </w:pPr>
            <w:r>
              <w:rPr>
                <w:rFonts w:ascii="Arial" w:cs="Arial" w:eastAsia="Arial" w:hAnsi="Arial"/>
                <w:sz w:val="16"/>
                <w:szCs w:val="16"/>
                <w:color w:val="auto"/>
              </w:rPr>
              <w:t>45</w:t>
            </w:r>
          </w:p>
        </w:tc>
      </w:tr>
      <w:tr>
        <w:trPr>
          <w:trHeight w:val="959"/>
        </w:trPr>
        <w:tc>
          <w:tcPr>
            <w:tcW w:w="180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-6256655</wp:posOffset>
            </wp:positionV>
            <wp:extent cx="97790" cy="977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790" cy="97790"/>
                    </a:xfrm>
                    <a:prstGeom prst="rect">
                      <a:avLst/>
                    </a:prstGeom>
                    <a:noFill/>
                  </pic:spPr>
                </pic:pic>
              </a:graphicData>
            </a:graphic>
          </wp:anchor>
        </w:drawing>
        <w:drawing>
          <wp:anchor simplePos="0" relativeHeight="251657728" behindDoc="1" locked="0" layoutInCell="0" allowOverlap="1">
            <wp:simplePos x="0" y="0"/>
            <wp:positionH relativeFrom="column">
              <wp:posOffset>314960</wp:posOffset>
            </wp:positionH>
            <wp:positionV relativeFrom="paragraph">
              <wp:posOffset>-6021070</wp:posOffset>
            </wp:positionV>
            <wp:extent cx="97790" cy="977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7790" cy="97790"/>
                    </a:xfrm>
                    <a:prstGeom prst="rect">
                      <a:avLst/>
                    </a:prstGeom>
                    <a:noFill/>
                  </pic:spPr>
                </pic:pic>
              </a:graphicData>
            </a:graphic>
          </wp:anchor>
        </w:drawing>
        <w:drawing>
          <wp:anchor simplePos="0" relativeHeight="251657728" behindDoc="1" locked="0" layoutInCell="0" allowOverlap="1">
            <wp:simplePos x="0" y="0"/>
            <wp:positionH relativeFrom="column">
              <wp:posOffset>314960</wp:posOffset>
            </wp:positionH>
            <wp:positionV relativeFrom="paragraph">
              <wp:posOffset>-5786120</wp:posOffset>
            </wp:positionV>
            <wp:extent cx="97790" cy="977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7790" cy="97790"/>
                    </a:xfrm>
                    <a:prstGeom prst="rect">
                      <a:avLst/>
                    </a:prstGeom>
                    <a:noFill/>
                  </pic:spPr>
                </pic:pic>
              </a:graphicData>
            </a:graphic>
          </wp:anchor>
        </w:drawing>
        <w:drawing>
          <wp:anchor simplePos="0" relativeHeight="251657728" behindDoc="1" locked="0" layoutInCell="0" allowOverlap="1">
            <wp:simplePos x="0" y="0"/>
            <wp:positionH relativeFrom="column">
              <wp:posOffset>314960</wp:posOffset>
            </wp:positionH>
            <wp:positionV relativeFrom="paragraph">
              <wp:posOffset>-5551170</wp:posOffset>
            </wp:positionV>
            <wp:extent cx="97790" cy="977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7790" cy="97790"/>
                    </a:xfrm>
                    <a:prstGeom prst="rect">
                      <a:avLst/>
                    </a:prstGeom>
                    <a:noFill/>
                  </pic:spPr>
                </pic:pic>
              </a:graphicData>
            </a:graphic>
          </wp:anchor>
        </w:drawing>
        <w:drawing>
          <wp:anchor simplePos="0" relativeHeight="251657728" behindDoc="1" locked="0" layoutInCell="0" allowOverlap="1">
            <wp:simplePos x="0" y="0"/>
            <wp:positionH relativeFrom="column">
              <wp:posOffset>314960</wp:posOffset>
            </wp:positionH>
            <wp:positionV relativeFrom="paragraph">
              <wp:posOffset>-5316220</wp:posOffset>
            </wp:positionV>
            <wp:extent cx="97790" cy="977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7790" cy="97790"/>
                    </a:xfrm>
                    <a:prstGeom prst="rect">
                      <a:avLst/>
                    </a:prstGeom>
                    <a:noFill/>
                  </pic:spPr>
                </pic:pic>
              </a:graphicData>
            </a:graphic>
          </wp:anchor>
        </w:drawing>
        <w:drawing>
          <wp:anchor simplePos="0" relativeHeight="251657728" behindDoc="1" locked="0" layoutInCell="0" allowOverlap="1">
            <wp:simplePos x="0" y="0"/>
            <wp:positionH relativeFrom="column">
              <wp:posOffset>314960</wp:posOffset>
            </wp:positionH>
            <wp:positionV relativeFrom="paragraph">
              <wp:posOffset>-5080635</wp:posOffset>
            </wp:positionV>
            <wp:extent cx="97790" cy="977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7790" cy="97790"/>
                    </a:xfrm>
                    <a:prstGeom prst="rect">
                      <a:avLst/>
                    </a:prstGeom>
                    <a:noFill/>
                  </pic:spPr>
                </pic:pic>
              </a:graphicData>
            </a:graphic>
          </wp:anchor>
        </w:drawing>
        <w:drawing>
          <wp:anchor simplePos="0" relativeHeight="251657728" behindDoc="1" locked="0" layoutInCell="0" allowOverlap="1">
            <wp:simplePos x="0" y="0"/>
            <wp:positionH relativeFrom="column">
              <wp:posOffset>314960</wp:posOffset>
            </wp:positionH>
            <wp:positionV relativeFrom="paragraph">
              <wp:posOffset>-4845685</wp:posOffset>
            </wp:positionV>
            <wp:extent cx="97790" cy="977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7790" cy="977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-541655</wp:posOffset>
            </wp:positionV>
            <wp:extent cx="1502410" cy="44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-384810</wp:posOffset>
            </wp:positionV>
            <wp:extent cx="1724025" cy="287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24025" cy="28765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6" w:name="page7"/>
    <w:bookmarkEnd w:id="6"/>
    <w:p>
      <w:pPr>
        <w:ind w:left="2480"/>
        <w:spacing w:after="0"/>
        <w:tabs>
          <w:tab w:leader="none" w:pos="2680" w:val="left"/>
          <w:tab w:leader="none" w:pos="7680"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80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705" cy="588010"/>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Operating and Financial Highlights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Credicorp Ltd. Reports Financial and Operating Results for 2Q24</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Delivered ROE of 16.2% in 2Q24 and 17.6% in 1S24; on track to meet 2024 ROE guidance of around 17% as loans resume growth in an improved macro backdrop</w:t>
      </w:r>
    </w:p>
    <w:p>
      <w:pPr>
        <w:spacing w:after="0" w:line="148" w:lineRule="exact"/>
        <w:rPr>
          <w:sz w:val="20"/>
          <w:szCs w:val="20"/>
          <w:color w:val="auto"/>
        </w:rPr>
      </w:pPr>
    </w:p>
    <w:p>
      <w:pPr>
        <w:ind w:left="80"/>
        <w:spacing w:after="0"/>
        <w:rPr>
          <w:sz w:val="20"/>
          <w:szCs w:val="20"/>
          <w:color w:val="auto"/>
        </w:rPr>
      </w:pPr>
      <w:r>
        <w:rPr>
          <w:rFonts w:ascii="Arial" w:cs="Arial" w:eastAsia="Arial" w:hAnsi="Arial"/>
          <w:sz w:val="13"/>
          <w:szCs w:val="13"/>
          <w:i w:val="1"/>
          <w:iCs w:val="1"/>
          <w:color w:val="auto"/>
        </w:rPr>
        <w:t>Resilient Risk-Adjusted NIM despite decreasing local rates, supported by favorable balance sheet dynamics, disciplined interest rate management, and leading low-cost deposit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base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Diversified income sources with YoY increases of 8.2% in Net Interest Income (NII), and 16.7% in Other Core Income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Yape surpassed break-even in May 2024 ahead of Company expectations and has become the top-of-mind brand across any industry in Peru</w:t>
      </w:r>
    </w:p>
    <w:p>
      <w:pPr>
        <w:spacing w:after="0" w:line="143" w:lineRule="exact"/>
        <w:rPr>
          <w:sz w:val="20"/>
          <w:szCs w:val="20"/>
          <w:color w:val="auto"/>
        </w:rPr>
      </w:pPr>
    </w:p>
    <w:p>
      <w:pPr>
        <w:jc w:val="both"/>
        <w:spacing w:after="0" w:line="247" w:lineRule="auto"/>
        <w:rPr>
          <w:sz w:val="20"/>
          <w:szCs w:val="20"/>
          <w:color w:val="auto"/>
        </w:rPr>
      </w:pPr>
      <w:r>
        <w:rPr>
          <w:rFonts w:ascii="Arial" w:cs="Arial" w:eastAsia="Arial" w:hAnsi="Arial"/>
          <w:sz w:val="15"/>
          <w:szCs w:val="15"/>
          <w:b w:val="1"/>
          <w:bCs w:val="1"/>
          <w:color w:val="auto"/>
        </w:rPr>
        <w:t xml:space="preserve">Lima, Peru – August 8, 2024 – Credicorp Ltd. (“Credicorp” or “the Company”) (NYSE: BAP | BVL: BAP), </w:t>
      </w:r>
      <w:r>
        <w:rPr>
          <w:rFonts w:ascii="Arial" w:cs="Arial" w:eastAsia="Arial" w:hAnsi="Arial"/>
          <w:sz w:val="15"/>
          <w:szCs w:val="15"/>
          <w:color w:val="auto"/>
        </w:rPr>
        <w:t>the leading financial services holding company in</w:t>
      </w:r>
      <w:r>
        <w:rPr>
          <w:rFonts w:ascii="Arial" w:cs="Arial" w:eastAsia="Arial" w:hAnsi="Arial"/>
          <w:sz w:val="15"/>
          <w:szCs w:val="15"/>
          <w:b w:val="1"/>
          <w:bCs w:val="1"/>
          <w:color w:val="auto"/>
        </w:rPr>
        <w:t xml:space="preserve"> </w:t>
      </w:r>
      <w:r>
        <w:rPr>
          <w:rFonts w:ascii="Arial" w:cs="Arial" w:eastAsia="Arial" w:hAnsi="Arial"/>
          <w:sz w:val="15"/>
          <w:szCs w:val="15"/>
          <w:color w:val="auto"/>
        </w:rPr>
        <w:t>Peru with a presence in Chile, Colombia, Bolivia, and Panama today reported its unaudited results for the quarter ended June 30, 2024. Financial results are expressed in Soles and are presented in accordance with International Financial Reporting Standards (IFRS).</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2Q24 OPERATING AND FINANCIAL HIGHLIGHTS</w:t>
      </w:r>
    </w:p>
    <w:p>
      <w:pPr>
        <w:spacing w:after="0" w:line="157" w:lineRule="exact"/>
        <w:rPr>
          <w:sz w:val="20"/>
          <w:szCs w:val="20"/>
          <w:color w:val="auto"/>
        </w:rPr>
      </w:pPr>
    </w:p>
    <w:p>
      <w:pPr>
        <w:ind w:left="260" w:hanging="251"/>
        <w:spacing w:after="0" w:line="265" w:lineRule="auto"/>
        <w:tabs>
          <w:tab w:leader="none" w:pos="26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 xml:space="preserve">Net Income </w:t>
      </w:r>
      <w:r>
        <w:rPr>
          <w:rFonts w:ascii="Arial" w:cs="Arial" w:eastAsia="Arial" w:hAnsi="Arial"/>
          <w:sz w:val="15"/>
          <w:szCs w:val="15"/>
          <w:color w:val="auto"/>
        </w:rPr>
        <w:t>attributable to Credicorp totaled S/1,339.1 million, which represented a drop of 11.4% QoQ and 4.4% YoY. In this context, ROE for the quarter</w:t>
      </w:r>
      <w:r>
        <w:rPr>
          <w:rFonts w:ascii="Arial" w:cs="Arial" w:eastAsia="Arial" w:hAnsi="Arial"/>
          <w:sz w:val="15"/>
          <w:szCs w:val="15"/>
          <w:b w:val="1"/>
          <w:bCs w:val="1"/>
          <w:color w:val="auto"/>
        </w:rPr>
        <w:t xml:space="preserve"> </w:t>
      </w:r>
      <w:r>
        <w:rPr>
          <w:rFonts w:ascii="Arial" w:cs="Arial" w:eastAsia="Arial" w:hAnsi="Arial"/>
          <w:sz w:val="15"/>
          <w:szCs w:val="15"/>
          <w:color w:val="auto"/>
        </w:rPr>
        <w:t>stood at 16.2% compared to 18.2% in 1Q24 and 18.6% in 2Q23.</w:t>
      </w:r>
    </w:p>
    <w:p>
      <w:pPr>
        <w:spacing w:after="0" w:line="112" w:lineRule="exact"/>
        <w:rPr>
          <w:rFonts w:ascii="Arial" w:cs="Arial" w:eastAsia="Arial" w:hAnsi="Arial"/>
          <w:sz w:val="15"/>
          <w:szCs w:val="15"/>
          <w:color w:val="auto"/>
        </w:rPr>
      </w:pPr>
    </w:p>
    <w:p>
      <w:pPr>
        <w:ind w:left="260" w:hanging="251"/>
        <w:spacing w:after="0" w:line="265" w:lineRule="auto"/>
        <w:tabs>
          <w:tab w:leader="none" w:pos="26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 xml:space="preserve">Total Loans, </w:t>
      </w:r>
      <w:r>
        <w:rPr>
          <w:rFonts w:ascii="Arial" w:cs="Arial" w:eastAsia="Arial" w:hAnsi="Arial"/>
          <w:sz w:val="15"/>
          <w:szCs w:val="15"/>
          <w:color w:val="auto"/>
        </w:rPr>
        <w:t>measured in average daily balances (ADB) resumed growth by increasing 1.3% QoQ and 0.2% YoY. Sequential growth, which was driven</w:t>
      </w:r>
      <w:r>
        <w:rPr>
          <w:rFonts w:ascii="Arial" w:cs="Arial" w:eastAsia="Arial" w:hAnsi="Arial"/>
          <w:sz w:val="15"/>
          <w:szCs w:val="15"/>
          <w:b w:val="1"/>
          <w:bCs w:val="1"/>
          <w:color w:val="auto"/>
        </w:rPr>
        <w:t xml:space="preserve"> </w:t>
      </w:r>
      <w:r>
        <w:rPr>
          <w:rFonts w:ascii="Arial" w:cs="Arial" w:eastAsia="Arial" w:hAnsi="Arial"/>
          <w:sz w:val="15"/>
          <w:szCs w:val="15"/>
          <w:color w:val="auto"/>
        </w:rPr>
        <w:t>mainly by higher demand in Wholesale lending and to a lesser extent by growth in Retail loans at BCP, more than offset a contraction at Mibanco.</w:t>
      </w:r>
    </w:p>
    <w:p>
      <w:pPr>
        <w:spacing w:after="0" w:line="112" w:lineRule="exact"/>
        <w:rPr>
          <w:rFonts w:ascii="Arial" w:cs="Arial" w:eastAsia="Arial" w:hAnsi="Arial"/>
          <w:sz w:val="15"/>
          <w:szCs w:val="15"/>
          <w:color w:val="auto"/>
        </w:rPr>
      </w:pPr>
    </w:p>
    <w:p>
      <w:pPr>
        <w:ind w:left="260" w:hanging="251"/>
        <w:spacing w:after="0" w:line="265" w:lineRule="auto"/>
        <w:tabs>
          <w:tab w:leader="none" w:pos="26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 xml:space="preserve">Total Deposits </w:t>
      </w:r>
      <w:r>
        <w:rPr>
          <w:rFonts w:ascii="Arial" w:cs="Arial" w:eastAsia="Arial" w:hAnsi="Arial"/>
          <w:sz w:val="15"/>
          <w:szCs w:val="15"/>
          <w:color w:val="auto"/>
        </w:rPr>
        <w:t>increased 2.8% QoQ and 6.0% YoY, driven by growth in Low-Cost Deposits. Low-Cost Deposits accounted for 68.2% of total deposits and</w:t>
      </w:r>
      <w:r>
        <w:rPr>
          <w:rFonts w:ascii="Arial" w:cs="Arial" w:eastAsia="Arial" w:hAnsi="Arial"/>
          <w:sz w:val="15"/>
          <w:szCs w:val="15"/>
          <w:b w:val="1"/>
          <w:bCs w:val="1"/>
          <w:color w:val="auto"/>
        </w:rPr>
        <w:t xml:space="preserve"> </w:t>
      </w:r>
      <w:r>
        <w:rPr>
          <w:rFonts w:ascii="Arial" w:cs="Arial" w:eastAsia="Arial" w:hAnsi="Arial"/>
          <w:sz w:val="15"/>
          <w:szCs w:val="15"/>
          <w:color w:val="auto"/>
        </w:rPr>
        <w:t>remain the main source of funding.</w:t>
      </w:r>
    </w:p>
    <w:p>
      <w:pPr>
        <w:spacing w:after="0" w:line="112" w:lineRule="exact"/>
        <w:rPr>
          <w:rFonts w:ascii="Arial" w:cs="Arial" w:eastAsia="Arial" w:hAnsi="Arial"/>
          <w:sz w:val="15"/>
          <w:szCs w:val="15"/>
          <w:color w:val="auto"/>
        </w:rPr>
      </w:pPr>
    </w:p>
    <w:p>
      <w:pPr>
        <w:jc w:val="both"/>
        <w:ind w:left="260" w:hanging="251"/>
        <w:spacing w:after="0" w:line="247" w:lineRule="auto"/>
        <w:tabs>
          <w:tab w:leader="none" w:pos="26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 xml:space="preserve">Provisions </w:t>
      </w:r>
      <w:r>
        <w:rPr>
          <w:rFonts w:ascii="Arial" w:cs="Arial" w:eastAsia="Arial" w:hAnsi="Arial"/>
          <w:sz w:val="15"/>
          <w:szCs w:val="15"/>
          <w:color w:val="auto"/>
        </w:rPr>
        <w:t>increased 34.2% QoQ, impacted by a base effect given that last quarter, FEN provisions were reversed. If we isolate the impact of this effect,</w:t>
      </w:r>
      <w:r>
        <w:rPr>
          <w:rFonts w:ascii="Arial" w:cs="Arial" w:eastAsia="Arial" w:hAnsi="Arial"/>
          <w:sz w:val="15"/>
          <w:szCs w:val="15"/>
          <w:b w:val="1"/>
          <w:bCs w:val="1"/>
          <w:color w:val="auto"/>
        </w:rPr>
        <w:t xml:space="preserve"> </w:t>
      </w:r>
      <w:r>
        <w:rPr>
          <w:rFonts w:ascii="Arial" w:cs="Arial" w:eastAsia="Arial" w:hAnsi="Arial"/>
          <w:sz w:val="15"/>
          <w:szCs w:val="15"/>
          <w:color w:val="auto"/>
        </w:rPr>
        <w:t>provisions increased 2.4% QoQ mainly driven by Mibanco, which has been hard hit by the credit cycle in Peru. This evolution was partially offset by a drop in provisions at BCP. The Cost of Risk rose 76 bps QoQ (+5 bps when isolating the impact of reversals in 1Q24) and 81 bps YoY to stand at 3.0%.</w:t>
      </w:r>
    </w:p>
    <w:p>
      <w:pPr>
        <w:spacing w:after="0" w:line="125" w:lineRule="exact"/>
        <w:rPr>
          <w:rFonts w:ascii="Arial" w:cs="Arial" w:eastAsia="Arial" w:hAnsi="Arial"/>
          <w:sz w:val="15"/>
          <w:szCs w:val="15"/>
          <w:color w:val="auto"/>
        </w:rPr>
      </w:pPr>
    </w:p>
    <w:p>
      <w:pPr>
        <w:ind w:left="260" w:hanging="251"/>
        <w:spacing w:after="0" w:line="265" w:lineRule="auto"/>
        <w:tabs>
          <w:tab w:leader="none" w:pos="26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 xml:space="preserve">NPL Ratio </w:t>
      </w:r>
      <w:r>
        <w:rPr>
          <w:rFonts w:ascii="Arial" w:cs="Arial" w:eastAsia="Arial" w:hAnsi="Arial"/>
          <w:sz w:val="15"/>
          <w:szCs w:val="15"/>
          <w:color w:val="auto"/>
        </w:rPr>
        <w:t>declined 24 bps QoQ to stand at 6.0%. This evolution is explained by a reduced NPL ratio at BCP driven by an uptick in loan origination. This</w:t>
      </w:r>
      <w:r>
        <w:rPr>
          <w:rFonts w:ascii="Arial" w:cs="Arial" w:eastAsia="Arial" w:hAnsi="Arial"/>
          <w:sz w:val="15"/>
          <w:szCs w:val="15"/>
          <w:b w:val="1"/>
          <w:bCs w:val="1"/>
          <w:color w:val="auto"/>
        </w:rPr>
        <w:t xml:space="preserve"> </w:t>
      </w:r>
      <w:r>
        <w:rPr>
          <w:rFonts w:ascii="Arial" w:cs="Arial" w:eastAsia="Arial" w:hAnsi="Arial"/>
          <w:sz w:val="15"/>
          <w:szCs w:val="15"/>
          <w:color w:val="auto"/>
        </w:rPr>
        <w:t>dynamic was partially offset by an increase at Mibanco, due to higher delinquencies amid a loan portfolio contraction.</w:t>
      </w:r>
    </w:p>
    <w:p>
      <w:pPr>
        <w:spacing w:after="0" w:line="112" w:lineRule="exact"/>
        <w:rPr>
          <w:rFonts w:ascii="Arial" w:cs="Arial" w:eastAsia="Arial" w:hAnsi="Arial"/>
          <w:sz w:val="15"/>
          <w:szCs w:val="15"/>
          <w:color w:val="auto"/>
        </w:rPr>
      </w:pPr>
    </w:p>
    <w:p>
      <w:pPr>
        <w:jc w:val="both"/>
        <w:ind w:left="260" w:hanging="251"/>
        <w:spacing w:after="0" w:line="247" w:lineRule="auto"/>
        <w:tabs>
          <w:tab w:leader="none" w:pos="26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 xml:space="preserve">Core Income </w:t>
      </w:r>
      <w:r>
        <w:rPr>
          <w:rFonts w:ascii="Arial" w:cs="Arial" w:eastAsia="Arial" w:hAnsi="Arial"/>
          <w:sz w:val="15"/>
          <w:szCs w:val="15"/>
          <w:color w:val="auto"/>
        </w:rPr>
        <w:t>rose 3.9% QoQ and 10.5% YoY. The interannual expansion was driven by an 8.2% increase in NII, associated with the repricing of retail loans</w:t>
      </w:r>
      <w:r>
        <w:rPr>
          <w:rFonts w:ascii="Arial" w:cs="Arial" w:eastAsia="Arial" w:hAnsi="Arial"/>
          <w:sz w:val="15"/>
          <w:szCs w:val="15"/>
          <w:b w:val="1"/>
          <w:bCs w:val="1"/>
          <w:color w:val="auto"/>
        </w:rPr>
        <w:t xml:space="preserve"> </w:t>
      </w:r>
      <w:r>
        <w:rPr>
          <w:rFonts w:ascii="Arial" w:cs="Arial" w:eastAsia="Arial" w:hAnsi="Arial"/>
          <w:sz w:val="15"/>
          <w:szCs w:val="15"/>
          <w:color w:val="auto"/>
        </w:rPr>
        <w:t>at BCP in line with the higher cost of risk as well as the repricing of the U.S. dollar book. Additionally, Other Core Income increased 16.7% YoY mainly fueled by BCP through: (i) Yape, (ii) core transactional services at the bank, and iii) an uptick in FX transactions through digital channels.</w:t>
      </w:r>
    </w:p>
    <w:p>
      <w:pPr>
        <w:spacing w:after="0" w:line="125" w:lineRule="exact"/>
        <w:rPr>
          <w:rFonts w:ascii="Arial" w:cs="Arial" w:eastAsia="Arial" w:hAnsi="Arial"/>
          <w:sz w:val="15"/>
          <w:szCs w:val="15"/>
          <w:color w:val="auto"/>
        </w:rPr>
      </w:pPr>
    </w:p>
    <w:p>
      <w:pPr>
        <w:ind w:left="260" w:hanging="251"/>
        <w:spacing w:after="0" w:line="265" w:lineRule="auto"/>
        <w:tabs>
          <w:tab w:leader="none" w:pos="26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 xml:space="preserve">Insurance Underwriting Results </w:t>
      </w:r>
      <w:r>
        <w:rPr>
          <w:rFonts w:ascii="Arial" w:cs="Arial" w:eastAsia="Arial" w:hAnsi="Arial"/>
          <w:sz w:val="15"/>
          <w:szCs w:val="15"/>
          <w:color w:val="auto"/>
        </w:rPr>
        <w:t>increased 13.1% QoQ and 6.4% YoY. YoY growth was driven by a decrease in Insurance Service Expenses due to lower</w:t>
      </w:r>
      <w:r>
        <w:rPr>
          <w:rFonts w:ascii="Arial" w:cs="Arial" w:eastAsia="Arial" w:hAnsi="Arial"/>
          <w:sz w:val="15"/>
          <w:szCs w:val="15"/>
          <w:b w:val="1"/>
          <w:bCs w:val="1"/>
          <w:color w:val="auto"/>
        </w:rPr>
        <w:t xml:space="preserve"> </w:t>
      </w:r>
      <w:r>
        <w:rPr>
          <w:rFonts w:ascii="Arial" w:cs="Arial" w:eastAsia="Arial" w:hAnsi="Arial"/>
          <w:sz w:val="15"/>
          <w:szCs w:val="15"/>
          <w:color w:val="auto"/>
        </w:rPr>
        <w:t>claims, particularly via the Life business.</w:t>
      </w:r>
    </w:p>
    <w:p>
      <w:pPr>
        <w:spacing w:after="0" w:line="112" w:lineRule="exact"/>
        <w:rPr>
          <w:rFonts w:ascii="Arial" w:cs="Arial" w:eastAsia="Arial" w:hAnsi="Arial"/>
          <w:sz w:val="15"/>
          <w:szCs w:val="15"/>
          <w:color w:val="auto"/>
        </w:rPr>
      </w:pPr>
    </w:p>
    <w:p>
      <w:pPr>
        <w:ind w:left="260" w:hanging="251"/>
        <w:spacing w:after="0" w:line="265" w:lineRule="auto"/>
        <w:tabs>
          <w:tab w:leader="none" w:pos="26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 xml:space="preserve">Efficiency Ratio </w:t>
      </w:r>
      <w:r>
        <w:rPr>
          <w:rFonts w:ascii="Arial" w:cs="Arial" w:eastAsia="Arial" w:hAnsi="Arial"/>
          <w:sz w:val="15"/>
          <w:szCs w:val="15"/>
          <w:color w:val="auto"/>
        </w:rPr>
        <w:t>for 1S24 improved 19 bps YoY to 44.3%, mainly reflecting positive operating leverage. Operating expenses increased 9.2% YTD. Disruptive</w:t>
      </w:r>
      <w:r>
        <w:rPr>
          <w:rFonts w:ascii="Arial" w:cs="Arial" w:eastAsia="Arial" w:hAnsi="Arial"/>
          <w:sz w:val="15"/>
          <w:szCs w:val="15"/>
          <w:b w:val="1"/>
          <w:bCs w:val="1"/>
          <w:color w:val="auto"/>
        </w:rPr>
        <w:t xml:space="preserve"> </w:t>
      </w:r>
      <w:r>
        <w:rPr>
          <w:rFonts w:ascii="Arial" w:cs="Arial" w:eastAsia="Arial" w:hAnsi="Arial"/>
          <w:sz w:val="15"/>
          <w:szCs w:val="15"/>
          <w:color w:val="auto"/>
        </w:rPr>
        <w:t>initiatives expenses at Credicorp, which accounted for 11.7% of total expenses at the holding level, rose 29.2%.</w:t>
      </w:r>
    </w:p>
    <w:p>
      <w:pPr>
        <w:spacing w:after="0" w:line="112" w:lineRule="exact"/>
        <w:rPr>
          <w:rFonts w:ascii="Arial" w:cs="Arial" w:eastAsia="Arial" w:hAnsi="Arial"/>
          <w:sz w:val="15"/>
          <w:szCs w:val="15"/>
          <w:color w:val="auto"/>
        </w:rPr>
      </w:pPr>
    </w:p>
    <w:p>
      <w:pPr>
        <w:ind w:left="260" w:hanging="251"/>
        <w:spacing w:after="0" w:line="265" w:lineRule="auto"/>
        <w:tabs>
          <w:tab w:leader="none" w:pos="26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 xml:space="preserve">Yape </w:t>
      </w:r>
      <w:r>
        <w:rPr>
          <w:rFonts w:ascii="Arial" w:cs="Arial" w:eastAsia="Arial" w:hAnsi="Arial"/>
          <w:sz w:val="15"/>
          <w:szCs w:val="15"/>
          <w:color w:val="auto"/>
        </w:rPr>
        <w:t>reached break-even in May, with revenues for the quarter up 2.5x YoY driven by growth across its three main business lines: payments, financial and</w:t>
      </w:r>
      <w:r>
        <w:rPr>
          <w:rFonts w:ascii="Arial" w:cs="Arial" w:eastAsia="Arial" w:hAnsi="Arial"/>
          <w:sz w:val="15"/>
          <w:szCs w:val="15"/>
          <w:b w:val="1"/>
          <w:bCs w:val="1"/>
          <w:color w:val="auto"/>
        </w:rPr>
        <w:t xml:space="preserve"> </w:t>
      </w:r>
      <w:r>
        <w:rPr>
          <w:rFonts w:ascii="Arial" w:cs="Arial" w:eastAsia="Arial" w:hAnsi="Arial"/>
          <w:sz w:val="15"/>
          <w:szCs w:val="15"/>
          <w:color w:val="auto"/>
        </w:rPr>
        <w:t>marketplace. Monthly Active Users rose to 12.3 million in 2Q24, with 77% contributing to fee income (vs 75% in 1Q24).</w:t>
      </w:r>
    </w:p>
    <w:p>
      <w:pPr>
        <w:spacing w:after="0" w:line="112" w:lineRule="exact"/>
        <w:rPr>
          <w:rFonts w:ascii="Arial" w:cs="Arial" w:eastAsia="Arial" w:hAnsi="Arial"/>
          <w:sz w:val="15"/>
          <w:szCs w:val="15"/>
          <w:color w:val="auto"/>
        </w:rPr>
      </w:pPr>
    </w:p>
    <w:p>
      <w:pPr>
        <w:ind w:left="260" w:hanging="251"/>
        <w:spacing w:after="0" w:line="265" w:lineRule="auto"/>
        <w:tabs>
          <w:tab w:leader="none" w:pos="260"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Capital base remains strong</w:t>
      </w:r>
      <w:r>
        <w:rPr>
          <w:rFonts w:ascii="Arial" w:cs="Arial" w:eastAsia="Arial" w:hAnsi="Arial"/>
          <w:sz w:val="15"/>
          <w:szCs w:val="15"/>
          <w:color w:val="auto"/>
        </w:rPr>
        <w:t>. IFRS CET1 Ratio at BCP stood at 12.1% at quarter-end, down 74 bps QoQ, driven by growth in RWAs. IFRS CET1 Ratio at</w:t>
      </w:r>
      <w:r>
        <w:rPr>
          <w:rFonts w:ascii="Arial" w:cs="Arial" w:eastAsia="Arial" w:hAnsi="Arial"/>
          <w:sz w:val="15"/>
          <w:szCs w:val="15"/>
          <w:b w:val="1"/>
          <w:bCs w:val="1"/>
          <w:color w:val="auto"/>
        </w:rPr>
        <w:t xml:space="preserve"> </w:t>
      </w:r>
      <w:r>
        <w:rPr>
          <w:rFonts w:ascii="Arial" w:cs="Arial" w:eastAsia="Arial" w:hAnsi="Arial"/>
          <w:sz w:val="15"/>
          <w:szCs w:val="15"/>
          <w:color w:val="auto"/>
        </w:rPr>
        <w:t>Mibanco stood at 16.7% at quarter-end, after increasing 12 bps QoQ.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611505</wp:posOffset>
            </wp:positionV>
            <wp:extent cx="7164705"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82550</wp:posOffset>
            </wp:positionV>
            <wp:extent cx="1502410" cy="44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5263515</wp:posOffset>
            </wp:positionH>
            <wp:positionV relativeFrom="paragraph">
              <wp:posOffset>219710</wp:posOffset>
            </wp:positionV>
            <wp:extent cx="1750695" cy="306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50695" cy="306705"/>
                    </a:xfrm>
                    <a:prstGeom prst="rect">
                      <a:avLst/>
                    </a:prstGeom>
                    <a:noFill/>
                  </pic:spPr>
                </pic:pic>
              </a:graphicData>
            </a:graphic>
          </wp:anchor>
        </w:drawing>
      </w:r>
    </w:p>
    <w:p>
      <w:pPr>
        <w:sectPr>
          <w:pgSz w:w="11900" w:h="16838" w:orient="portrait"/>
          <w:cols w:equalWidth="0" w:num="1">
            <w:col w:w="10800"/>
          </w:cols>
          <w:pgMar w:left="540" w:top="298" w:right="559" w:bottom="1440" w:gutter="0" w:footer="0" w:header="0"/>
        </w:sectPr>
      </w:pPr>
    </w:p>
    <w:bookmarkStart w:id="7" w:name="page8"/>
    <w:bookmarkEnd w:id="7"/>
    <w:p>
      <w:pPr>
        <w:jc w:val="both"/>
        <w:ind w:left="2480"/>
        <w:spacing w:after="0"/>
        <w:tabs>
          <w:tab w:leader="none" w:pos="2680" w:val="left"/>
          <w:tab w:leader="none" w:pos="7680"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80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705" cy="588010"/>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Senior Management Quotes</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SENIOR MANAGEMENT QUOTES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4845685</wp:posOffset>
            </wp:positionV>
            <wp:extent cx="7164705"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103505</wp:posOffset>
            </wp:positionV>
            <wp:extent cx="7164705" cy="4657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705" cy="4657090"/>
                    </a:xfrm>
                    <a:prstGeom prst="rect">
                      <a:avLst/>
                    </a:prstGeom>
                    <a:noFill/>
                  </pic:spPr>
                </pic:pic>
              </a:graphicData>
            </a:graphic>
          </wp:anchor>
        </w:drawing>
      </w:r>
    </w:p>
    <w:p>
      <w:pPr>
        <w:sectPr>
          <w:pgSz w:w="11900" w:h="16838" w:orient="portrait"/>
          <w:cols w:equalWidth="0" w:num="1">
            <w:col w:w="10240"/>
          </w:cols>
          <w:pgMar w:left="540" w:top="298" w:right="1119" w:bottom="1440" w:gutter="0" w:footer="0" w:header="0"/>
        </w:sectPr>
      </w:pPr>
    </w:p>
    <w:bookmarkStart w:id="8" w:name="page9"/>
    <w:bookmarkEnd w:id="8"/>
    <w:p>
      <w:pPr>
        <w:ind w:left="2480"/>
        <w:spacing w:after="0"/>
        <w:tabs>
          <w:tab w:leader="none" w:pos="2680" w:val="left"/>
          <w:tab w:leader="none" w:pos="7680"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80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705" cy="588010"/>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Second Quarter 2024 Earnings Conference Call</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SECOND QUARTER 2024 EARNINGS CONFERENCE CALL</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121212"/>
        </w:rPr>
        <w:t xml:space="preserve">Date: </w:t>
      </w:r>
      <w:r>
        <w:rPr>
          <w:rFonts w:ascii="Arial" w:cs="Arial" w:eastAsia="Arial" w:hAnsi="Arial"/>
          <w:sz w:val="15"/>
          <w:szCs w:val="15"/>
          <w:color w:val="121212"/>
        </w:rPr>
        <w:t>Friday, August 9</w:t>
      </w:r>
      <w:r>
        <w:rPr>
          <w:rFonts w:ascii="Arial" w:cs="Arial" w:eastAsia="Arial" w:hAnsi="Arial"/>
          <w:sz w:val="25"/>
          <w:szCs w:val="25"/>
          <w:color w:val="121212"/>
          <w:vertAlign w:val="superscript"/>
        </w:rPr>
        <w:t>th</w:t>
      </w:r>
      <w:r>
        <w:rPr>
          <w:rFonts w:ascii="Arial" w:cs="Arial" w:eastAsia="Arial" w:hAnsi="Arial"/>
          <w:sz w:val="15"/>
          <w:szCs w:val="15"/>
          <w:color w:val="121212"/>
        </w:rPr>
        <w:t>, 2024</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color w:val="121212"/>
        </w:rPr>
        <w:t xml:space="preserve">Time: </w:t>
      </w:r>
      <w:r>
        <w:rPr>
          <w:rFonts w:ascii="Arial" w:cs="Arial" w:eastAsia="Arial" w:hAnsi="Arial"/>
          <w:sz w:val="15"/>
          <w:szCs w:val="15"/>
          <w:color w:val="121212"/>
        </w:rPr>
        <w:t>10:30 am ET (9:30 am Lima, Perú)</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5"/>
          <w:szCs w:val="15"/>
          <w:b w:val="1"/>
          <w:bCs w:val="1"/>
          <w:color w:val="121212"/>
        </w:rPr>
        <w:t xml:space="preserve">Hosts: </w:t>
      </w:r>
      <w:r>
        <w:rPr>
          <w:rFonts w:ascii="Arial" w:cs="Arial" w:eastAsia="Arial" w:hAnsi="Arial"/>
          <w:sz w:val="15"/>
          <w:szCs w:val="15"/>
          <w:color w:val="121212"/>
        </w:rPr>
        <w:t>Gianfranco Ferrari – Chief Executive Officer, Alejandro Perez Reyes - Chief Financial Officer, Francesca Raffo – Chief Innovation Officer, Cesar Rios -</w:t>
      </w:r>
      <w:r>
        <w:rPr>
          <w:rFonts w:ascii="Arial" w:cs="Arial" w:eastAsia="Arial" w:hAnsi="Arial"/>
          <w:sz w:val="15"/>
          <w:szCs w:val="15"/>
          <w:b w:val="1"/>
          <w:bCs w:val="1"/>
          <w:color w:val="121212"/>
        </w:rPr>
        <w:t xml:space="preserve"> </w:t>
      </w:r>
      <w:r>
        <w:rPr>
          <w:rFonts w:ascii="Arial" w:cs="Arial" w:eastAsia="Arial" w:hAnsi="Arial"/>
          <w:sz w:val="15"/>
          <w:szCs w:val="15"/>
          <w:color w:val="121212"/>
        </w:rPr>
        <w:t>Chief Risk Officer, Diego Cavero – Head of Universal Banking, Cesar Rivera - Head of Insurance and Pensions, Carlos Sotelo - Mibanco CFO and Investor Relations Team.</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auto"/>
        </w:rPr>
        <w:t>To pre-register for the listen-only webcast presentation use the following link:</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u w:val="single" w:color="auto"/>
          <w:color w:val="0562C1"/>
        </w:rPr>
        <w:t>https://dpregister.com/DiamondPassRegistration/register?confirmationNumber=10190970&amp;linkSecurityString=fd1637 0f96</w:t>
      </w:r>
    </w:p>
    <w:p>
      <w:pPr>
        <w:spacing w:after="0" w:line="143" w:lineRule="exact"/>
        <w:rPr>
          <w:sz w:val="20"/>
          <w:szCs w:val="20"/>
          <w:color w:val="auto"/>
        </w:rPr>
      </w:pPr>
    </w:p>
    <w:p>
      <w:pPr>
        <w:ind w:right="100"/>
        <w:spacing w:after="0" w:line="265" w:lineRule="auto"/>
        <w:rPr>
          <w:sz w:val="20"/>
          <w:szCs w:val="20"/>
          <w:color w:val="auto"/>
        </w:rPr>
      </w:pPr>
      <w:r>
        <w:rPr>
          <w:rFonts w:ascii="Arial" w:cs="Arial" w:eastAsia="Arial" w:hAnsi="Arial"/>
          <w:sz w:val="15"/>
          <w:szCs w:val="15"/>
          <w:color w:val="121212"/>
        </w:rPr>
        <w:t>Callers who pre-register will be given a conference passcode and unique PIN to gain immediate access to the call and bypass the live operator. Participants may pre-register at any time, including up to and after the call start time.</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121212"/>
        </w:rPr>
        <w:t>Those unable to pre-register may dial in by calling:</w:t>
      </w:r>
    </w:p>
    <w:p>
      <w:pPr>
        <w:spacing w:after="0" w:line="237" w:lineRule="auto"/>
        <w:rPr>
          <w:sz w:val="20"/>
          <w:szCs w:val="20"/>
          <w:color w:val="auto"/>
        </w:rPr>
      </w:pPr>
      <w:r>
        <w:rPr>
          <w:rFonts w:ascii="Arial" w:cs="Arial" w:eastAsia="Arial" w:hAnsi="Arial"/>
          <w:sz w:val="15"/>
          <w:szCs w:val="15"/>
          <w:b w:val="1"/>
          <w:bCs w:val="1"/>
          <w:color w:val="121212"/>
        </w:rPr>
        <w:t xml:space="preserve">1 844 435 0321 </w:t>
      </w:r>
      <w:r>
        <w:rPr>
          <w:rFonts w:ascii="Arial" w:cs="Arial" w:eastAsia="Arial" w:hAnsi="Arial"/>
          <w:sz w:val="15"/>
          <w:szCs w:val="15"/>
          <w:color w:val="121212"/>
        </w:rPr>
        <w:t>(U.S. toll free)</w:t>
      </w:r>
    </w:p>
    <w:p>
      <w:pPr>
        <w:spacing w:after="0" w:line="229" w:lineRule="auto"/>
        <w:rPr>
          <w:sz w:val="20"/>
          <w:szCs w:val="20"/>
          <w:color w:val="auto"/>
        </w:rPr>
      </w:pPr>
      <w:r>
        <w:rPr>
          <w:rFonts w:ascii="Arial" w:cs="Arial" w:eastAsia="Arial" w:hAnsi="Arial"/>
          <w:sz w:val="15"/>
          <w:szCs w:val="15"/>
          <w:b w:val="1"/>
          <w:bCs w:val="1"/>
          <w:color w:val="121212"/>
        </w:rPr>
        <w:t xml:space="preserve">1 412 317 5615 </w:t>
      </w:r>
      <w:r>
        <w:rPr>
          <w:rFonts w:ascii="Arial" w:cs="Arial" w:eastAsia="Arial" w:hAnsi="Arial"/>
          <w:sz w:val="15"/>
          <w:szCs w:val="15"/>
          <w:color w:val="121212"/>
        </w:rPr>
        <w:t>(International)</w:t>
      </w:r>
    </w:p>
    <w:p>
      <w:pPr>
        <w:spacing w:after="0" w:line="229" w:lineRule="auto"/>
        <w:rPr>
          <w:sz w:val="20"/>
          <w:szCs w:val="20"/>
          <w:color w:val="auto"/>
        </w:rPr>
      </w:pPr>
      <w:r>
        <w:rPr>
          <w:rFonts w:ascii="Arial" w:cs="Arial" w:eastAsia="Arial" w:hAnsi="Arial"/>
          <w:sz w:val="15"/>
          <w:szCs w:val="15"/>
          <w:b w:val="1"/>
          <w:bCs w:val="1"/>
          <w:color w:val="121212"/>
        </w:rPr>
        <w:t xml:space="preserve">Participant Web Phone: </w:t>
      </w:r>
      <w:r>
        <w:rPr>
          <w:rFonts w:ascii="Arial" w:cs="Arial" w:eastAsia="Arial" w:hAnsi="Arial"/>
          <w:sz w:val="15"/>
          <w:szCs w:val="15"/>
          <w:u w:val="single" w:color="auto"/>
          <w:color w:val="0562C1"/>
        </w:rPr>
        <w:t>Click Here</w:t>
      </w:r>
    </w:p>
    <w:p>
      <w:pPr>
        <w:spacing w:after="0"/>
        <w:rPr>
          <w:sz w:val="20"/>
          <w:szCs w:val="20"/>
          <w:color w:val="auto"/>
        </w:rPr>
      </w:pPr>
      <w:r>
        <w:rPr>
          <w:rFonts w:ascii="Arial" w:cs="Arial" w:eastAsia="Arial" w:hAnsi="Arial"/>
          <w:sz w:val="15"/>
          <w:szCs w:val="15"/>
          <w:b w:val="1"/>
          <w:bCs w:val="1"/>
          <w:color w:val="121212"/>
        </w:rPr>
        <w:t>Conference ID: Credicorp Conference Call</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121212"/>
        </w:rPr>
        <w:t>The webcast will be archived for one year on our investor relations website at: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u w:val="single" w:color="auto"/>
          <w:color w:val="0562C1"/>
        </w:rPr>
        <w:t>https://credicorp.gcs-web.com/events-and-presentations/upcoming-events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121212"/>
        </w:rPr>
        <w:t>For a full version of Credicorp´s First Quarter 2024 Earnings Release, please visit: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u w:val="single" w:color="auto"/>
          <w:color w:val="0562C1"/>
        </w:rPr>
        <w:t>https://credicorp.gcs-web.com/financial-information/quarterly-results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630555</wp:posOffset>
            </wp:positionV>
            <wp:extent cx="7164705"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100965</wp:posOffset>
            </wp:positionV>
            <wp:extent cx="1502410" cy="443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5263515</wp:posOffset>
            </wp:positionH>
            <wp:positionV relativeFrom="paragraph">
              <wp:posOffset>238125</wp:posOffset>
            </wp:positionV>
            <wp:extent cx="1750695" cy="306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50695" cy="306705"/>
                    </a:xfrm>
                    <a:prstGeom prst="rect">
                      <a:avLst/>
                    </a:prstGeom>
                    <a:noFill/>
                  </pic:spPr>
                </pic:pic>
              </a:graphicData>
            </a:graphic>
          </wp:anchor>
        </w:drawing>
      </w:r>
    </w:p>
    <w:p>
      <w:pPr>
        <w:sectPr>
          <w:pgSz w:w="11900" w:h="16838" w:orient="portrait"/>
          <w:cols w:equalWidth="0" w:num="1">
            <w:col w:w="10800"/>
          </w:cols>
          <w:pgMar w:left="540" w:top="298" w:right="559" w:bottom="1440" w:gutter="0" w:footer="0" w:header="0"/>
        </w:sectPr>
      </w:pPr>
    </w:p>
    <w:bookmarkStart w:id="9" w:name="page10"/>
    <w:bookmarkEnd w:id="9"/>
    <w:p>
      <w:pPr>
        <w:ind w:left="2480"/>
        <w:spacing w:after="0"/>
        <w:tabs>
          <w:tab w:leader="none" w:pos="2680" w:val="left"/>
          <w:tab w:leader="none" w:pos="7680"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746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705" cy="574675"/>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ectPr>
          <w:pgSz w:w="11900" w:h="16838" w:orient="portrait"/>
          <w:cols w:equalWidth="0" w:num="1">
            <w:col w:w="10240"/>
          </w:cols>
          <w:pgMar w:left="540" w:top="29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2AD2C8"/>
        </w:rPr>
        <w:t>Loans in average daily balances (ADB)</w:t>
      </w:r>
    </w:p>
    <w:p>
      <w:pPr>
        <w:spacing w:after="0" w:line="168" w:lineRule="exact"/>
        <w:rPr>
          <w:sz w:val="20"/>
          <w:szCs w:val="20"/>
          <w:color w:val="auto"/>
        </w:rPr>
      </w:pPr>
    </w:p>
    <w:p>
      <w:pPr>
        <w:jc w:val="both"/>
        <w:ind w:right="5060"/>
        <w:spacing w:after="0" w:line="236" w:lineRule="auto"/>
        <w:rPr>
          <w:sz w:val="20"/>
          <w:szCs w:val="20"/>
          <w:color w:val="auto"/>
        </w:rPr>
      </w:pPr>
      <w:r>
        <w:rPr>
          <w:rFonts w:ascii="Arial" w:cs="Arial" w:eastAsia="Arial" w:hAnsi="Arial"/>
          <w:sz w:val="14"/>
          <w:szCs w:val="14"/>
          <w:color w:val="auto"/>
        </w:rPr>
        <w:t>After a challenging first quarter, total loans began to show signs of recovery. Total loans measured in average daily balance increased 1.3% QoQ to stand at S/142,253 million. This evolution was driven mainly by: (i) Corporate Banking at BCP, which experienced an uptick in demand and (ii) SME Business, after a weak first quarter. Growth this quarter was partially offset by a contraction in Mibanco, Middle Market Banking, and SME-Pyme.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-594360</wp:posOffset>
            </wp:positionV>
            <wp:extent cx="2351405" cy="15151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51405" cy="1515110"/>
                    </a:xfrm>
                    <a:prstGeom prst="rect">
                      <a:avLst/>
                    </a:prstGeom>
                    <a:noFill/>
                  </pic:spPr>
                </pic:pic>
              </a:graphicData>
            </a:graphic>
          </wp:anchor>
        </w:drawing>
      </w:r>
    </w:p>
    <w:p>
      <w:pPr>
        <w:spacing w:after="0" w:line="110" w:lineRule="exact"/>
        <w:rPr>
          <w:sz w:val="20"/>
          <w:szCs w:val="20"/>
          <w:color w:val="auto"/>
        </w:rPr>
      </w:pPr>
    </w:p>
    <w:p>
      <w:pPr>
        <w:jc w:val="both"/>
        <w:ind w:right="5060"/>
        <w:spacing w:after="0" w:line="239" w:lineRule="auto"/>
        <w:rPr>
          <w:sz w:val="20"/>
          <w:szCs w:val="20"/>
          <w:color w:val="auto"/>
        </w:rPr>
      </w:pPr>
      <w:r>
        <w:rPr>
          <w:rFonts w:ascii="Arial" w:cs="Arial" w:eastAsia="Arial" w:hAnsi="Arial"/>
          <w:sz w:val="14"/>
          <w:szCs w:val="14"/>
          <w:color w:val="auto"/>
        </w:rPr>
        <w:t>YoY, the increase in total loans stood at 0.2%, driven primarily by: (i) Mortgage at BCP, (ii) Middle Market Banking at BCP, and (iii) BCP Bolivia. This inter-annual loan growth was partially offset by a decrease in the loan balance, which was driven by Mibanco, SME-Pyme, SME Business, and Corporate Banking.</w:t>
      </w:r>
    </w:p>
    <w:p>
      <w:pPr>
        <w:spacing w:after="0" w:line="130" w:lineRule="exact"/>
        <w:rPr>
          <w:sz w:val="20"/>
          <w:szCs w:val="20"/>
          <w:color w:val="auto"/>
        </w:rPr>
      </w:pPr>
    </w:p>
    <w:p>
      <w:pPr>
        <w:jc w:val="both"/>
        <w:ind w:right="5060"/>
        <w:spacing w:after="0" w:line="258" w:lineRule="auto"/>
        <w:rPr>
          <w:sz w:val="20"/>
          <w:szCs w:val="20"/>
          <w:color w:val="auto"/>
        </w:rPr>
      </w:pPr>
      <w:r>
        <w:rPr>
          <w:rFonts w:ascii="Arial" w:cs="Arial" w:eastAsia="Arial" w:hAnsi="Arial"/>
          <w:sz w:val="14"/>
          <w:szCs w:val="14"/>
          <w:color w:val="auto"/>
        </w:rPr>
        <w:t>YTD, loans in ADB dropped 1.5%, mainly via decreases in Corporate Banking and Mibanco.</w:t>
      </w:r>
    </w:p>
    <w:p>
      <w:pPr>
        <w:spacing w:after="0" w:line="117" w:lineRule="exact"/>
        <w:rPr>
          <w:sz w:val="20"/>
          <w:szCs w:val="20"/>
          <w:color w:val="auto"/>
        </w:rPr>
      </w:pPr>
    </w:p>
    <w:p>
      <w:pPr>
        <w:jc w:val="both"/>
        <w:ind w:right="5060"/>
        <w:spacing w:after="0" w:line="258" w:lineRule="auto"/>
        <w:rPr>
          <w:sz w:val="20"/>
          <w:szCs w:val="20"/>
          <w:color w:val="auto"/>
        </w:rPr>
      </w:pPr>
      <w:r>
        <w:rPr>
          <w:rFonts w:ascii="Arial" w:cs="Arial" w:eastAsia="Arial" w:hAnsi="Arial"/>
          <w:sz w:val="14"/>
          <w:szCs w:val="14"/>
          <w:color w:val="auto"/>
        </w:rPr>
        <w:t>The Government Loan portfolio (GP) represented 1.5% of total loans this quarter and was concentrated in the SME-Pyme and SME Business segments at BCP.</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color w:val="2AD2C8"/>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-126365</wp:posOffset>
            </wp:positionV>
            <wp:extent cx="2351405" cy="17113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51405" cy="1711325"/>
                    </a:xfrm>
                    <a:prstGeom prst="rect">
                      <a:avLst/>
                    </a:prstGeom>
                    <a:noFill/>
                  </pic:spPr>
                </pic:pic>
              </a:graphicData>
            </a:graphic>
          </wp:anchor>
        </w:drawing>
      </w:r>
    </w:p>
    <w:p>
      <w:pPr>
        <w:spacing w:after="0" w:line="148" w:lineRule="exact"/>
        <w:rPr>
          <w:sz w:val="20"/>
          <w:szCs w:val="20"/>
          <w:color w:val="auto"/>
        </w:rPr>
      </w:pPr>
    </w:p>
    <w:p>
      <w:pPr>
        <w:jc w:val="both"/>
        <w:ind w:right="5060"/>
        <w:spacing w:after="0" w:line="244" w:lineRule="auto"/>
        <w:rPr>
          <w:sz w:val="20"/>
          <w:szCs w:val="20"/>
          <w:color w:val="auto"/>
        </w:rPr>
      </w:pPr>
      <w:r>
        <w:rPr>
          <w:rFonts w:ascii="Arial" w:cs="Arial" w:eastAsia="Arial" w:hAnsi="Arial"/>
          <w:sz w:val="14"/>
          <w:szCs w:val="14"/>
          <w:color w:val="auto"/>
        </w:rPr>
        <w:t>Our deposit base, measured in quarter-end balances, expanded 2.8% YoY. This evolution was driven by growth in Demand and Savings Deposits (Low-cost Deposits) and partially offset by a drop in Time Deposit balances.</w:t>
      </w:r>
    </w:p>
    <w:p>
      <w:pPr>
        <w:spacing w:after="0" w:line="126" w:lineRule="exact"/>
        <w:rPr>
          <w:sz w:val="20"/>
          <w:szCs w:val="20"/>
          <w:color w:val="auto"/>
        </w:rPr>
      </w:pPr>
    </w:p>
    <w:p>
      <w:pPr>
        <w:jc w:val="both"/>
        <w:ind w:right="5060"/>
        <w:spacing w:after="0" w:line="258" w:lineRule="auto"/>
        <w:rPr>
          <w:sz w:val="20"/>
          <w:szCs w:val="20"/>
          <w:color w:val="auto"/>
        </w:rPr>
      </w:pPr>
      <w:r>
        <w:rPr>
          <w:rFonts w:ascii="Arial" w:cs="Arial" w:eastAsia="Arial" w:hAnsi="Arial"/>
          <w:sz w:val="14"/>
          <w:szCs w:val="14"/>
          <w:color w:val="auto"/>
        </w:rPr>
        <w:t>YoY, the deposit base grew 6.0%. This evolution was driven by Low-cost deposits, which increased 11.0% and accounted for 68.2% of total deposits at quarter-end.</w:t>
      </w:r>
    </w:p>
    <w:p>
      <w:pPr>
        <w:spacing w:after="0" w:line="117" w:lineRule="exact"/>
        <w:rPr>
          <w:sz w:val="20"/>
          <w:szCs w:val="20"/>
          <w:color w:val="auto"/>
        </w:rPr>
      </w:pPr>
    </w:p>
    <w:p>
      <w:pPr>
        <w:jc w:val="both"/>
        <w:ind w:right="5060"/>
        <w:spacing w:after="0" w:line="239" w:lineRule="auto"/>
        <w:rPr>
          <w:sz w:val="20"/>
          <w:szCs w:val="20"/>
          <w:color w:val="auto"/>
        </w:rPr>
      </w:pPr>
      <w:r>
        <w:rPr>
          <w:rFonts w:ascii="Arial" w:cs="Arial" w:eastAsia="Arial" w:hAnsi="Arial"/>
          <w:sz w:val="14"/>
          <w:szCs w:val="14"/>
          <w:color w:val="auto"/>
        </w:rPr>
        <w:t>At BCP, the Liquidity Coverage Ratio (LCR) in PEN at 30 days currency stood at 170.1% under regulatory standards and 135.5% based on more stringent internal standards. On its part, the USD 30-day LCR stood at 151.6% and 118.4% under regulatory and more stringent internal standards, respectively.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color w:val="2AD2C8"/>
        </w:rPr>
        <w:t>Net Interest Income (NII) and Net Interest Margin (NIM)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-27940</wp:posOffset>
            </wp:positionV>
            <wp:extent cx="2266315" cy="15024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66315" cy="1502410"/>
                    </a:xfrm>
                    <a:prstGeom prst="rect">
                      <a:avLst/>
                    </a:prstGeom>
                    <a:noFill/>
                  </pic:spPr>
                </pic:pic>
              </a:graphicData>
            </a:graphic>
          </wp:anchor>
        </w:drawing>
      </w:r>
    </w:p>
    <w:p>
      <w:pPr>
        <w:spacing w:after="0" w:line="148" w:lineRule="exact"/>
        <w:rPr>
          <w:sz w:val="20"/>
          <w:szCs w:val="20"/>
          <w:color w:val="auto"/>
        </w:rPr>
      </w:pPr>
    </w:p>
    <w:p>
      <w:pPr>
        <w:jc w:val="both"/>
        <w:ind w:right="5060"/>
        <w:spacing w:after="0" w:line="236" w:lineRule="auto"/>
        <w:rPr>
          <w:sz w:val="20"/>
          <w:szCs w:val="20"/>
          <w:color w:val="auto"/>
        </w:rPr>
      </w:pPr>
      <w:r>
        <w:rPr>
          <w:rFonts w:ascii="Arial" w:cs="Arial" w:eastAsia="Arial" w:hAnsi="Arial"/>
          <w:sz w:val="14"/>
          <w:szCs w:val="14"/>
          <w:color w:val="auto"/>
        </w:rPr>
        <w:t>NII increased 1.2% QoQ to stand at S/3,468 million. This evolution was driven primarily by a drop in Interest and similar expenses, in line with a decrease in the cost of the deposit mix via an uptick in low-cost deposit balances and a reduction in time deposit balances. Similar income and Yields, which rose on the back of an increase in income from loans, played a secondary role in growth in NII. In this context, NIM stood at 6.33% at quarter-end.</w:t>
      </w:r>
    </w:p>
    <w:p>
      <w:pPr>
        <w:spacing w:after="0" w:line="130" w:lineRule="exact"/>
        <w:rPr>
          <w:sz w:val="20"/>
          <w:szCs w:val="20"/>
          <w:color w:val="auto"/>
        </w:rPr>
      </w:pPr>
    </w:p>
    <w:p>
      <w:pPr>
        <w:ind w:right="5080"/>
        <w:spacing w:after="0" w:line="244" w:lineRule="auto"/>
        <w:rPr>
          <w:sz w:val="20"/>
          <w:szCs w:val="20"/>
          <w:color w:val="auto"/>
        </w:rPr>
      </w:pPr>
      <w:r>
        <w:rPr>
          <w:rFonts w:ascii="Arial" w:cs="Arial" w:eastAsia="Arial" w:hAnsi="Arial"/>
          <w:sz w:val="14"/>
          <w:szCs w:val="14"/>
          <w:color w:val="auto"/>
        </w:rPr>
        <w:t>YoY, NII rose 8.2%, impacted primarily by: (i) repricing of our retail loans to reflect the current phase of the credit cycle, (ii) repricing of our US Dollar book, in line with an increase in FED rates and (iii) a positive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995680</wp:posOffset>
            </wp:positionV>
            <wp:extent cx="7164705"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466725</wp:posOffset>
            </wp:positionV>
            <wp:extent cx="1502410" cy="443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5289550</wp:posOffset>
            </wp:positionH>
            <wp:positionV relativeFrom="paragraph">
              <wp:posOffset>610870</wp:posOffset>
            </wp:positionV>
            <wp:extent cx="1724025" cy="3003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24025" cy="300355"/>
                    </a:xfrm>
                    <a:prstGeom prst="rect">
                      <a:avLst/>
                    </a:prstGeom>
                    <a:noFill/>
                  </pic:spPr>
                </pic:pic>
              </a:graphicData>
            </a:graphic>
          </wp:anchor>
        </w:drawing>
      </w:r>
    </w:p>
    <w:p>
      <w:pPr>
        <w:sectPr>
          <w:pgSz w:w="11900" w:h="16838" w:orient="portrait"/>
          <w:cols w:equalWidth="0" w:num="1">
            <w:col w:w="10240"/>
          </w:cols>
          <w:pgMar w:left="540" w:top="298" w:right="1119" w:bottom="1440" w:gutter="0" w:footer="0" w:header="0"/>
          <w:type w:val="continuous"/>
        </w:sectPr>
      </w:pPr>
    </w:p>
    <w:bookmarkStart w:id="10" w:name="page11"/>
    <w:bookmarkEnd w:id="10"/>
    <w:p>
      <w:pPr>
        <w:ind w:left="2480"/>
        <w:spacing w:after="0"/>
        <w:tabs>
          <w:tab w:leader="none" w:pos="2680" w:val="left"/>
          <w:tab w:leader="none" w:pos="7680"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746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705" cy="574675"/>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ectPr>
          <w:pgSz w:w="11900" w:h="16838" w:orient="portrait"/>
          <w:cols w:equalWidth="0" w:num="1">
            <w:col w:w="10240"/>
          </w:cols>
          <w:pgMar w:left="540" w:top="29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5060"/>
        <w:spacing w:after="0" w:line="258" w:lineRule="auto"/>
        <w:rPr>
          <w:sz w:val="20"/>
          <w:szCs w:val="20"/>
          <w:color w:val="auto"/>
        </w:rPr>
      </w:pPr>
      <w:r>
        <w:rPr>
          <w:rFonts w:ascii="Arial" w:cs="Arial" w:eastAsia="Arial" w:hAnsi="Arial"/>
          <w:sz w:val="14"/>
          <w:szCs w:val="14"/>
          <w:color w:val="auto"/>
        </w:rPr>
        <w:t>volume effect from the investment portfolio and Middle-Market loans. In this context, NIM rose 31 bps YoY.</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color w:val="2AD2C8"/>
        </w:rPr>
        <w:t>Portfolio Quality and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-27940</wp:posOffset>
            </wp:positionV>
            <wp:extent cx="2351405" cy="16002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51405" cy="1600200"/>
                    </a:xfrm>
                    <a:prstGeom prst="rect">
                      <a:avLst/>
                    </a:prstGeom>
                    <a:noFill/>
                  </pic:spPr>
                </pic:pic>
              </a:graphicData>
            </a:graphic>
          </wp:anchor>
        </w:drawing>
      </w:r>
    </w:p>
    <w:p>
      <w:pPr>
        <w:spacing w:after="0" w:line="148" w:lineRule="exact"/>
        <w:rPr>
          <w:sz w:val="20"/>
          <w:szCs w:val="20"/>
          <w:color w:val="auto"/>
        </w:rPr>
      </w:pPr>
    </w:p>
    <w:p>
      <w:pPr>
        <w:jc w:val="both"/>
        <w:ind w:right="5060"/>
        <w:spacing w:after="0" w:line="244" w:lineRule="auto"/>
        <w:rPr>
          <w:sz w:val="20"/>
          <w:szCs w:val="20"/>
          <w:color w:val="auto"/>
        </w:rPr>
      </w:pPr>
      <w:r>
        <w:rPr>
          <w:rFonts w:ascii="Arial" w:cs="Arial" w:eastAsia="Arial" w:hAnsi="Arial"/>
          <w:sz w:val="14"/>
          <w:szCs w:val="14"/>
          <w:color w:val="auto"/>
        </w:rPr>
        <w:t>QoQ, the NPL balance increased by 0.3%, driven by Mibanco, where higher levels of non-performing loans were recorded, particularly in the Government Program portfolio and in the loan portfolio for vulnerable clients.</w:t>
      </w:r>
    </w:p>
    <w:p>
      <w:pPr>
        <w:spacing w:after="0" w:line="126" w:lineRule="exact"/>
        <w:rPr>
          <w:sz w:val="20"/>
          <w:szCs w:val="20"/>
          <w:color w:val="auto"/>
        </w:rPr>
      </w:pPr>
    </w:p>
    <w:p>
      <w:pPr>
        <w:jc w:val="both"/>
        <w:ind w:right="5060"/>
        <w:spacing w:after="0" w:line="239" w:lineRule="auto"/>
        <w:rPr>
          <w:sz w:val="20"/>
          <w:szCs w:val="20"/>
          <w:color w:val="auto"/>
        </w:rPr>
      </w:pPr>
      <w:r>
        <w:rPr>
          <w:rFonts w:ascii="Arial" w:cs="Arial" w:eastAsia="Arial" w:hAnsi="Arial"/>
          <w:sz w:val="14"/>
          <w:szCs w:val="14"/>
          <w:color w:val="auto"/>
        </w:rPr>
        <w:t xml:space="preserve">YoY, the NPL balance rose 9.0%, fueled by BCP. Growth in NPLs was led by (i) </w:t>
      </w:r>
      <w:r>
        <w:rPr>
          <w:rFonts w:ascii="Arial" w:cs="Arial" w:eastAsia="Arial" w:hAnsi="Arial"/>
          <w:sz w:val="14"/>
          <w:szCs w:val="14"/>
          <w:b w:val="1"/>
          <w:bCs w:val="1"/>
          <w:color w:val="auto"/>
        </w:rPr>
        <w:t>Consumer</w:t>
      </w:r>
      <w:r>
        <w:rPr>
          <w:rFonts w:ascii="Arial" w:cs="Arial" w:eastAsia="Arial" w:hAnsi="Arial"/>
          <w:sz w:val="14"/>
          <w:szCs w:val="14"/>
          <w:color w:val="auto"/>
        </w:rPr>
        <w:t>, where higher levels of refinancing were recorded; (ii)</w:t>
      </w:r>
      <w:r>
        <w:rPr>
          <w:rFonts w:ascii="Arial" w:cs="Arial" w:eastAsia="Arial" w:hAnsi="Arial"/>
          <w:sz w:val="14"/>
          <w:szCs w:val="14"/>
          <w:b w:val="1"/>
          <w:bCs w:val="1"/>
          <w:color w:val="auto"/>
        </w:rPr>
        <w:t xml:space="preserve"> Wholesale</w:t>
      </w:r>
      <w:r>
        <w:rPr>
          <w:rFonts w:ascii="Arial" w:cs="Arial" w:eastAsia="Arial" w:hAnsi="Arial"/>
          <w:sz w:val="14"/>
          <w:szCs w:val="14"/>
          <w:color w:val="auto"/>
        </w:rPr>
        <w:t>, via</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refinancing for some corporate clients; and (iii) </w:t>
      </w:r>
      <w:r>
        <w:rPr>
          <w:rFonts w:ascii="Arial" w:cs="Arial" w:eastAsia="Arial" w:hAnsi="Arial"/>
          <w:sz w:val="14"/>
          <w:szCs w:val="14"/>
          <w:b w:val="1"/>
          <w:bCs w:val="1"/>
          <w:color w:val="auto"/>
        </w:rPr>
        <w:t>Mortgage,</w:t>
      </w:r>
      <w:r>
        <w:rPr>
          <w:rFonts w:ascii="Arial" w:cs="Arial" w:eastAsia="Arial" w:hAnsi="Arial"/>
          <w:sz w:val="14"/>
          <w:szCs w:val="14"/>
          <w:color w:val="auto"/>
        </w:rPr>
        <w:t xml:space="preserve"> through growth in NPLs among vulnerable clients.</w:t>
      </w:r>
    </w:p>
    <w:p>
      <w:pPr>
        <w:spacing w:after="0" w:line="130" w:lineRule="exact"/>
        <w:rPr>
          <w:sz w:val="20"/>
          <w:szCs w:val="20"/>
          <w:color w:val="auto"/>
        </w:rPr>
      </w:pPr>
    </w:p>
    <w:p>
      <w:pPr>
        <w:jc w:val="both"/>
        <w:ind w:right="5060"/>
        <w:spacing w:after="0" w:line="237" w:lineRule="auto"/>
        <w:rPr>
          <w:sz w:val="20"/>
          <w:szCs w:val="20"/>
          <w:color w:val="auto"/>
        </w:rPr>
      </w:pPr>
      <w:r>
        <w:rPr>
          <w:rFonts w:ascii="Arial" w:cs="Arial" w:eastAsia="Arial" w:hAnsi="Arial"/>
          <w:sz w:val="14"/>
          <w:szCs w:val="14"/>
          <w:color w:val="auto"/>
        </w:rPr>
        <w:t>In this context, the NPL ratio stood at 6.0% at quarter-end. QoQ, the NPL ratio fell 24 bps, driven primarily by loan growth and by the same factors that fueled growth in NPLs over the period. YoY, the NPL ratio increased 33 bps, fueled mainly an increase in NPLs, via the factors described above, and partially offset by loan growth over the same period.</w:t>
      </w:r>
    </w:p>
    <w:p>
      <w:pPr>
        <w:spacing w:after="0" w:line="265" w:lineRule="exact"/>
        <w:rPr>
          <w:sz w:val="20"/>
          <w:szCs w:val="20"/>
          <w:color w:val="auto"/>
        </w:rPr>
      </w:pPr>
    </w:p>
    <w:p>
      <w:pPr>
        <w:jc w:val="both"/>
        <w:ind w:right="5060"/>
        <w:spacing w:after="0" w:line="233" w:lineRule="auto"/>
        <w:rPr>
          <w:sz w:val="20"/>
          <w:szCs w:val="20"/>
          <w:color w:val="auto"/>
        </w:rPr>
      </w:pPr>
      <w:r>
        <w:rPr>
          <w:rFonts w:ascii="Arial" w:cs="Arial" w:eastAsia="Arial" w:hAnsi="Arial"/>
          <w:sz w:val="14"/>
          <w:szCs w:val="14"/>
          <w:color w:val="auto"/>
        </w:rPr>
        <w:t xml:space="preserve">Provisions increased 34.2% QoQ, reflecting the impact of the reversal of the El Niño provisions in the prior quarter. After isolating this effect, provisions rose 2.4% QoQ, fueled by Mibanco and partially offset by BCP. At </w:t>
      </w:r>
      <w:r>
        <w:rPr>
          <w:rFonts w:ascii="Arial" w:cs="Arial" w:eastAsia="Arial" w:hAnsi="Arial"/>
          <w:sz w:val="14"/>
          <w:szCs w:val="14"/>
          <w:b w:val="1"/>
          <w:bCs w:val="1"/>
          <w:color w:val="auto"/>
        </w:rPr>
        <w:t>Mibanco</w:t>
      </w:r>
      <w:r>
        <w:rPr>
          <w:rFonts w:ascii="Arial" w:cs="Arial" w:eastAsia="Arial" w:hAnsi="Arial"/>
          <w:sz w:val="14"/>
          <w:szCs w:val="14"/>
          <w:color w:val="auto"/>
        </w:rPr>
        <w:t xml:space="preserve">, growth in provisions was mainly attributable to an increase in deterioration of old vintages, higher write-offs, and to a weakening in the payment capacities of vulnerable clients. At </w:t>
      </w:r>
      <w:r>
        <w:rPr>
          <w:rFonts w:ascii="Arial" w:cs="Arial" w:eastAsia="Arial" w:hAnsi="Arial"/>
          <w:sz w:val="14"/>
          <w:szCs w:val="14"/>
          <w:b w:val="1"/>
          <w:bCs w:val="1"/>
          <w:color w:val="auto"/>
        </w:rPr>
        <w:t>BCP</w:t>
      </w:r>
      <w:r>
        <w:rPr>
          <w:rFonts w:ascii="Arial" w:cs="Arial" w:eastAsia="Arial" w:hAnsi="Arial"/>
          <w:sz w:val="14"/>
          <w:szCs w:val="14"/>
          <w:color w:val="auto"/>
        </w:rPr>
        <w:t xml:space="preserve">, the provisions level dropped through: (i) </w:t>
      </w:r>
      <w:r>
        <w:rPr>
          <w:rFonts w:ascii="Arial" w:cs="Arial" w:eastAsia="Arial" w:hAnsi="Arial"/>
          <w:sz w:val="14"/>
          <w:szCs w:val="14"/>
          <w:b w:val="1"/>
          <w:bCs w:val="1"/>
          <w:color w:val="auto"/>
        </w:rPr>
        <w:t>Consumer</w:t>
      </w:r>
      <w:r>
        <w:rPr>
          <w:rFonts w:ascii="Arial" w:cs="Arial" w:eastAsia="Arial" w:hAnsi="Arial"/>
          <w:sz w:val="14"/>
          <w:szCs w:val="14"/>
          <w:color w:val="auto"/>
        </w:rPr>
        <w:t xml:space="preserve">, due to a drop in the volume of new refinancing loans, and (ii) </w:t>
      </w:r>
      <w:r>
        <w:rPr>
          <w:rFonts w:ascii="Arial" w:cs="Arial" w:eastAsia="Arial" w:hAnsi="Arial"/>
          <w:sz w:val="14"/>
          <w:szCs w:val="14"/>
          <w:b w:val="1"/>
          <w:bCs w:val="1"/>
          <w:color w:val="auto"/>
        </w:rPr>
        <w:t>Mortgage</w:t>
      </w:r>
      <w:r>
        <w:rPr>
          <w:rFonts w:ascii="Arial" w:cs="Arial" w:eastAsia="Arial" w:hAnsi="Arial"/>
          <w:sz w:val="14"/>
          <w:szCs w:val="14"/>
          <w:color w:val="auto"/>
        </w:rPr>
        <w:t xml:space="preserve">, through a strengthening in clients payment capacity. YoY, provisions rose 35.9%, driven primarily by BCP. The following dynamics were noteworthy: (i) </w:t>
      </w:r>
      <w:r>
        <w:rPr>
          <w:rFonts w:ascii="Arial" w:cs="Arial" w:eastAsia="Arial" w:hAnsi="Arial"/>
          <w:sz w:val="14"/>
          <w:szCs w:val="14"/>
          <w:b w:val="1"/>
          <w:bCs w:val="1"/>
          <w:color w:val="auto"/>
        </w:rPr>
        <w:t>SME,</w:t>
      </w:r>
      <w:r>
        <w:rPr>
          <w:rFonts w:ascii="Arial" w:cs="Arial" w:eastAsia="Arial" w:hAnsi="Arial"/>
          <w:sz w:val="14"/>
          <w:szCs w:val="14"/>
          <w:color w:val="auto"/>
        </w:rPr>
        <w:t xml:space="preserve"> due to deterioration of payment capacity in vulnerable clients and (ii) </w:t>
      </w:r>
      <w:r>
        <w:rPr>
          <w:rFonts w:ascii="Arial" w:cs="Arial" w:eastAsia="Arial" w:hAnsi="Arial"/>
          <w:sz w:val="14"/>
          <w:szCs w:val="14"/>
          <w:b w:val="1"/>
          <w:bCs w:val="1"/>
          <w:color w:val="auto"/>
        </w:rPr>
        <w:t>Credit Cards,</w:t>
      </w:r>
      <w:r>
        <w:rPr>
          <w:rFonts w:ascii="Arial" w:cs="Arial" w:eastAsia="Arial" w:hAnsi="Arial"/>
          <w:sz w:val="14"/>
          <w:szCs w:val="14"/>
          <w:color w:val="auto"/>
        </w:rPr>
        <w:t xml:space="preserve"> which registered a deterioration in clients’ payment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-1083310</wp:posOffset>
            </wp:positionV>
            <wp:extent cx="2351405" cy="13912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51405" cy="1391285"/>
                    </a:xfrm>
                    <a:prstGeom prst="rect">
                      <a:avLst/>
                    </a:prstGeom>
                    <a:noFill/>
                  </pic:spPr>
                </pic:pic>
              </a:graphicData>
            </a:graphic>
          </wp:anchor>
        </w:drawing>
      </w:r>
    </w:p>
    <w:p>
      <w:pPr>
        <w:spacing w:after="0" w:line="112" w:lineRule="exact"/>
        <w:rPr>
          <w:sz w:val="20"/>
          <w:szCs w:val="20"/>
          <w:color w:val="auto"/>
        </w:rPr>
      </w:pPr>
    </w:p>
    <w:p>
      <w:pPr>
        <w:jc w:val="both"/>
        <w:ind w:right="5060"/>
        <w:spacing w:after="0" w:line="258" w:lineRule="auto"/>
        <w:rPr>
          <w:sz w:val="20"/>
          <w:szCs w:val="20"/>
          <w:color w:val="auto"/>
        </w:rPr>
      </w:pPr>
      <w:r>
        <w:rPr>
          <w:rFonts w:ascii="Arial" w:cs="Arial" w:eastAsia="Arial" w:hAnsi="Arial"/>
          <w:sz w:val="14"/>
          <w:szCs w:val="14"/>
          <w:color w:val="auto"/>
        </w:rPr>
        <w:t>In this context, the Cost of Risk rose 3.0%. While the NPL Coverage Ratio stood at 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630555</wp:posOffset>
            </wp:positionV>
            <wp:extent cx="7164705" cy="13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101600</wp:posOffset>
            </wp:positionV>
            <wp:extent cx="1502410" cy="443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5289550</wp:posOffset>
            </wp:positionH>
            <wp:positionV relativeFrom="paragraph">
              <wp:posOffset>245745</wp:posOffset>
            </wp:positionV>
            <wp:extent cx="1724025" cy="3003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24025" cy="300355"/>
                    </a:xfrm>
                    <a:prstGeom prst="rect">
                      <a:avLst/>
                    </a:prstGeom>
                    <a:noFill/>
                  </pic:spPr>
                </pic:pic>
              </a:graphicData>
            </a:graphic>
          </wp:anchor>
        </w:drawing>
      </w:r>
    </w:p>
    <w:p>
      <w:pPr>
        <w:sectPr>
          <w:pgSz w:w="11900" w:h="16838" w:orient="portrait"/>
          <w:cols w:equalWidth="0" w:num="1">
            <w:col w:w="10240"/>
          </w:cols>
          <w:pgMar w:left="540" w:top="298" w:right="1119" w:bottom="1440" w:gutter="0" w:footer="0" w:header="0"/>
          <w:type w:val="continuous"/>
        </w:sectPr>
      </w:pPr>
    </w:p>
    <w:bookmarkStart w:id="11" w:name="page12"/>
    <w:bookmarkEnd w:id="11"/>
    <w:p>
      <w:pPr>
        <w:ind w:left="2480"/>
        <w:spacing w:after="0"/>
        <w:tabs>
          <w:tab w:leader="none" w:pos="2680"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746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705" cy="574675"/>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2AD2C8"/>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-126365</wp:posOffset>
            </wp:positionV>
            <wp:extent cx="2351405" cy="17506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51405" cy="1750695"/>
                    </a:xfrm>
                    <a:prstGeom prst="rect">
                      <a:avLst/>
                    </a:prstGeom>
                    <a:noFill/>
                  </pic:spPr>
                </pic:pic>
              </a:graphicData>
            </a:graphic>
          </wp:anchor>
        </w:drawing>
      </w:r>
    </w:p>
    <w:p>
      <w:pPr>
        <w:spacing w:after="0" w:line="140" w:lineRule="exact"/>
        <w:rPr>
          <w:sz w:val="20"/>
          <w:szCs w:val="20"/>
          <w:color w:val="auto"/>
        </w:rPr>
      </w:pPr>
    </w:p>
    <w:p>
      <w:pPr>
        <w:jc w:val="both"/>
        <w:ind w:right="4739"/>
        <w:spacing w:after="0" w:line="219" w:lineRule="auto"/>
        <w:rPr>
          <w:sz w:val="20"/>
          <w:szCs w:val="20"/>
          <w:color w:val="auto"/>
        </w:rPr>
      </w:pPr>
      <w:r>
        <w:rPr>
          <w:rFonts w:ascii="Arial" w:cs="Arial" w:eastAsia="Arial" w:hAnsi="Arial"/>
          <w:sz w:val="14"/>
          <w:szCs w:val="14"/>
          <w:color w:val="auto"/>
        </w:rPr>
        <w:t>Other Core Income</w:t>
      </w:r>
      <w:r>
        <w:rPr>
          <w:rFonts w:ascii="Arial" w:cs="Arial" w:eastAsia="Arial" w:hAnsi="Arial"/>
          <w:sz w:val="22"/>
          <w:szCs w:val="22"/>
          <w:color w:val="auto"/>
          <w:vertAlign w:val="superscript"/>
        </w:rPr>
        <w:t>1</w:t>
      </w:r>
      <w:r>
        <w:rPr>
          <w:rFonts w:ascii="Arial" w:cs="Arial" w:eastAsia="Arial" w:hAnsi="Arial"/>
          <w:sz w:val="14"/>
          <w:szCs w:val="14"/>
          <w:color w:val="auto"/>
        </w:rPr>
        <w:t xml:space="preserve"> rose 11.2% in QoQ, driven mainly by BCP. This evolution reflected growth in income via an uptick in transactions through Yape and growth in the volume of interbank transfers. In the YoY and YTD dynamics, Other Core Income increased 16.7%, fueled primarily by (i) BCP, which experienced solid growth in Fee Income, primarily through Yape and via an uptick in the transactions volume through credit cards and debit cards, and secondarily by (ii) Credicorp Capital, through growth in Fee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2AD2C8"/>
        </w:rPr>
        <w:t>Insurance Underwriting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-126365</wp:posOffset>
            </wp:positionV>
            <wp:extent cx="2351405" cy="2194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51405" cy="2194560"/>
                    </a:xfrm>
                    <a:prstGeom prst="rect">
                      <a:avLst/>
                    </a:prstGeom>
                    <a:noFill/>
                  </pic:spPr>
                </pic:pic>
              </a:graphicData>
            </a:graphic>
          </wp:anchor>
        </w:drawing>
      </w:r>
    </w:p>
    <w:p>
      <w:pPr>
        <w:spacing w:after="0" w:line="148" w:lineRule="exact"/>
        <w:rPr>
          <w:sz w:val="20"/>
          <w:szCs w:val="20"/>
          <w:color w:val="auto"/>
        </w:rPr>
      </w:pPr>
    </w:p>
    <w:p>
      <w:pPr>
        <w:jc w:val="both"/>
        <w:ind w:right="4739"/>
        <w:spacing w:after="0" w:line="239" w:lineRule="auto"/>
        <w:rPr>
          <w:sz w:val="20"/>
          <w:szCs w:val="20"/>
          <w:color w:val="auto"/>
        </w:rPr>
      </w:pPr>
      <w:r>
        <w:rPr>
          <w:rFonts w:ascii="Arial" w:cs="Arial" w:eastAsia="Arial" w:hAnsi="Arial"/>
          <w:sz w:val="14"/>
          <w:szCs w:val="14"/>
          <w:color w:val="auto"/>
        </w:rPr>
        <w:t>The Insurance Underwriting Result rose 13.1% QoQ. This evolution was driven primarily by an improvement in the Reinsurance Result, primarily through P &amp; C. It is worth mentioning that the Life business contributed to the higher Insurance Underwriting Result, mainly through lower Insurance Services Expenses.</w:t>
      </w:r>
    </w:p>
    <w:p>
      <w:pPr>
        <w:spacing w:after="0" w:line="130" w:lineRule="exact"/>
        <w:rPr>
          <w:sz w:val="20"/>
          <w:szCs w:val="20"/>
          <w:color w:val="auto"/>
        </w:rPr>
      </w:pPr>
    </w:p>
    <w:p>
      <w:pPr>
        <w:jc w:val="both"/>
        <w:ind w:right="4739"/>
        <w:spacing w:after="0" w:line="244" w:lineRule="auto"/>
        <w:rPr>
          <w:sz w:val="20"/>
          <w:szCs w:val="20"/>
          <w:color w:val="auto"/>
        </w:rPr>
      </w:pPr>
      <w:r>
        <w:rPr>
          <w:rFonts w:ascii="Arial" w:cs="Arial" w:eastAsia="Arial" w:hAnsi="Arial"/>
          <w:sz w:val="14"/>
          <w:szCs w:val="14"/>
          <w:color w:val="auto"/>
        </w:rPr>
        <w:t>YoY, the Insurance Underwriting Result increased 6.4%, which reflected a drop in the Insurance Service Expenses, primarily via AFP which experienced a decrease in survivorship claims.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YTD, the Insurance Underwriting Result was relatively stable (+0.3%).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2570480</wp:posOffset>
            </wp:positionV>
            <wp:extent cx="140398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0398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00" w:hanging="244"/>
        <w:spacing w:after="0"/>
        <w:tabs>
          <w:tab w:leader="none" w:pos="500" w:val="left"/>
        </w:tabs>
        <w:numPr>
          <w:ilvl w:val="0"/>
          <w:numId w:val="2"/>
        </w:numPr>
        <w:rPr>
          <w:rFonts w:ascii="Arial" w:cs="Arial" w:eastAsia="Arial" w:hAnsi="Arial"/>
          <w:sz w:val="8"/>
          <w:szCs w:val="8"/>
          <w:color w:val="auto"/>
        </w:rPr>
      </w:pPr>
      <w:r>
        <w:rPr>
          <w:rFonts w:ascii="Arial" w:cs="Arial" w:eastAsia="Arial" w:hAnsi="Arial"/>
          <w:sz w:val="8"/>
          <w:szCs w:val="8"/>
          <w:color w:val="auto"/>
        </w:rPr>
        <w:t>Other Core Income = Fee Income + Net Gain on FX Operations</w:t>
      </w:r>
    </w:p>
    <w:p>
      <w:pPr>
        <w:spacing w:after="0" w:line="8" w:lineRule="exact"/>
        <w:rPr>
          <w:rFonts w:ascii="Arial" w:cs="Arial" w:eastAsia="Arial" w:hAnsi="Arial"/>
          <w:sz w:val="8"/>
          <w:szCs w:val="8"/>
          <w:color w:val="auto"/>
        </w:rPr>
      </w:pPr>
    </w:p>
    <w:p>
      <w:pPr>
        <w:ind w:left="500" w:hanging="244"/>
        <w:spacing w:after="0"/>
        <w:tabs>
          <w:tab w:leader="none" w:pos="500" w:val="left"/>
        </w:tabs>
        <w:numPr>
          <w:ilvl w:val="0"/>
          <w:numId w:val="2"/>
        </w:numPr>
        <w:rPr>
          <w:rFonts w:ascii="Arial" w:cs="Arial" w:eastAsia="Arial" w:hAnsi="Arial"/>
          <w:sz w:val="8"/>
          <w:szCs w:val="8"/>
          <w:color w:val="auto"/>
        </w:rPr>
      </w:pPr>
      <w:r>
        <w:rPr>
          <w:rFonts w:ascii="Arial" w:cs="Arial" w:eastAsia="Arial" w:hAnsi="Arial"/>
          <w:sz w:val="8"/>
          <w:szCs w:val="8"/>
          <w:color w:val="auto"/>
        </w:rPr>
        <w:t>Totals may differ from the sum of the parts due to eliminations in PGA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635635</wp:posOffset>
            </wp:positionV>
            <wp:extent cx="7164705" cy="13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99695</wp:posOffset>
            </wp:positionV>
            <wp:extent cx="1502410" cy="443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5289550</wp:posOffset>
            </wp:positionH>
            <wp:positionV relativeFrom="paragraph">
              <wp:posOffset>243840</wp:posOffset>
            </wp:positionV>
            <wp:extent cx="1724025" cy="300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24025" cy="300355"/>
                    </a:xfrm>
                    <a:prstGeom prst="rect">
                      <a:avLst/>
                    </a:prstGeom>
                    <a:noFill/>
                  </pic:spPr>
                </pic:pic>
              </a:graphicData>
            </a:graphic>
          </wp:anchor>
        </w:drawing>
      </w:r>
    </w:p>
    <w:p>
      <w:pPr>
        <w:sectPr>
          <w:pgSz w:w="11900" w:h="16838" w:orient="portrait"/>
          <w:cols w:equalWidth="0" w:num="1">
            <w:col w:w="9919"/>
          </w:cols>
          <w:pgMar w:left="540" w:top="298" w:right="1440" w:bottom="1440" w:gutter="0" w:footer="0" w:header="0"/>
        </w:sectPr>
      </w:pPr>
    </w:p>
    <w:bookmarkStart w:id="12" w:name="page13"/>
    <w:bookmarkEnd w:id="12"/>
    <w:p>
      <w:pPr>
        <w:ind w:left="2480"/>
        <w:spacing w:after="0"/>
        <w:tabs>
          <w:tab w:leader="none" w:pos="2680" w:val="left"/>
          <w:tab w:leader="none" w:pos="7680"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746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705" cy="574675"/>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ectPr>
          <w:pgSz w:w="11900" w:h="16838" w:orient="portrait"/>
          <w:cols w:equalWidth="0" w:num="1">
            <w:col w:w="10240"/>
          </w:cols>
          <w:pgMar w:left="540" w:top="298"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b w:val="1"/>
          <w:bCs w:val="1"/>
          <w:color w:val="2AD2C8"/>
        </w:rPr>
        <w:t>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-126365</wp:posOffset>
            </wp:positionV>
            <wp:extent cx="2220595" cy="14827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20595" cy="1482725"/>
                    </a:xfrm>
                    <a:prstGeom prst="rect">
                      <a:avLst/>
                    </a:prstGeom>
                    <a:noFill/>
                  </pic:spPr>
                </pic:pic>
              </a:graphicData>
            </a:graphic>
          </wp:anchor>
        </w:drawing>
      </w:r>
    </w:p>
    <w:p>
      <w:pPr>
        <w:spacing w:after="0" w:line="148" w:lineRule="exact"/>
        <w:rPr>
          <w:sz w:val="20"/>
          <w:szCs w:val="20"/>
          <w:color w:val="auto"/>
        </w:rPr>
      </w:pPr>
    </w:p>
    <w:p>
      <w:pPr>
        <w:jc w:val="both"/>
        <w:ind w:right="5060"/>
        <w:spacing w:after="0" w:line="244" w:lineRule="auto"/>
        <w:rPr>
          <w:sz w:val="20"/>
          <w:szCs w:val="20"/>
          <w:color w:val="auto"/>
        </w:rPr>
      </w:pPr>
      <w:r>
        <w:rPr>
          <w:rFonts w:ascii="Arial" w:cs="Arial" w:eastAsia="Arial" w:hAnsi="Arial"/>
          <w:sz w:val="14"/>
          <w:szCs w:val="14"/>
          <w:color w:val="auto"/>
        </w:rPr>
        <w:t>In 1H24, the Efficiency Ratio stood at 44.3%, which represented an improvement of 19 bps versus 1H23. This dynamic was driven by higher Core Income and supported by controlled growth in expenses.</w:t>
      </w:r>
    </w:p>
    <w:p>
      <w:pPr>
        <w:spacing w:after="0" w:line="128" w:lineRule="exact"/>
        <w:rPr>
          <w:sz w:val="20"/>
          <w:szCs w:val="20"/>
          <w:color w:val="auto"/>
        </w:rPr>
      </w:pPr>
    </w:p>
    <w:p>
      <w:pPr>
        <w:spacing w:after="0"/>
        <w:rPr>
          <w:sz w:val="20"/>
          <w:szCs w:val="20"/>
          <w:color w:val="auto"/>
        </w:rPr>
      </w:pPr>
      <w:r>
        <w:rPr>
          <w:rFonts w:ascii="Arial" w:cs="Arial" w:eastAsia="Arial" w:hAnsi="Arial"/>
          <w:sz w:val="8"/>
          <w:szCs w:val="8"/>
          <w:color w:val="auto"/>
        </w:rPr>
        <w:t>1. See calculation formula in Annex 12.7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9"/>
          <w:szCs w:val="19"/>
          <w:b w:val="1"/>
          <w:bCs w:val="1"/>
          <w:color w:val="2AD2C8"/>
        </w:rPr>
        <w:t>Net Income Attributable to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-126365</wp:posOffset>
            </wp:positionV>
            <wp:extent cx="2351405" cy="1449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51405" cy="1449705"/>
                    </a:xfrm>
                    <a:prstGeom prst="rect">
                      <a:avLst/>
                    </a:prstGeom>
                    <a:noFill/>
                  </pic:spPr>
                </pic:pic>
              </a:graphicData>
            </a:graphic>
          </wp:anchor>
        </w:drawing>
      </w:r>
    </w:p>
    <w:p>
      <w:pPr>
        <w:spacing w:after="0" w:line="148" w:lineRule="exact"/>
        <w:rPr>
          <w:sz w:val="20"/>
          <w:szCs w:val="20"/>
          <w:color w:val="auto"/>
        </w:rPr>
      </w:pPr>
    </w:p>
    <w:p>
      <w:pPr>
        <w:jc w:val="both"/>
        <w:ind w:right="5060"/>
        <w:spacing w:after="0" w:line="244" w:lineRule="auto"/>
        <w:rPr>
          <w:sz w:val="20"/>
          <w:szCs w:val="20"/>
          <w:color w:val="auto"/>
        </w:rPr>
      </w:pPr>
      <w:r>
        <w:rPr>
          <w:rFonts w:ascii="Arial" w:cs="Arial" w:eastAsia="Arial" w:hAnsi="Arial"/>
          <w:sz w:val="14"/>
          <w:szCs w:val="14"/>
          <w:color w:val="auto"/>
        </w:rPr>
        <w:t>In 2Q24, net income attributable to Credicorp totaled S/1,339.1 million, -11.4% QoQ -4.4% YoY. Net shareholders’ equity stood at S/32,414 million (-4.3% QoQ +7.9% YoY). In this context, ROE stood at 16.2%.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739"/>
        <w:spacing w:after="0"/>
        <w:rPr>
          <w:sz w:val="20"/>
          <w:szCs w:val="20"/>
          <w:color w:val="auto"/>
        </w:rPr>
      </w:pPr>
      <w:r>
        <w:rPr>
          <w:rFonts w:ascii="Arial" w:cs="Arial" w:eastAsia="Arial" w:hAnsi="Arial"/>
          <w:sz w:val="19"/>
          <w:szCs w:val="19"/>
          <w:b w:val="1"/>
          <w:bCs w:val="1"/>
          <w:color w:val="2AD2C8"/>
        </w:rPr>
        <w:t>Contributions and ROE by subsidiary in 2Q24</w:t>
      </w:r>
    </w:p>
    <w:p>
      <w:pPr>
        <w:spacing w:after="0" w:line="28" w:lineRule="exact"/>
        <w:rPr>
          <w:sz w:val="20"/>
          <w:szCs w:val="20"/>
          <w:color w:val="auto"/>
        </w:rPr>
      </w:pPr>
    </w:p>
    <w:p>
      <w:pPr>
        <w:ind w:left="5180"/>
        <w:spacing w:after="0"/>
        <w:rPr>
          <w:sz w:val="20"/>
          <w:szCs w:val="20"/>
          <w:color w:val="auto"/>
        </w:rPr>
      </w:pPr>
      <w:r>
        <w:rPr>
          <w:rFonts w:ascii="Arial" w:cs="Arial" w:eastAsia="Arial" w:hAnsi="Arial"/>
          <w:sz w:val="12"/>
          <w:szCs w:val="12"/>
          <w:b w:val="1"/>
          <w:bCs w:val="1"/>
          <w:color w:val="2AD2C8"/>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880745</wp:posOffset>
            </wp:positionH>
            <wp:positionV relativeFrom="paragraph">
              <wp:posOffset>94615</wp:posOffset>
            </wp:positionV>
            <wp:extent cx="5225415" cy="20770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25415" cy="2077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hanging="151"/>
        <w:spacing w:after="0"/>
        <w:tabs>
          <w:tab w:leader="none" w:pos="160" w:val="left"/>
        </w:tabs>
        <w:numPr>
          <w:ilvl w:val="0"/>
          <w:numId w:val="3"/>
        </w:numPr>
        <w:rPr>
          <w:rFonts w:ascii="Arial" w:cs="Arial" w:eastAsia="Arial" w:hAnsi="Arial"/>
          <w:sz w:val="10"/>
          <w:szCs w:val="10"/>
          <w:color w:val="auto"/>
        </w:rPr>
      </w:pPr>
      <w:r>
        <w:rPr>
          <w:rFonts w:ascii="Arial" w:cs="Arial" w:eastAsia="Arial" w:hAnsi="Arial"/>
          <w:sz w:val="10"/>
          <w:szCs w:val="10"/>
          <w:color w:val="auto"/>
        </w:rPr>
        <w:t>At BCP Stand Alone, the figure is lower than net income because it does not include gains on investments in other Credicorp subsidiaries (Mibanco).</w:t>
      </w:r>
    </w:p>
    <w:p>
      <w:pPr>
        <w:ind w:left="160" w:hanging="151"/>
        <w:spacing w:after="0" w:line="214" w:lineRule="auto"/>
        <w:tabs>
          <w:tab w:leader="none" w:pos="160" w:val="left"/>
        </w:tabs>
        <w:numPr>
          <w:ilvl w:val="0"/>
          <w:numId w:val="3"/>
        </w:numPr>
        <w:rPr>
          <w:rFonts w:ascii="Arial" w:cs="Arial" w:eastAsia="Arial" w:hAnsi="Arial"/>
          <w:sz w:val="10"/>
          <w:szCs w:val="10"/>
          <w:color w:val="auto"/>
        </w:rPr>
      </w:pPr>
      <w:r>
        <w:rPr>
          <w:rFonts w:ascii="Arial" w:cs="Arial" w:eastAsia="Arial" w:hAnsi="Arial"/>
          <w:sz w:val="10"/>
          <w:szCs w:val="10"/>
          <w:color w:val="auto"/>
        </w:rPr>
        <w:t>At Mibanco, the figure is lower than net income because Credicorp owns 99.921% of Mibanco (directly and indirectly).</w:t>
      </w:r>
    </w:p>
    <w:p>
      <w:pPr>
        <w:ind w:left="160" w:hanging="151"/>
        <w:spacing w:after="0"/>
        <w:tabs>
          <w:tab w:leader="none" w:pos="160" w:val="left"/>
        </w:tabs>
        <w:numPr>
          <w:ilvl w:val="0"/>
          <w:numId w:val="3"/>
        </w:numPr>
        <w:rPr>
          <w:rFonts w:ascii="Arial" w:cs="Arial" w:eastAsia="Arial" w:hAnsi="Arial"/>
          <w:sz w:val="8"/>
          <w:szCs w:val="8"/>
          <w:color w:val="auto"/>
        </w:rPr>
      </w:pPr>
      <w:r>
        <w:rPr>
          <w:rFonts w:ascii="Arial" w:cs="Arial" w:eastAsia="Arial" w:hAnsi="Arial"/>
          <w:sz w:val="8"/>
          <w:szCs w:val="8"/>
          <w:color w:val="auto"/>
        </w:rPr>
        <w:t>The Contribution of Grupo Pacífico presented here is higher than the earnings reported for Pacifico Seguros because it includes 100% of Crediseguros (including 48% under Grupo Credito).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636905</wp:posOffset>
            </wp:positionV>
            <wp:extent cx="7164705" cy="13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107950</wp:posOffset>
            </wp:positionV>
            <wp:extent cx="1502410" cy="443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5289550</wp:posOffset>
            </wp:positionH>
            <wp:positionV relativeFrom="paragraph">
              <wp:posOffset>245110</wp:posOffset>
            </wp:positionV>
            <wp:extent cx="1724025" cy="306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24025" cy="306705"/>
                    </a:xfrm>
                    <a:prstGeom prst="rect">
                      <a:avLst/>
                    </a:prstGeom>
                    <a:noFill/>
                  </pic:spPr>
                </pic:pic>
              </a:graphicData>
            </a:graphic>
          </wp:anchor>
        </w:drawing>
      </w:r>
    </w:p>
    <w:p>
      <w:pPr>
        <w:sectPr>
          <w:pgSz w:w="11900" w:h="16838" w:orient="portrait"/>
          <w:cols w:equalWidth="0" w:num="1">
            <w:col w:w="10240"/>
          </w:cols>
          <w:pgMar w:left="540" w:top="298" w:right="1119" w:bottom="1440" w:gutter="0" w:footer="0" w:header="0"/>
          <w:type w:val="continuous"/>
        </w:sectPr>
      </w:pPr>
    </w:p>
    <w:bookmarkStart w:id="13" w:name="page14"/>
    <w:bookmarkEnd w:id="13"/>
    <w:p>
      <w:pPr>
        <w:ind w:left="2380"/>
        <w:spacing w:after="0"/>
        <w:tabs>
          <w:tab w:leader="none" w:pos="2580" w:val="left"/>
          <w:tab w:leader="none" w:pos="7580"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746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705" cy="574675"/>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450215</wp:posOffset>
            </wp:positionV>
            <wp:extent cx="6837680" cy="3778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7680" cy="377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80" w:type="dxa"/>
            <w:vAlign w:val="bottom"/>
          </w:tcPr>
          <w:p>
            <w:pPr>
              <w:jc w:val="center"/>
              <w:ind w:right="527"/>
              <w:spacing w:after="0"/>
              <w:rPr>
                <w:sz w:val="20"/>
                <w:szCs w:val="20"/>
                <w:color w:val="auto"/>
              </w:rPr>
            </w:pPr>
            <w:r>
              <w:rPr>
                <w:rFonts w:ascii="Arial" w:cs="Arial" w:eastAsia="Arial" w:hAnsi="Arial"/>
                <w:sz w:val="16"/>
                <w:szCs w:val="16"/>
                <w:b w:val="1"/>
                <w:bCs w:val="1"/>
                <w:color w:val="FFFFFF"/>
              </w:rPr>
              <w:t>Universal Banking</w:t>
            </w:r>
          </w:p>
        </w:tc>
        <w:tc>
          <w:tcPr>
            <w:tcW w:w="5260" w:type="dxa"/>
            <w:vAlign w:val="bottom"/>
          </w:tcPr>
          <w:p>
            <w:pPr>
              <w:jc w:val="center"/>
              <w:ind w:left="527"/>
              <w:spacing w:after="0"/>
              <w:rPr>
                <w:sz w:val="20"/>
                <w:szCs w:val="20"/>
                <w:color w:val="auto"/>
              </w:rPr>
            </w:pPr>
            <w:r>
              <w:rPr>
                <w:rFonts w:ascii="Arial" w:cs="Arial" w:eastAsia="Arial" w:hAnsi="Arial"/>
                <w:sz w:val="16"/>
                <w:szCs w:val="16"/>
                <w:b w:val="1"/>
                <w:bCs w:val="1"/>
                <w:color w:val="FFFFFF"/>
              </w:rPr>
              <w:t>Microfinance</w:t>
            </w:r>
          </w:p>
        </w:tc>
      </w:tr>
      <w:tr>
        <w:trPr>
          <w:trHeight w:val="588"/>
        </w:trPr>
        <w:tc>
          <w:tcPr>
            <w:tcW w:w="5280" w:type="dxa"/>
            <w:vAlign w:val="bottom"/>
          </w:tcPr>
          <w:p>
            <w:pPr>
              <w:jc w:val="center"/>
              <w:ind w:right="527"/>
              <w:spacing w:after="0"/>
              <w:rPr>
                <w:sz w:val="20"/>
                <w:szCs w:val="20"/>
                <w:color w:val="auto"/>
              </w:rPr>
            </w:pPr>
            <w:r>
              <w:rPr>
                <w:rFonts w:ascii="Arial" w:cs="Arial" w:eastAsia="Arial" w:hAnsi="Arial"/>
                <w:sz w:val="14"/>
                <w:szCs w:val="14"/>
                <w:color w:val="auto"/>
              </w:rPr>
              <w:t>BCP reported solid results as economic activity rebounded accompanied</w:t>
            </w:r>
          </w:p>
        </w:tc>
        <w:tc>
          <w:tcPr>
            <w:tcW w:w="5260" w:type="dxa"/>
            <w:vAlign w:val="bottom"/>
          </w:tcPr>
          <w:p>
            <w:pPr>
              <w:jc w:val="center"/>
              <w:ind w:left="527"/>
              <w:spacing w:after="0"/>
              <w:rPr>
                <w:sz w:val="20"/>
                <w:szCs w:val="20"/>
                <w:color w:val="auto"/>
              </w:rPr>
            </w:pPr>
            <w:r>
              <w:rPr>
                <w:rFonts w:ascii="Arial" w:cs="Arial" w:eastAsia="Arial" w:hAnsi="Arial"/>
                <w:sz w:val="14"/>
                <w:szCs w:val="14"/>
                <w:color w:val="auto"/>
              </w:rPr>
              <w:t>Mibanco’s profitability was negatively affected by a loan contraction and</w:t>
            </w:r>
          </w:p>
        </w:tc>
      </w:tr>
      <w:tr>
        <w:trPr>
          <w:trHeight w:val="165"/>
        </w:trPr>
        <w:tc>
          <w:tcPr>
            <w:tcW w:w="5280" w:type="dxa"/>
            <w:vAlign w:val="bottom"/>
          </w:tcPr>
          <w:p>
            <w:pPr>
              <w:jc w:val="center"/>
              <w:ind w:right="527"/>
              <w:spacing w:after="0"/>
              <w:rPr>
                <w:sz w:val="20"/>
                <w:szCs w:val="20"/>
                <w:color w:val="auto"/>
              </w:rPr>
            </w:pPr>
            <w:r>
              <w:rPr>
                <w:rFonts w:ascii="Arial" w:cs="Arial" w:eastAsia="Arial" w:hAnsi="Arial"/>
                <w:sz w:val="14"/>
                <w:szCs w:val="14"/>
                <w:color w:val="auto"/>
              </w:rPr>
              <w:t>and liquidity levels rose across the system. Growth in core income was</w:t>
            </w:r>
          </w:p>
        </w:tc>
        <w:tc>
          <w:tcPr>
            <w:tcW w:w="5260" w:type="dxa"/>
            <w:vAlign w:val="bottom"/>
          </w:tcPr>
          <w:p>
            <w:pPr>
              <w:jc w:val="center"/>
              <w:ind w:left="527"/>
              <w:spacing w:after="0"/>
              <w:rPr>
                <w:sz w:val="20"/>
                <w:szCs w:val="20"/>
                <w:color w:val="auto"/>
              </w:rPr>
            </w:pPr>
            <w:r>
              <w:rPr>
                <w:rFonts w:ascii="Arial" w:cs="Arial" w:eastAsia="Arial" w:hAnsi="Arial"/>
                <w:sz w:val="14"/>
                <w:szCs w:val="14"/>
                <w:color w:val="auto"/>
              </w:rPr>
              <w:t>high provisions. Both factors reflect the current phase of credit cycle in</w:t>
            </w:r>
          </w:p>
        </w:tc>
      </w:tr>
      <w:tr>
        <w:trPr>
          <w:trHeight w:val="165"/>
        </w:trPr>
        <w:tc>
          <w:tcPr>
            <w:tcW w:w="5280" w:type="dxa"/>
            <w:vAlign w:val="bottom"/>
          </w:tcPr>
          <w:p>
            <w:pPr>
              <w:jc w:val="center"/>
              <w:ind w:right="507"/>
              <w:spacing w:after="0"/>
              <w:rPr>
                <w:sz w:val="20"/>
                <w:szCs w:val="20"/>
                <w:color w:val="auto"/>
              </w:rPr>
            </w:pPr>
            <w:r>
              <w:rPr>
                <w:rFonts w:ascii="Arial" w:cs="Arial" w:eastAsia="Arial" w:hAnsi="Arial"/>
                <w:sz w:val="14"/>
                <w:szCs w:val="14"/>
                <w:color w:val="auto"/>
              </w:rPr>
              <w:t>noteworthy this quarter. Additionally, Net Interest Income increased</w:t>
            </w:r>
          </w:p>
        </w:tc>
        <w:tc>
          <w:tcPr>
            <w:tcW w:w="5260" w:type="dxa"/>
            <w:vAlign w:val="bottom"/>
          </w:tcPr>
          <w:p>
            <w:pPr>
              <w:jc w:val="center"/>
              <w:ind w:left="527"/>
              <w:spacing w:after="0"/>
              <w:rPr>
                <w:sz w:val="20"/>
                <w:szCs w:val="20"/>
                <w:color w:val="auto"/>
              </w:rPr>
            </w:pPr>
            <w:r>
              <w:rPr>
                <w:rFonts w:ascii="Arial" w:cs="Arial" w:eastAsia="Arial" w:hAnsi="Arial"/>
                <w:sz w:val="14"/>
                <w:szCs w:val="14"/>
                <w:color w:val="auto"/>
              </w:rPr>
              <w:t>the microfinance industry. It is worth mentioning that the referred</w:t>
            </w:r>
          </w:p>
        </w:tc>
      </w:tr>
      <w:tr>
        <w:trPr>
          <w:trHeight w:val="165"/>
        </w:trPr>
        <w:tc>
          <w:tcPr>
            <w:tcW w:w="5280" w:type="dxa"/>
            <w:vAlign w:val="bottom"/>
          </w:tcPr>
          <w:p>
            <w:pPr>
              <w:jc w:val="center"/>
              <w:ind w:right="527"/>
              <w:spacing w:after="0"/>
              <w:rPr>
                <w:sz w:val="20"/>
                <w:szCs w:val="20"/>
                <w:color w:val="auto"/>
              </w:rPr>
            </w:pPr>
            <w:r>
              <w:rPr>
                <w:rFonts w:ascii="Arial" w:cs="Arial" w:eastAsia="Arial" w:hAnsi="Arial"/>
                <w:sz w:val="14"/>
                <w:szCs w:val="14"/>
                <w:color w:val="auto"/>
              </w:rPr>
              <w:t>10.4% YoY, driven by i) repricing of our retail loan portfolio and ii)</w:t>
            </w:r>
          </w:p>
        </w:tc>
        <w:tc>
          <w:tcPr>
            <w:tcW w:w="5260" w:type="dxa"/>
            <w:vAlign w:val="bottom"/>
          </w:tcPr>
          <w:p>
            <w:pPr>
              <w:jc w:val="center"/>
              <w:ind w:left="527"/>
              <w:spacing w:after="0"/>
              <w:rPr>
                <w:sz w:val="20"/>
                <w:szCs w:val="20"/>
                <w:color w:val="auto"/>
              </w:rPr>
            </w:pPr>
            <w:r>
              <w:rPr>
                <w:rFonts w:ascii="Arial" w:cs="Arial" w:eastAsia="Arial" w:hAnsi="Arial"/>
                <w:sz w:val="14"/>
                <w:szCs w:val="14"/>
                <w:color w:val="auto"/>
              </w:rPr>
              <w:t>provisions were attributable to both a deterioration of payment</w:t>
            </w:r>
          </w:p>
        </w:tc>
      </w:tr>
      <w:tr>
        <w:trPr>
          <w:trHeight w:val="165"/>
        </w:trPr>
        <w:tc>
          <w:tcPr>
            <w:tcW w:w="5280" w:type="dxa"/>
            <w:vAlign w:val="bottom"/>
          </w:tcPr>
          <w:p>
            <w:pPr>
              <w:jc w:val="center"/>
              <w:ind w:right="527"/>
              <w:spacing w:after="0"/>
              <w:rPr>
                <w:sz w:val="20"/>
                <w:szCs w:val="20"/>
                <w:color w:val="auto"/>
              </w:rPr>
            </w:pPr>
            <w:r>
              <w:rPr>
                <w:rFonts w:ascii="Arial" w:cs="Arial" w:eastAsia="Arial" w:hAnsi="Arial"/>
                <w:sz w:val="14"/>
                <w:szCs w:val="14"/>
                <w:color w:val="auto"/>
              </w:rPr>
              <w:t>repricing of our US Dollar loan book. Other Core Income rose 16.7% YoY,</w:t>
            </w:r>
          </w:p>
        </w:tc>
        <w:tc>
          <w:tcPr>
            <w:tcW w:w="5260" w:type="dxa"/>
            <w:vAlign w:val="bottom"/>
          </w:tcPr>
          <w:p>
            <w:pPr>
              <w:jc w:val="center"/>
              <w:ind w:left="527"/>
              <w:spacing w:after="0"/>
              <w:rPr>
                <w:sz w:val="20"/>
                <w:szCs w:val="20"/>
                <w:color w:val="auto"/>
              </w:rPr>
            </w:pPr>
            <w:r>
              <w:rPr>
                <w:rFonts w:ascii="Arial" w:cs="Arial" w:eastAsia="Arial" w:hAnsi="Arial"/>
                <w:sz w:val="14"/>
                <w:szCs w:val="14"/>
                <w:color w:val="auto"/>
              </w:rPr>
              <w:t>performance and to a weakening in the payment performance of</w:t>
            </w:r>
          </w:p>
        </w:tc>
      </w:tr>
      <w:tr>
        <w:trPr>
          <w:trHeight w:val="165"/>
        </w:trPr>
        <w:tc>
          <w:tcPr>
            <w:tcW w:w="5280" w:type="dxa"/>
            <w:vAlign w:val="bottom"/>
          </w:tcPr>
          <w:p>
            <w:pPr>
              <w:jc w:val="center"/>
              <w:ind w:right="527"/>
              <w:spacing w:after="0"/>
              <w:rPr>
                <w:sz w:val="20"/>
                <w:szCs w:val="20"/>
                <w:color w:val="auto"/>
              </w:rPr>
            </w:pPr>
            <w:r>
              <w:rPr>
                <w:rFonts w:ascii="Arial" w:cs="Arial" w:eastAsia="Arial" w:hAnsi="Arial"/>
                <w:sz w:val="14"/>
                <w:szCs w:val="14"/>
                <w:color w:val="auto"/>
              </w:rPr>
              <w:t>fueled by growth in fee income, where Yape and core transactional</w:t>
            </w:r>
          </w:p>
        </w:tc>
        <w:tc>
          <w:tcPr>
            <w:tcW w:w="5260" w:type="dxa"/>
            <w:vAlign w:val="bottom"/>
          </w:tcPr>
          <w:p>
            <w:pPr>
              <w:jc w:val="center"/>
              <w:ind w:left="527"/>
              <w:spacing w:after="0"/>
              <w:rPr>
                <w:sz w:val="20"/>
                <w:szCs w:val="20"/>
                <w:color w:val="auto"/>
              </w:rPr>
            </w:pPr>
            <w:r>
              <w:rPr>
                <w:rFonts w:ascii="Arial" w:cs="Arial" w:eastAsia="Arial" w:hAnsi="Arial"/>
                <w:sz w:val="14"/>
                <w:szCs w:val="14"/>
                <w:color w:val="auto"/>
              </w:rPr>
              <w:t>vulnerable clients. On the other hand, Net Interest Income increased</w:t>
            </w:r>
          </w:p>
        </w:tc>
      </w:tr>
      <w:tr>
        <w:trPr>
          <w:trHeight w:val="165"/>
        </w:trPr>
        <w:tc>
          <w:tcPr>
            <w:tcW w:w="5280" w:type="dxa"/>
            <w:vAlign w:val="bottom"/>
          </w:tcPr>
          <w:p>
            <w:pPr>
              <w:jc w:val="center"/>
              <w:ind w:right="527"/>
              <w:spacing w:after="0"/>
              <w:rPr>
                <w:sz w:val="20"/>
                <w:szCs w:val="20"/>
                <w:color w:val="auto"/>
              </w:rPr>
            </w:pPr>
            <w:r>
              <w:rPr>
                <w:rFonts w:ascii="Arial" w:cs="Arial" w:eastAsia="Arial" w:hAnsi="Arial"/>
                <w:sz w:val="14"/>
                <w:szCs w:val="14"/>
                <w:color w:val="auto"/>
              </w:rPr>
              <w:t>business at BCP were major contributors. Provisions increased 29.1%,</w:t>
            </w:r>
          </w:p>
        </w:tc>
        <w:tc>
          <w:tcPr>
            <w:tcW w:w="5260" w:type="dxa"/>
            <w:vAlign w:val="bottom"/>
          </w:tcPr>
          <w:p>
            <w:pPr>
              <w:jc w:val="center"/>
              <w:ind w:left="507"/>
              <w:spacing w:after="0"/>
              <w:rPr>
                <w:sz w:val="20"/>
                <w:szCs w:val="20"/>
                <w:color w:val="auto"/>
              </w:rPr>
            </w:pPr>
            <w:r>
              <w:rPr>
                <w:rFonts w:ascii="Arial" w:cs="Arial" w:eastAsia="Arial" w:hAnsi="Arial"/>
                <w:sz w:val="14"/>
                <w:szCs w:val="14"/>
                <w:color w:val="auto"/>
              </w:rPr>
              <w:t>1.9%, mainly due to a drop in the cost of funding. Furthermore, Mibanco’s</w:t>
            </w:r>
          </w:p>
        </w:tc>
      </w:tr>
      <w:tr>
        <w:trPr>
          <w:trHeight w:val="190"/>
        </w:trPr>
        <w:tc>
          <w:tcPr>
            <w:tcW w:w="5280" w:type="dxa"/>
            <w:vAlign w:val="bottom"/>
          </w:tcPr>
          <w:p>
            <w:pPr>
              <w:jc w:val="center"/>
              <w:ind w:right="527"/>
              <w:spacing w:after="0"/>
              <w:rPr>
                <w:sz w:val="20"/>
                <w:szCs w:val="20"/>
                <w:color w:val="auto"/>
              </w:rPr>
            </w:pPr>
            <w:r>
              <w:rPr>
                <w:rFonts w:ascii="Arial" w:cs="Arial" w:eastAsia="Arial" w:hAnsi="Arial"/>
                <w:sz w:val="14"/>
                <w:szCs w:val="14"/>
                <w:color w:val="auto"/>
              </w:rPr>
              <w:t>led by the SME- Pyme, Credit Cards and Mortgage segments.</w:t>
            </w:r>
          </w:p>
        </w:tc>
        <w:tc>
          <w:tcPr>
            <w:tcW w:w="5260" w:type="dxa"/>
            <w:vAlign w:val="bottom"/>
          </w:tcPr>
          <w:p>
            <w:pPr>
              <w:jc w:val="center"/>
              <w:ind w:left="507"/>
              <w:spacing w:after="0"/>
              <w:rPr>
                <w:sz w:val="20"/>
                <w:szCs w:val="20"/>
                <w:color w:val="auto"/>
              </w:rPr>
            </w:pPr>
            <w:r>
              <w:rPr>
                <w:rFonts w:ascii="Arial" w:cs="Arial" w:eastAsia="Arial" w:hAnsi="Arial"/>
                <w:sz w:val="14"/>
                <w:szCs w:val="14"/>
                <w:color w:val="auto"/>
              </w:rPr>
              <w:t>1H24 efficiency ratio improved YoY, reflecting positive operating leverage.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-926465</wp:posOffset>
            </wp:positionV>
            <wp:extent cx="6837680" cy="1557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7680" cy="155702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5260" w:type="dxa"/>
            <w:vAlign w:val="bottom"/>
          </w:tcPr>
          <w:p>
            <w:pPr>
              <w:jc w:val="center"/>
              <w:ind w:right="546"/>
              <w:spacing w:after="0"/>
              <w:rPr>
                <w:sz w:val="20"/>
                <w:szCs w:val="20"/>
                <w:color w:val="auto"/>
              </w:rPr>
            </w:pPr>
            <w:r>
              <w:rPr>
                <w:rFonts w:ascii="Arial" w:cs="Arial" w:eastAsia="Arial" w:hAnsi="Arial"/>
                <w:sz w:val="16"/>
                <w:szCs w:val="16"/>
                <w:b w:val="1"/>
                <w:bCs w:val="1"/>
                <w:color w:val="FFFFFF"/>
              </w:rPr>
              <w:t>Insurance and Pensions</w:t>
            </w:r>
          </w:p>
        </w:tc>
        <w:tc>
          <w:tcPr>
            <w:tcW w:w="5260" w:type="dxa"/>
            <w:vAlign w:val="bottom"/>
          </w:tcPr>
          <w:p>
            <w:pPr>
              <w:jc w:val="center"/>
              <w:ind w:left="527"/>
              <w:spacing w:after="0"/>
              <w:rPr>
                <w:sz w:val="20"/>
                <w:szCs w:val="20"/>
                <w:color w:val="auto"/>
              </w:rPr>
            </w:pPr>
            <w:r>
              <w:rPr>
                <w:rFonts w:ascii="Arial" w:cs="Arial" w:eastAsia="Arial" w:hAnsi="Arial"/>
                <w:sz w:val="16"/>
                <w:szCs w:val="16"/>
                <w:b w:val="1"/>
                <w:bCs w:val="1"/>
                <w:color w:val="FFFFFF"/>
              </w:rPr>
              <w:t>Investment Banking and Advisory</w:t>
            </w:r>
          </w:p>
        </w:tc>
      </w:tr>
      <w:tr>
        <w:trPr>
          <w:trHeight w:val="588"/>
        </w:trPr>
        <w:tc>
          <w:tcPr>
            <w:tcW w:w="5260" w:type="dxa"/>
            <w:vAlign w:val="bottom"/>
          </w:tcPr>
          <w:p>
            <w:pPr>
              <w:jc w:val="center"/>
              <w:ind w:right="526"/>
              <w:spacing w:after="0"/>
              <w:rPr>
                <w:sz w:val="20"/>
                <w:szCs w:val="20"/>
                <w:color w:val="auto"/>
              </w:rPr>
            </w:pPr>
            <w:r>
              <w:rPr>
                <w:rFonts w:ascii="Arial" w:cs="Arial" w:eastAsia="Arial" w:hAnsi="Arial"/>
                <w:sz w:val="14"/>
                <w:szCs w:val="14"/>
                <w:color w:val="auto"/>
              </w:rPr>
              <w:t>Net income at Grupo Pacifico is very solid but nonetheless dropped 6.1%</w:t>
            </w:r>
          </w:p>
        </w:tc>
        <w:tc>
          <w:tcPr>
            <w:tcW w:w="5260" w:type="dxa"/>
            <w:vAlign w:val="bottom"/>
          </w:tcPr>
          <w:p>
            <w:pPr>
              <w:jc w:val="center"/>
              <w:ind w:left="527"/>
              <w:spacing w:after="0"/>
              <w:rPr>
                <w:sz w:val="20"/>
                <w:szCs w:val="20"/>
                <w:color w:val="auto"/>
              </w:rPr>
            </w:pPr>
            <w:r>
              <w:rPr>
                <w:rFonts w:ascii="Arial" w:cs="Arial" w:eastAsia="Arial" w:hAnsi="Arial"/>
                <w:sz w:val="14"/>
                <w:szCs w:val="14"/>
                <w:color w:val="auto"/>
              </w:rPr>
              <w:t>The Investment Banking and Advisory LoB benefitted from an increase in</w:t>
            </w:r>
          </w:p>
        </w:tc>
      </w:tr>
      <w:tr>
        <w:trPr>
          <w:trHeight w:val="165"/>
        </w:trPr>
        <w:tc>
          <w:tcPr>
            <w:tcW w:w="5260" w:type="dxa"/>
            <w:vAlign w:val="bottom"/>
          </w:tcPr>
          <w:p>
            <w:pPr>
              <w:jc w:val="center"/>
              <w:ind w:right="546"/>
              <w:spacing w:after="0"/>
              <w:rPr>
                <w:sz w:val="20"/>
                <w:szCs w:val="20"/>
                <w:color w:val="auto"/>
              </w:rPr>
            </w:pPr>
            <w:r>
              <w:rPr>
                <w:rFonts w:ascii="Arial" w:cs="Arial" w:eastAsia="Arial" w:hAnsi="Arial"/>
                <w:sz w:val="14"/>
                <w:szCs w:val="14"/>
                <w:color w:val="auto"/>
              </w:rPr>
              <w:t>YoY, driven by an increase in Income Tax and growth in Interest</w:t>
            </w:r>
          </w:p>
        </w:tc>
        <w:tc>
          <w:tcPr>
            <w:tcW w:w="5260" w:type="dxa"/>
            <w:vAlign w:val="bottom"/>
          </w:tcPr>
          <w:p>
            <w:pPr>
              <w:jc w:val="center"/>
              <w:ind w:left="527"/>
              <w:spacing w:after="0"/>
              <w:rPr>
                <w:sz w:val="20"/>
                <w:szCs w:val="20"/>
                <w:color w:val="auto"/>
              </w:rPr>
            </w:pPr>
            <w:r>
              <w:rPr>
                <w:rFonts w:ascii="Arial" w:cs="Arial" w:eastAsia="Arial" w:hAnsi="Arial"/>
                <w:sz w:val="14"/>
                <w:szCs w:val="14"/>
                <w:color w:val="auto"/>
              </w:rPr>
              <w:t>inflows in the Capital Markets, in line with an uptick in client transactions</w:t>
            </w:r>
          </w:p>
        </w:tc>
      </w:tr>
      <w:tr>
        <w:trPr>
          <w:trHeight w:val="165"/>
        </w:trPr>
        <w:tc>
          <w:tcPr>
            <w:tcW w:w="5260" w:type="dxa"/>
            <w:vAlign w:val="bottom"/>
          </w:tcPr>
          <w:p>
            <w:pPr>
              <w:jc w:val="center"/>
              <w:ind w:right="546"/>
              <w:spacing w:after="0"/>
              <w:rPr>
                <w:sz w:val="20"/>
                <w:szCs w:val="20"/>
                <w:color w:val="auto"/>
              </w:rPr>
            </w:pPr>
            <w:r>
              <w:rPr>
                <w:rFonts w:ascii="Arial" w:cs="Arial" w:eastAsia="Arial" w:hAnsi="Arial"/>
                <w:sz w:val="14"/>
                <w:szCs w:val="14"/>
                <w:color w:val="auto"/>
              </w:rPr>
              <w:t>Expenses through Life insurance contracts. This dynamic was partially</w:t>
            </w:r>
          </w:p>
        </w:tc>
        <w:tc>
          <w:tcPr>
            <w:tcW w:w="5260" w:type="dxa"/>
            <w:vAlign w:val="bottom"/>
          </w:tcPr>
          <w:p>
            <w:pPr>
              <w:jc w:val="center"/>
              <w:ind w:left="527"/>
              <w:spacing w:after="0"/>
              <w:rPr>
                <w:sz w:val="20"/>
                <w:szCs w:val="20"/>
                <w:color w:val="auto"/>
              </w:rPr>
            </w:pPr>
            <w:r>
              <w:rPr>
                <w:rFonts w:ascii="Arial" w:cs="Arial" w:eastAsia="Arial" w:hAnsi="Arial"/>
                <w:sz w:val="14"/>
                <w:szCs w:val="14"/>
                <w:color w:val="auto"/>
              </w:rPr>
              <w:t>and via growth in Wealth Management and Asset Management, which</w:t>
            </w:r>
          </w:p>
        </w:tc>
      </w:tr>
      <w:tr>
        <w:trPr>
          <w:trHeight w:val="165"/>
        </w:trPr>
        <w:tc>
          <w:tcPr>
            <w:tcW w:w="5260" w:type="dxa"/>
            <w:vAlign w:val="bottom"/>
          </w:tcPr>
          <w:p>
            <w:pPr>
              <w:jc w:val="center"/>
              <w:ind w:right="546"/>
              <w:spacing w:after="0"/>
              <w:rPr>
                <w:sz w:val="20"/>
                <w:szCs w:val="20"/>
                <w:color w:val="auto"/>
              </w:rPr>
            </w:pPr>
            <w:r>
              <w:rPr>
                <w:rFonts w:ascii="Arial" w:cs="Arial" w:eastAsia="Arial" w:hAnsi="Arial"/>
                <w:sz w:val="14"/>
                <w:szCs w:val="14"/>
                <w:color w:val="auto"/>
              </w:rPr>
              <w:t>offset by an increase in the Underwriting Result for the Life business.</w:t>
            </w:r>
          </w:p>
        </w:tc>
        <w:tc>
          <w:tcPr>
            <w:tcW w:w="5260" w:type="dxa"/>
            <w:vAlign w:val="bottom"/>
          </w:tcPr>
          <w:p>
            <w:pPr>
              <w:jc w:val="center"/>
              <w:ind w:left="527"/>
              <w:spacing w:after="0"/>
              <w:rPr>
                <w:sz w:val="20"/>
                <w:szCs w:val="20"/>
                <w:color w:val="auto"/>
              </w:rPr>
            </w:pPr>
            <w:r>
              <w:rPr>
                <w:rFonts w:ascii="Arial" w:cs="Arial" w:eastAsia="Arial" w:hAnsi="Arial"/>
                <w:sz w:val="14"/>
                <w:szCs w:val="14"/>
                <w:color w:val="auto"/>
              </w:rPr>
              <w:t>was driven by an increase in AUMs. These favorable dynamics are the</w:t>
            </w:r>
          </w:p>
        </w:tc>
      </w:tr>
      <w:tr>
        <w:trPr>
          <w:trHeight w:val="165"/>
        </w:trPr>
        <w:tc>
          <w:tcPr>
            <w:tcW w:w="5260" w:type="dxa"/>
            <w:vAlign w:val="bottom"/>
          </w:tcPr>
          <w:p>
            <w:pPr>
              <w:spacing w:after="0"/>
              <w:rPr>
                <w:sz w:val="14"/>
                <w:szCs w:val="14"/>
                <w:color w:val="auto"/>
              </w:rPr>
            </w:pPr>
          </w:p>
        </w:tc>
        <w:tc>
          <w:tcPr>
            <w:tcW w:w="5260" w:type="dxa"/>
            <w:vAlign w:val="bottom"/>
          </w:tcPr>
          <w:p>
            <w:pPr>
              <w:jc w:val="center"/>
              <w:ind w:left="527"/>
              <w:spacing w:after="0"/>
              <w:rPr>
                <w:sz w:val="20"/>
                <w:szCs w:val="20"/>
                <w:color w:val="auto"/>
              </w:rPr>
            </w:pPr>
            <w:r>
              <w:rPr>
                <w:rFonts w:ascii="Arial" w:cs="Arial" w:eastAsia="Arial" w:hAnsi="Arial"/>
                <w:sz w:val="14"/>
                <w:szCs w:val="14"/>
                <w:color w:val="auto"/>
              </w:rPr>
              <w:t>result of our recent strategic decision to focus on recurring revenue</w:t>
            </w:r>
          </w:p>
        </w:tc>
      </w:tr>
      <w:tr>
        <w:trPr>
          <w:trHeight w:val="190"/>
        </w:trPr>
        <w:tc>
          <w:tcPr>
            <w:tcW w:w="5260" w:type="dxa"/>
            <w:vAlign w:val="bottom"/>
          </w:tcPr>
          <w:p>
            <w:pPr>
              <w:spacing w:after="0"/>
              <w:rPr>
                <w:sz w:val="16"/>
                <w:szCs w:val="16"/>
                <w:color w:val="auto"/>
              </w:rPr>
            </w:pPr>
          </w:p>
        </w:tc>
        <w:tc>
          <w:tcPr>
            <w:tcW w:w="5260" w:type="dxa"/>
            <w:vAlign w:val="bottom"/>
          </w:tcPr>
          <w:p>
            <w:pPr>
              <w:jc w:val="center"/>
              <w:ind w:left="507"/>
              <w:spacing w:after="0"/>
              <w:rPr>
                <w:sz w:val="20"/>
                <w:szCs w:val="20"/>
                <w:color w:val="auto"/>
              </w:rPr>
            </w:pPr>
            <w:r>
              <w:rPr>
                <w:rFonts w:ascii="Arial" w:cs="Arial" w:eastAsia="Arial" w:hAnsi="Arial"/>
                <w:sz w:val="14"/>
                <w:szCs w:val="14"/>
                <w:color w:val="auto"/>
              </w:rPr>
              <w:t>businesses.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-717550</wp:posOffset>
            </wp:positionV>
            <wp:extent cx="6831330" cy="15932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330" cy="159321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FFFFFF"/>
        </w:rPr>
        <w:t>Outlook</w:t>
      </w:r>
    </w:p>
    <w:p>
      <w:pPr>
        <w:spacing w:after="0" w:line="299" w:lineRule="exact"/>
        <w:rPr>
          <w:sz w:val="20"/>
          <w:szCs w:val="20"/>
          <w:color w:val="auto"/>
        </w:rPr>
      </w:pPr>
    </w:p>
    <w:p>
      <w:pPr>
        <w:jc w:val="center"/>
        <w:ind w:right="1200"/>
        <w:spacing w:after="0" w:line="289" w:lineRule="auto"/>
        <w:rPr>
          <w:sz w:val="20"/>
          <w:szCs w:val="20"/>
          <w:color w:val="auto"/>
        </w:rPr>
      </w:pPr>
      <w:r>
        <w:rPr>
          <w:rFonts w:ascii="Arial" w:cs="Arial" w:eastAsia="Arial" w:hAnsi="Arial"/>
          <w:sz w:val="14"/>
          <w:szCs w:val="14"/>
          <w:color w:val="auto"/>
        </w:rPr>
        <w:t>We reaffirm our 2024 ROE guidance of around 17.0%. This expectation is based on resilient Risk-Adjusted NIM, solid growth in Other Core Income, and disciplined management of Operating Expenses, in a context of continued economic recovery.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668655</wp:posOffset>
            </wp:positionV>
            <wp:extent cx="7164705" cy="13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139065</wp:posOffset>
            </wp:positionV>
            <wp:extent cx="1502410" cy="4438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276225</wp:posOffset>
            </wp:positionV>
            <wp:extent cx="1724025" cy="306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24025" cy="306705"/>
                    </a:xfrm>
                    <a:prstGeom prst="rect">
                      <a:avLst/>
                    </a:prstGeom>
                    <a:noFill/>
                  </pic:spPr>
                </pic:pic>
              </a:graphicData>
            </a:graphic>
          </wp:anchor>
        </w:drawing>
      </w:r>
    </w:p>
    <w:p>
      <w:pPr>
        <w:sectPr>
          <w:pgSz w:w="11900" w:h="16838" w:orient="portrait"/>
          <w:cols w:equalWidth="0" w:num="1">
            <w:col w:w="10540"/>
          </w:cols>
          <w:pgMar w:left="640" w:top="298" w:right="719" w:bottom="1440" w:gutter="0" w:footer="0" w:header="0"/>
        </w:sectPr>
      </w:pPr>
    </w:p>
    <w:bookmarkStart w:id="14" w:name="page15"/>
    <w:bookmarkEnd w:id="14"/>
    <w:p>
      <w:pPr>
        <w:ind w:left="2480"/>
        <w:spacing w:after="0"/>
        <w:tabs>
          <w:tab w:leader="none" w:pos="2680" w:val="left"/>
          <w:tab w:leader="none" w:pos="7680"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80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705" cy="588010"/>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Financial Overview</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123"/>
        </w:trPr>
        <w:tc>
          <w:tcPr>
            <w:tcW w:w="3300" w:type="dxa"/>
            <w:vAlign w:val="bottom"/>
            <w:tcBorders>
              <w:top w:val="single" w:sz="8" w:color="auto"/>
              <w:left w:val="single" w:sz="8" w:color="auto"/>
              <w:right w:val="single" w:sz="8" w:color="auto"/>
            </w:tcBorders>
            <w:shd w:val="clear" w:color="auto" w:fill="2AD2C9"/>
          </w:tcPr>
          <w:p>
            <w:pPr>
              <w:ind w:left="100"/>
              <w:spacing w:after="0"/>
              <w:rPr>
                <w:sz w:val="20"/>
                <w:szCs w:val="20"/>
                <w:color w:val="auto"/>
              </w:rPr>
            </w:pPr>
            <w:r>
              <w:rPr>
                <w:rFonts w:ascii="Arial" w:cs="Arial" w:eastAsia="Arial" w:hAnsi="Arial"/>
                <w:sz w:val="8"/>
                <w:szCs w:val="8"/>
                <w:b w:val="1"/>
                <w:bCs w:val="1"/>
                <w:color w:val="FFFFFF"/>
              </w:rPr>
              <w:t>Credicorp Ltd.</w:t>
            </w:r>
          </w:p>
        </w:tc>
        <w:tc>
          <w:tcPr>
            <w:tcW w:w="980" w:type="dxa"/>
            <w:vAlign w:val="bottom"/>
            <w:tcBorders>
              <w:top w:val="single" w:sz="8" w:color="auto"/>
            </w:tcBorders>
            <w:shd w:val="clear" w:color="auto" w:fill="2AD2C9"/>
          </w:tcPr>
          <w:p>
            <w:pPr>
              <w:spacing w:after="0"/>
              <w:rPr>
                <w:sz w:val="10"/>
                <w:szCs w:val="10"/>
                <w:color w:val="auto"/>
              </w:rPr>
            </w:pPr>
          </w:p>
        </w:tc>
        <w:tc>
          <w:tcPr>
            <w:tcW w:w="920" w:type="dxa"/>
            <w:vAlign w:val="bottom"/>
            <w:tcBorders>
              <w:top w:val="single" w:sz="8" w:color="auto"/>
            </w:tcBorders>
            <w:shd w:val="clear" w:color="auto" w:fill="2AD2C9"/>
          </w:tcPr>
          <w:p>
            <w:pPr>
              <w:jc w:val="right"/>
              <w:ind w:right="379"/>
              <w:spacing w:after="0"/>
              <w:rPr>
                <w:sz w:val="20"/>
                <w:szCs w:val="20"/>
                <w:color w:val="auto"/>
              </w:rPr>
            </w:pPr>
            <w:r>
              <w:rPr>
                <w:rFonts w:ascii="Arial" w:cs="Arial" w:eastAsia="Arial" w:hAnsi="Arial"/>
                <w:sz w:val="8"/>
                <w:szCs w:val="8"/>
                <w:b w:val="1"/>
                <w:bCs w:val="1"/>
                <w:color w:val="FFFFFF"/>
              </w:rPr>
              <w:t>Quarter</w:t>
            </w:r>
          </w:p>
        </w:tc>
        <w:tc>
          <w:tcPr>
            <w:tcW w:w="780" w:type="dxa"/>
            <w:vAlign w:val="bottom"/>
            <w:tcBorders>
              <w:top w:val="single" w:sz="8" w:color="auto"/>
              <w:right w:val="single" w:sz="8" w:color="auto"/>
            </w:tcBorders>
            <w:shd w:val="clear" w:color="auto" w:fill="2AD2C9"/>
          </w:tcPr>
          <w:p>
            <w:pPr>
              <w:spacing w:after="0"/>
              <w:rPr>
                <w:sz w:val="10"/>
                <w:szCs w:val="10"/>
                <w:color w:val="auto"/>
              </w:rPr>
            </w:pPr>
          </w:p>
        </w:tc>
        <w:tc>
          <w:tcPr>
            <w:tcW w:w="660" w:type="dxa"/>
            <w:vAlign w:val="bottom"/>
            <w:tcBorders>
              <w:top w:val="single" w:sz="8" w:color="auto"/>
            </w:tcBorders>
            <w:shd w:val="clear" w:color="auto" w:fill="2AD2C9"/>
          </w:tcPr>
          <w:p>
            <w:pPr>
              <w:spacing w:after="0"/>
              <w:rPr>
                <w:sz w:val="10"/>
                <w:szCs w:val="10"/>
                <w:color w:val="auto"/>
              </w:rPr>
            </w:pPr>
          </w:p>
        </w:tc>
        <w:tc>
          <w:tcPr>
            <w:tcW w:w="1160" w:type="dxa"/>
            <w:vAlign w:val="bottom"/>
            <w:tcBorders>
              <w:top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8"/>
                <w:szCs w:val="8"/>
                <w:b w:val="1"/>
                <w:bCs w:val="1"/>
                <w:color w:val="FFFFFF"/>
              </w:rPr>
              <w:t>% change</w:t>
            </w:r>
          </w:p>
        </w:tc>
        <w:tc>
          <w:tcPr>
            <w:tcW w:w="1120" w:type="dxa"/>
            <w:vAlign w:val="bottom"/>
            <w:tcBorders>
              <w:top w:val="single" w:sz="8" w:color="auto"/>
            </w:tcBorders>
            <w:shd w:val="clear" w:color="auto" w:fill="2AD2C9"/>
          </w:tcPr>
          <w:p>
            <w:pPr>
              <w:jc w:val="right"/>
              <w:ind w:right="79"/>
              <w:spacing w:after="0"/>
              <w:rPr>
                <w:sz w:val="20"/>
                <w:szCs w:val="20"/>
                <w:color w:val="auto"/>
              </w:rPr>
            </w:pPr>
            <w:r>
              <w:rPr>
                <w:rFonts w:ascii="Arial" w:cs="Arial" w:eastAsia="Arial" w:hAnsi="Arial"/>
                <w:sz w:val="8"/>
                <w:szCs w:val="8"/>
                <w:b w:val="1"/>
                <w:bCs w:val="1"/>
                <w:color w:val="FFFFFF"/>
              </w:rPr>
              <w:t>Up to</w:t>
            </w:r>
          </w:p>
        </w:tc>
        <w:tc>
          <w:tcPr>
            <w:tcW w:w="680" w:type="dxa"/>
            <w:vAlign w:val="bottom"/>
            <w:tcBorders>
              <w:top w:val="single" w:sz="8" w:color="auto"/>
              <w:right w:val="single" w:sz="8" w:color="auto"/>
            </w:tcBorders>
            <w:shd w:val="clear" w:color="auto" w:fill="2AD2C9"/>
          </w:tcPr>
          <w:p>
            <w:pPr>
              <w:spacing w:after="0"/>
              <w:rPr>
                <w:sz w:val="10"/>
                <w:szCs w:val="10"/>
                <w:color w:val="auto"/>
              </w:rPr>
            </w:pPr>
          </w:p>
        </w:tc>
        <w:tc>
          <w:tcPr>
            <w:tcW w:w="92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rPr>
              <w:t>% change</w:t>
            </w:r>
          </w:p>
        </w:tc>
        <w:tc>
          <w:tcPr>
            <w:tcW w:w="0" w:type="dxa"/>
            <w:vAlign w:val="bottom"/>
          </w:tcPr>
          <w:p>
            <w:pPr>
              <w:spacing w:after="0"/>
              <w:rPr>
                <w:sz w:val="1"/>
                <w:szCs w:val="1"/>
                <w:color w:val="auto"/>
              </w:rPr>
            </w:pPr>
          </w:p>
        </w:tc>
      </w:tr>
      <w:tr>
        <w:trPr>
          <w:trHeight w:val="118"/>
        </w:trPr>
        <w:tc>
          <w:tcPr>
            <w:tcW w:w="3300" w:type="dxa"/>
            <w:vAlign w:val="bottom"/>
            <w:tcBorders>
              <w:left w:val="single" w:sz="8" w:color="auto"/>
              <w:bottom w:val="single" w:sz="8" w:color="auto"/>
              <w:right w:val="single" w:sz="8" w:color="auto"/>
            </w:tcBorders>
            <w:shd w:val="clear" w:color="auto" w:fill="2AD2C9"/>
          </w:tcPr>
          <w:p>
            <w:pPr>
              <w:ind w:left="100"/>
              <w:spacing w:after="0"/>
              <w:rPr>
                <w:sz w:val="20"/>
                <w:szCs w:val="20"/>
                <w:color w:val="auto"/>
              </w:rPr>
            </w:pPr>
            <w:r>
              <w:rPr>
                <w:rFonts w:ascii="Arial" w:cs="Arial" w:eastAsia="Arial" w:hAnsi="Arial"/>
                <w:sz w:val="8"/>
                <w:szCs w:val="8"/>
                <w:b w:val="1"/>
                <w:bCs w:val="1"/>
                <w:color w:val="FFFFFF"/>
              </w:rPr>
              <w:t>S/000</w:t>
            </w:r>
          </w:p>
        </w:tc>
        <w:tc>
          <w:tcPr>
            <w:tcW w:w="980" w:type="dxa"/>
            <w:vAlign w:val="bottom"/>
            <w:tcBorders>
              <w:bottom w:val="single" w:sz="8" w:color="auto"/>
            </w:tcBorders>
            <w:shd w:val="clear" w:color="auto" w:fill="2AD2C9"/>
          </w:tcPr>
          <w:p>
            <w:pPr>
              <w:jc w:val="right"/>
              <w:ind w:right="399"/>
              <w:spacing w:after="0"/>
              <w:rPr>
                <w:sz w:val="20"/>
                <w:szCs w:val="20"/>
                <w:color w:val="auto"/>
              </w:rPr>
            </w:pPr>
            <w:r>
              <w:rPr>
                <w:rFonts w:ascii="Arial" w:cs="Arial" w:eastAsia="Arial" w:hAnsi="Arial"/>
                <w:sz w:val="8"/>
                <w:szCs w:val="8"/>
                <w:b w:val="1"/>
                <w:bCs w:val="1"/>
                <w:color w:val="FFFFFF"/>
              </w:rPr>
              <w:t>2Q23</w:t>
            </w:r>
          </w:p>
        </w:tc>
        <w:tc>
          <w:tcPr>
            <w:tcW w:w="920" w:type="dxa"/>
            <w:vAlign w:val="bottom"/>
            <w:tcBorders>
              <w:bottom w:val="single" w:sz="8" w:color="auto"/>
            </w:tcBorders>
            <w:shd w:val="clear" w:color="auto" w:fill="2AD2C9"/>
          </w:tcPr>
          <w:p>
            <w:pPr>
              <w:jc w:val="right"/>
              <w:ind w:right="439"/>
              <w:spacing w:after="0"/>
              <w:rPr>
                <w:sz w:val="20"/>
                <w:szCs w:val="20"/>
                <w:color w:val="auto"/>
              </w:rPr>
            </w:pPr>
            <w:r>
              <w:rPr>
                <w:rFonts w:ascii="Arial" w:cs="Arial" w:eastAsia="Arial" w:hAnsi="Arial"/>
                <w:sz w:val="8"/>
                <w:szCs w:val="8"/>
                <w:b w:val="1"/>
                <w:bCs w:val="1"/>
                <w:color w:val="FFFFFF"/>
              </w:rPr>
              <w:t>1Q24</w:t>
            </w:r>
          </w:p>
        </w:tc>
        <w:tc>
          <w:tcPr>
            <w:tcW w:w="780" w:type="dxa"/>
            <w:vAlign w:val="bottom"/>
            <w:tcBorders>
              <w:bottom w:val="single" w:sz="8" w:color="auto"/>
              <w:right w:val="single" w:sz="8" w:color="auto"/>
            </w:tcBorders>
            <w:shd w:val="clear" w:color="auto" w:fill="2AD2C9"/>
          </w:tcPr>
          <w:p>
            <w:pPr>
              <w:jc w:val="right"/>
              <w:ind w:right="319"/>
              <w:spacing w:after="0"/>
              <w:rPr>
                <w:sz w:val="20"/>
                <w:szCs w:val="20"/>
                <w:color w:val="auto"/>
              </w:rPr>
            </w:pPr>
            <w:r>
              <w:rPr>
                <w:rFonts w:ascii="Arial" w:cs="Arial" w:eastAsia="Arial" w:hAnsi="Arial"/>
                <w:sz w:val="8"/>
                <w:szCs w:val="8"/>
                <w:b w:val="1"/>
                <w:bCs w:val="1"/>
                <w:color w:val="FFFFFF"/>
              </w:rPr>
              <w:t>2Q24</w:t>
            </w:r>
          </w:p>
        </w:tc>
        <w:tc>
          <w:tcPr>
            <w:tcW w:w="660" w:type="dxa"/>
            <w:vAlign w:val="bottom"/>
            <w:tcBorders>
              <w:bottom w:val="single" w:sz="8" w:color="auto"/>
            </w:tcBorders>
            <w:shd w:val="clear" w:color="auto" w:fill="2AD2C9"/>
          </w:tcPr>
          <w:p>
            <w:pPr>
              <w:jc w:val="center"/>
              <w:ind w:left="199"/>
              <w:spacing w:after="0"/>
              <w:rPr>
                <w:sz w:val="20"/>
                <w:szCs w:val="20"/>
                <w:color w:val="auto"/>
              </w:rPr>
            </w:pPr>
            <w:r>
              <w:rPr>
                <w:rFonts w:ascii="Arial" w:cs="Arial" w:eastAsia="Arial" w:hAnsi="Arial"/>
                <w:sz w:val="8"/>
                <w:szCs w:val="8"/>
                <w:b w:val="1"/>
                <w:bCs w:val="1"/>
                <w:color w:val="FFFFFF"/>
              </w:rPr>
              <w:t>QoQ</w:t>
            </w:r>
          </w:p>
        </w:tc>
        <w:tc>
          <w:tcPr>
            <w:tcW w:w="1160" w:type="dxa"/>
            <w:vAlign w:val="bottom"/>
            <w:tcBorders>
              <w:bottom w:val="single" w:sz="8" w:color="auto"/>
              <w:right w:val="single" w:sz="8" w:color="auto"/>
            </w:tcBorders>
            <w:shd w:val="clear" w:color="auto" w:fill="2AD2C9"/>
          </w:tcPr>
          <w:p>
            <w:pPr>
              <w:jc w:val="center"/>
              <w:ind w:left="159"/>
              <w:spacing w:after="0"/>
              <w:rPr>
                <w:sz w:val="20"/>
                <w:szCs w:val="20"/>
                <w:color w:val="auto"/>
              </w:rPr>
            </w:pPr>
            <w:r>
              <w:rPr>
                <w:rFonts w:ascii="Arial" w:cs="Arial" w:eastAsia="Arial" w:hAnsi="Arial"/>
                <w:sz w:val="8"/>
                <w:szCs w:val="8"/>
                <w:b w:val="1"/>
                <w:bCs w:val="1"/>
                <w:color w:val="FFFFFF"/>
              </w:rPr>
              <w:t>YoY</w:t>
            </w:r>
          </w:p>
        </w:tc>
        <w:tc>
          <w:tcPr>
            <w:tcW w:w="1120" w:type="dxa"/>
            <w:vAlign w:val="bottom"/>
            <w:tcBorders>
              <w:bottom w:val="single" w:sz="8" w:color="auto"/>
            </w:tcBorders>
            <w:shd w:val="clear" w:color="auto" w:fill="2AD2C9"/>
          </w:tcPr>
          <w:p>
            <w:pPr>
              <w:jc w:val="right"/>
              <w:ind w:right="539"/>
              <w:spacing w:after="0"/>
              <w:rPr>
                <w:sz w:val="20"/>
                <w:szCs w:val="20"/>
                <w:color w:val="auto"/>
              </w:rPr>
            </w:pPr>
            <w:r>
              <w:rPr>
                <w:rFonts w:ascii="Arial" w:cs="Arial" w:eastAsia="Arial" w:hAnsi="Arial"/>
                <w:sz w:val="8"/>
                <w:szCs w:val="8"/>
                <w:b w:val="1"/>
                <w:bCs w:val="1"/>
                <w:color w:val="FFFFFF"/>
              </w:rPr>
              <w:t>1H23</w:t>
            </w:r>
          </w:p>
        </w:tc>
        <w:tc>
          <w:tcPr>
            <w:tcW w:w="680" w:type="dxa"/>
            <w:vAlign w:val="bottom"/>
            <w:tcBorders>
              <w:bottom w:val="single" w:sz="8" w:color="auto"/>
              <w:right w:val="single" w:sz="8" w:color="auto"/>
            </w:tcBorders>
            <w:shd w:val="clear" w:color="auto" w:fill="2AD2C9"/>
          </w:tcPr>
          <w:p>
            <w:pPr>
              <w:jc w:val="right"/>
              <w:ind w:right="319"/>
              <w:spacing w:after="0"/>
              <w:rPr>
                <w:sz w:val="20"/>
                <w:szCs w:val="20"/>
                <w:color w:val="auto"/>
              </w:rPr>
            </w:pPr>
            <w:r>
              <w:rPr>
                <w:rFonts w:ascii="Arial" w:cs="Arial" w:eastAsia="Arial" w:hAnsi="Arial"/>
                <w:sz w:val="8"/>
                <w:szCs w:val="8"/>
                <w:b w:val="1"/>
                <w:bCs w:val="1"/>
                <w:color w:val="FFFFFF"/>
              </w:rPr>
              <w:t>1H24</w:t>
            </w:r>
          </w:p>
        </w:tc>
        <w:tc>
          <w:tcPr>
            <w:tcW w:w="9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rPr>
              <w:t>1H24 / 1H23</w:t>
            </w:r>
          </w:p>
        </w:tc>
        <w:tc>
          <w:tcPr>
            <w:tcW w:w="0" w:type="dxa"/>
            <w:vAlign w:val="bottom"/>
          </w:tcPr>
          <w:p>
            <w:pPr>
              <w:spacing w:after="0"/>
              <w:rPr>
                <w:sz w:val="1"/>
                <w:szCs w:val="1"/>
                <w:color w:val="auto"/>
              </w:rPr>
            </w:pPr>
          </w:p>
        </w:tc>
      </w:tr>
      <w:tr>
        <w:trPr>
          <w:trHeight w:val="78"/>
        </w:trPr>
        <w:tc>
          <w:tcPr>
            <w:tcW w:w="3300" w:type="dxa"/>
            <w:vAlign w:val="bottom"/>
            <w:tcBorders>
              <w:left w:val="single" w:sz="8" w:color="auto"/>
              <w:right w:val="single" w:sz="8" w:color="auto"/>
            </w:tcBorders>
          </w:tcPr>
          <w:p>
            <w:pPr>
              <w:ind w:left="100"/>
              <w:spacing w:after="0" w:line="78" w:lineRule="exact"/>
              <w:rPr>
                <w:sz w:val="20"/>
                <w:szCs w:val="20"/>
                <w:color w:val="auto"/>
              </w:rPr>
            </w:pPr>
            <w:r>
              <w:rPr>
                <w:rFonts w:ascii="Arial" w:cs="Arial" w:eastAsia="Arial" w:hAnsi="Arial"/>
                <w:sz w:val="8"/>
                <w:szCs w:val="8"/>
                <w:color w:val="auto"/>
              </w:rPr>
              <w:t>Net interest, similar income and expenses</w:t>
            </w:r>
          </w:p>
        </w:tc>
        <w:tc>
          <w:tcPr>
            <w:tcW w:w="980" w:type="dxa"/>
            <w:vAlign w:val="bottom"/>
          </w:tcPr>
          <w:p>
            <w:pPr>
              <w:jc w:val="right"/>
              <w:ind w:right="139"/>
              <w:spacing w:after="0" w:line="78" w:lineRule="exact"/>
              <w:rPr>
                <w:sz w:val="20"/>
                <w:szCs w:val="20"/>
                <w:color w:val="auto"/>
              </w:rPr>
            </w:pPr>
            <w:r>
              <w:rPr>
                <w:rFonts w:ascii="Arial" w:cs="Arial" w:eastAsia="Arial" w:hAnsi="Arial"/>
                <w:sz w:val="8"/>
                <w:szCs w:val="8"/>
                <w:color w:val="auto"/>
              </w:rPr>
              <w:t>3,204,156</w:t>
            </w:r>
          </w:p>
        </w:tc>
        <w:tc>
          <w:tcPr>
            <w:tcW w:w="920" w:type="dxa"/>
            <w:vAlign w:val="bottom"/>
          </w:tcPr>
          <w:p>
            <w:pPr>
              <w:jc w:val="right"/>
              <w:ind w:right="159"/>
              <w:spacing w:after="0" w:line="78" w:lineRule="exact"/>
              <w:rPr>
                <w:sz w:val="20"/>
                <w:szCs w:val="20"/>
                <w:color w:val="auto"/>
              </w:rPr>
            </w:pPr>
            <w:r>
              <w:rPr>
                <w:rFonts w:ascii="Arial" w:cs="Arial" w:eastAsia="Arial" w:hAnsi="Arial"/>
                <w:sz w:val="8"/>
                <w:szCs w:val="8"/>
                <w:color w:val="auto"/>
              </w:rPr>
              <w:t>3,426,123</w:t>
            </w:r>
          </w:p>
        </w:tc>
        <w:tc>
          <w:tcPr>
            <w:tcW w:w="780" w:type="dxa"/>
            <w:vAlign w:val="bottom"/>
            <w:tcBorders>
              <w:right w:val="single" w:sz="8" w:color="auto"/>
            </w:tcBorders>
          </w:tcPr>
          <w:p>
            <w:pPr>
              <w:jc w:val="right"/>
              <w:ind w:right="39"/>
              <w:spacing w:after="0" w:line="78" w:lineRule="exact"/>
              <w:rPr>
                <w:sz w:val="20"/>
                <w:szCs w:val="20"/>
                <w:color w:val="auto"/>
              </w:rPr>
            </w:pPr>
            <w:r>
              <w:rPr>
                <w:rFonts w:ascii="Arial" w:cs="Arial" w:eastAsia="Arial" w:hAnsi="Arial"/>
                <w:sz w:val="8"/>
                <w:szCs w:val="8"/>
                <w:color w:val="auto"/>
              </w:rPr>
              <w:t>3,468,464</w:t>
            </w:r>
          </w:p>
        </w:tc>
        <w:tc>
          <w:tcPr>
            <w:tcW w:w="660" w:type="dxa"/>
            <w:vAlign w:val="bottom"/>
          </w:tcPr>
          <w:p>
            <w:pPr>
              <w:jc w:val="center"/>
              <w:ind w:left="179"/>
              <w:spacing w:after="0" w:line="78" w:lineRule="exact"/>
              <w:rPr>
                <w:sz w:val="20"/>
                <w:szCs w:val="20"/>
                <w:color w:val="auto"/>
              </w:rPr>
            </w:pPr>
            <w:r>
              <w:rPr>
                <w:rFonts w:ascii="Arial" w:cs="Arial" w:eastAsia="Arial" w:hAnsi="Arial"/>
                <w:sz w:val="8"/>
                <w:szCs w:val="8"/>
                <w:color w:val="auto"/>
              </w:rPr>
              <w:t>1.2%</w:t>
            </w:r>
          </w:p>
        </w:tc>
        <w:tc>
          <w:tcPr>
            <w:tcW w:w="1160" w:type="dxa"/>
            <w:vAlign w:val="bottom"/>
            <w:tcBorders>
              <w:right w:val="single" w:sz="8" w:color="auto"/>
            </w:tcBorders>
          </w:tcPr>
          <w:p>
            <w:pPr>
              <w:jc w:val="center"/>
              <w:ind w:left="159"/>
              <w:spacing w:after="0" w:line="78" w:lineRule="exact"/>
              <w:rPr>
                <w:sz w:val="20"/>
                <w:szCs w:val="20"/>
                <w:color w:val="auto"/>
              </w:rPr>
            </w:pPr>
            <w:r>
              <w:rPr>
                <w:rFonts w:ascii="Arial" w:cs="Arial" w:eastAsia="Arial" w:hAnsi="Arial"/>
                <w:sz w:val="8"/>
                <w:szCs w:val="8"/>
                <w:color w:val="auto"/>
              </w:rPr>
              <w:t>8.2%</w:t>
            </w:r>
          </w:p>
        </w:tc>
        <w:tc>
          <w:tcPr>
            <w:tcW w:w="1120" w:type="dxa"/>
            <w:vAlign w:val="bottom"/>
          </w:tcPr>
          <w:p>
            <w:pPr>
              <w:jc w:val="right"/>
              <w:ind w:right="279"/>
              <w:spacing w:after="0" w:line="78" w:lineRule="exact"/>
              <w:rPr>
                <w:sz w:val="20"/>
                <w:szCs w:val="20"/>
                <w:color w:val="auto"/>
              </w:rPr>
            </w:pPr>
            <w:r>
              <w:rPr>
                <w:rFonts w:ascii="Arial" w:cs="Arial" w:eastAsia="Arial" w:hAnsi="Arial"/>
                <w:sz w:val="8"/>
                <w:szCs w:val="8"/>
                <w:color w:val="auto"/>
              </w:rPr>
              <w:t>6,336,245</w:t>
            </w:r>
          </w:p>
        </w:tc>
        <w:tc>
          <w:tcPr>
            <w:tcW w:w="680" w:type="dxa"/>
            <w:vAlign w:val="bottom"/>
            <w:tcBorders>
              <w:right w:val="single" w:sz="8" w:color="auto"/>
            </w:tcBorders>
          </w:tcPr>
          <w:p>
            <w:pPr>
              <w:jc w:val="right"/>
              <w:ind w:right="39"/>
              <w:spacing w:after="0" w:line="78" w:lineRule="exact"/>
              <w:rPr>
                <w:sz w:val="20"/>
                <w:szCs w:val="20"/>
                <w:color w:val="auto"/>
              </w:rPr>
            </w:pPr>
            <w:r>
              <w:rPr>
                <w:rFonts w:ascii="Arial" w:cs="Arial" w:eastAsia="Arial" w:hAnsi="Arial"/>
                <w:sz w:val="8"/>
                <w:szCs w:val="8"/>
                <w:color w:val="auto"/>
              </w:rPr>
              <w:t>6,894,587</w:t>
            </w:r>
          </w:p>
        </w:tc>
        <w:tc>
          <w:tcPr>
            <w:tcW w:w="920" w:type="dxa"/>
            <w:vAlign w:val="bottom"/>
            <w:tcBorders>
              <w:right w:val="single" w:sz="8" w:color="auto"/>
            </w:tcBorders>
          </w:tcPr>
          <w:p>
            <w:pPr>
              <w:jc w:val="center"/>
              <w:spacing w:after="0" w:line="78" w:lineRule="exact"/>
              <w:rPr>
                <w:sz w:val="20"/>
                <w:szCs w:val="20"/>
                <w:color w:val="auto"/>
              </w:rPr>
            </w:pPr>
            <w:r>
              <w:rPr>
                <w:rFonts w:ascii="Arial" w:cs="Arial" w:eastAsia="Arial" w:hAnsi="Arial"/>
                <w:sz w:val="8"/>
                <w:szCs w:val="8"/>
                <w:color w:val="auto"/>
              </w:rPr>
              <w:t>8.8%</w:t>
            </w: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Provision for credit losses on loan portfolio, net of recoveries</w:t>
            </w:r>
          </w:p>
        </w:tc>
        <w:tc>
          <w:tcPr>
            <w:tcW w:w="980" w:type="dxa"/>
            <w:vAlign w:val="bottom"/>
          </w:tcPr>
          <w:p>
            <w:pPr>
              <w:jc w:val="right"/>
              <w:ind w:right="139"/>
              <w:spacing w:after="0"/>
              <w:rPr>
                <w:sz w:val="20"/>
                <w:szCs w:val="20"/>
                <w:color w:val="auto"/>
              </w:rPr>
            </w:pPr>
            <w:r>
              <w:rPr>
                <w:rFonts w:ascii="Arial" w:cs="Arial" w:eastAsia="Arial" w:hAnsi="Arial"/>
                <w:sz w:val="8"/>
                <w:szCs w:val="8"/>
                <w:color w:val="auto"/>
              </w:rPr>
              <w:t>(804,251)</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(814,699)</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(1,093,371)</w:t>
            </w:r>
          </w:p>
        </w:tc>
        <w:tc>
          <w:tcPr>
            <w:tcW w:w="660" w:type="dxa"/>
            <w:vAlign w:val="bottom"/>
          </w:tcPr>
          <w:p>
            <w:pPr>
              <w:jc w:val="center"/>
              <w:ind w:left="179"/>
              <w:spacing w:after="0"/>
              <w:rPr>
                <w:sz w:val="20"/>
                <w:szCs w:val="20"/>
                <w:color w:val="auto"/>
              </w:rPr>
            </w:pPr>
            <w:r>
              <w:rPr>
                <w:rFonts w:ascii="Arial" w:cs="Arial" w:eastAsia="Arial" w:hAnsi="Arial"/>
                <w:sz w:val="8"/>
                <w:szCs w:val="8"/>
                <w:color w:val="auto"/>
              </w:rPr>
              <w:t>34.2%</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color w:val="auto"/>
              </w:rPr>
              <w:t>35.9%</w:t>
            </w:r>
          </w:p>
        </w:tc>
        <w:tc>
          <w:tcPr>
            <w:tcW w:w="1120" w:type="dxa"/>
            <w:vAlign w:val="bottom"/>
          </w:tcPr>
          <w:p>
            <w:pPr>
              <w:jc w:val="right"/>
              <w:ind w:right="279"/>
              <w:spacing w:after="0"/>
              <w:rPr>
                <w:sz w:val="20"/>
                <w:szCs w:val="20"/>
                <w:color w:val="auto"/>
              </w:rPr>
            </w:pPr>
            <w:r>
              <w:rPr>
                <w:rFonts w:ascii="Arial" w:cs="Arial" w:eastAsia="Arial" w:hAnsi="Arial"/>
                <w:sz w:val="8"/>
                <w:szCs w:val="8"/>
                <w:color w:val="auto"/>
              </w:rPr>
              <w:t>(1,531,249)</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(1,908,070)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24.6%</w:t>
            </w: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b w:val="1"/>
                <w:bCs w:val="1"/>
                <w:color w:val="auto"/>
              </w:rPr>
              <w:t>Net interest, similar income and expenses, after provision for credit losses on</w:t>
            </w:r>
          </w:p>
        </w:tc>
        <w:tc>
          <w:tcPr>
            <w:tcW w:w="980" w:type="dxa"/>
            <w:vAlign w:val="bottom"/>
            <w:vMerge w:val="restart"/>
          </w:tcPr>
          <w:p>
            <w:pPr>
              <w:jc w:val="right"/>
              <w:ind w:right="139"/>
              <w:spacing w:after="0"/>
              <w:rPr>
                <w:sz w:val="20"/>
                <w:szCs w:val="20"/>
                <w:color w:val="auto"/>
              </w:rPr>
            </w:pPr>
            <w:r>
              <w:rPr>
                <w:rFonts w:ascii="Arial" w:cs="Arial" w:eastAsia="Arial" w:hAnsi="Arial"/>
                <w:sz w:val="8"/>
                <w:szCs w:val="8"/>
                <w:b w:val="1"/>
                <w:bCs w:val="1"/>
                <w:color w:val="auto"/>
              </w:rPr>
              <w:t>2,399,905</w:t>
            </w:r>
          </w:p>
        </w:tc>
        <w:tc>
          <w:tcPr>
            <w:tcW w:w="920" w:type="dxa"/>
            <w:vAlign w:val="bottom"/>
            <w:vMerge w:val="restart"/>
          </w:tcPr>
          <w:p>
            <w:pPr>
              <w:jc w:val="right"/>
              <w:ind w:right="159"/>
              <w:spacing w:after="0"/>
              <w:rPr>
                <w:sz w:val="20"/>
                <w:szCs w:val="20"/>
                <w:color w:val="auto"/>
              </w:rPr>
            </w:pPr>
            <w:r>
              <w:rPr>
                <w:rFonts w:ascii="Arial" w:cs="Arial" w:eastAsia="Arial" w:hAnsi="Arial"/>
                <w:sz w:val="8"/>
                <w:szCs w:val="8"/>
                <w:b w:val="1"/>
                <w:bCs w:val="1"/>
                <w:color w:val="auto"/>
              </w:rPr>
              <w:t>2,611,424</w:t>
            </w:r>
          </w:p>
        </w:tc>
        <w:tc>
          <w:tcPr>
            <w:tcW w:w="780" w:type="dxa"/>
            <w:vAlign w:val="bottom"/>
            <w:tcBorders>
              <w:right w:val="single" w:sz="8" w:color="auto"/>
            </w:tcBorders>
            <w:vMerge w:val="restart"/>
          </w:tcPr>
          <w:p>
            <w:pPr>
              <w:jc w:val="right"/>
              <w:ind w:right="39"/>
              <w:spacing w:after="0"/>
              <w:rPr>
                <w:sz w:val="20"/>
                <w:szCs w:val="20"/>
                <w:color w:val="auto"/>
              </w:rPr>
            </w:pPr>
            <w:r>
              <w:rPr>
                <w:rFonts w:ascii="Arial" w:cs="Arial" w:eastAsia="Arial" w:hAnsi="Arial"/>
                <w:sz w:val="8"/>
                <w:szCs w:val="8"/>
                <w:b w:val="1"/>
                <w:bCs w:val="1"/>
                <w:color w:val="auto"/>
              </w:rPr>
              <w:t>2,375,093</w:t>
            </w:r>
          </w:p>
        </w:tc>
        <w:tc>
          <w:tcPr>
            <w:tcW w:w="660" w:type="dxa"/>
            <w:vAlign w:val="bottom"/>
            <w:vMerge w:val="restart"/>
          </w:tcPr>
          <w:p>
            <w:pPr>
              <w:jc w:val="center"/>
              <w:ind w:left="179"/>
              <w:spacing w:after="0"/>
              <w:rPr>
                <w:sz w:val="20"/>
                <w:szCs w:val="20"/>
                <w:color w:val="auto"/>
              </w:rPr>
            </w:pPr>
            <w:r>
              <w:rPr>
                <w:rFonts w:ascii="Arial" w:cs="Arial" w:eastAsia="Arial" w:hAnsi="Arial"/>
                <w:sz w:val="8"/>
                <w:szCs w:val="8"/>
                <w:b w:val="1"/>
                <w:bCs w:val="1"/>
                <w:color w:val="auto"/>
                <w:w w:val="95"/>
              </w:rPr>
              <w:t>-9.0%</w:t>
            </w:r>
          </w:p>
        </w:tc>
        <w:tc>
          <w:tcPr>
            <w:tcW w:w="1160" w:type="dxa"/>
            <w:vAlign w:val="bottom"/>
            <w:tcBorders>
              <w:right w:val="single" w:sz="8" w:color="auto"/>
            </w:tcBorders>
            <w:vMerge w:val="restart"/>
          </w:tcPr>
          <w:p>
            <w:pPr>
              <w:jc w:val="center"/>
              <w:ind w:left="159"/>
              <w:spacing w:after="0"/>
              <w:rPr>
                <w:sz w:val="20"/>
                <w:szCs w:val="20"/>
                <w:color w:val="auto"/>
              </w:rPr>
            </w:pPr>
            <w:r>
              <w:rPr>
                <w:rFonts w:ascii="Arial" w:cs="Arial" w:eastAsia="Arial" w:hAnsi="Arial"/>
                <w:sz w:val="8"/>
                <w:szCs w:val="8"/>
                <w:b w:val="1"/>
                <w:bCs w:val="1"/>
                <w:color w:val="auto"/>
                <w:w w:val="95"/>
              </w:rPr>
              <w:t>-1.0%</w:t>
            </w:r>
          </w:p>
        </w:tc>
        <w:tc>
          <w:tcPr>
            <w:tcW w:w="1120" w:type="dxa"/>
            <w:vAlign w:val="bottom"/>
            <w:vMerge w:val="restart"/>
          </w:tcPr>
          <w:p>
            <w:pPr>
              <w:jc w:val="right"/>
              <w:ind w:right="279"/>
              <w:spacing w:after="0"/>
              <w:rPr>
                <w:sz w:val="20"/>
                <w:szCs w:val="20"/>
                <w:color w:val="auto"/>
              </w:rPr>
            </w:pPr>
            <w:r>
              <w:rPr>
                <w:rFonts w:ascii="Arial" w:cs="Arial" w:eastAsia="Arial" w:hAnsi="Arial"/>
                <w:sz w:val="8"/>
                <w:szCs w:val="8"/>
                <w:b w:val="1"/>
                <w:bCs w:val="1"/>
                <w:color w:val="auto"/>
              </w:rPr>
              <w:t>4,804,996</w:t>
            </w:r>
          </w:p>
        </w:tc>
        <w:tc>
          <w:tcPr>
            <w:tcW w:w="680" w:type="dxa"/>
            <w:vAlign w:val="bottom"/>
            <w:tcBorders>
              <w:right w:val="single" w:sz="8" w:color="auto"/>
            </w:tcBorders>
            <w:vMerge w:val="restart"/>
          </w:tcPr>
          <w:p>
            <w:pPr>
              <w:jc w:val="right"/>
              <w:ind w:right="39"/>
              <w:spacing w:after="0"/>
              <w:rPr>
                <w:sz w:val="20"/>
                <w:szCs w:val="20"/>
                <w:color w:val="auto"/>
              </w:rPr>
            </w:pPr>
            <w:r>
              <w:rPr>
                <w:rFonts w:ascii="Arial" w:cs="Arial" w:eastAsia="Arial" w:hAnsi="Arial"/>
                <w:sz w:val="8"/>
                <w:szCs w:val="8"/>
                <w:b w:val="1"/>
                <w:bCs w:val="1"/>
                <w:color w:val="auto"/>
              </w:rPr>
              <w:t>4,986,517</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8"/>
                <w:szCs w:val="8"/>
                <w:b w:val="1"/>
                <w:bCs w:val="1"/>
                <w:color w:val="auto"/>
              </w:rPr>
              <w:t>3.8%</w:t>
            </w:r>
          </w:p>
        </w:tc>
        <w:tc>
          <w:tcPr>
            <w:tcW w:w="0" w:type="dxa"/>
            <w:vAlign w:val="bottom"/>
          </w:tcPr>
          <w:p>
            <w:pPr>
              <w:spacing w:after="0"/>
              <w:rPr>
                <w:sz w:val="1"/>
                <w:szCs w:val="1"/>
                <w:color w:val="auto"/>
              </w:rPr>
            </w:pPr>
          </w:p>
        </w:tc>
      </w:tr>
      <w:tr>
        <w:trPr>
          <w:trHeight w:val="61"/>
        </w:trPr>
        <w:tc>
          <w:tcPr>
            <w:tcW w:w="330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8"/>
                <w:szCs w:val="8"/>
                <w:b w:val="1"/>
                <w:bCs w:val="1"/>
                <w:color w:val="auto"/>
              </w:rPr>
              <w:t>loan portfolio</w:t>
            </w:r>
          </w:p>
        </w:tc>
        <w:tc>
          <w:tcPr>
            <w:tcW w:w="9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80" w:type="dxa"/>
            <w:vAlign w:val="bottom"/>
            <w:tcBorders>
              <w:right w:val="single" w:sz="8" w:color="auto"/>
            </w:tcBorders>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160" w:type="dxa"/>
            <w:vAlign w:val="bottom"/>
            <w:tcBorders>
              <w:right w:val="single" w:sz="8" w:color="auto"/>
            </w:tcBorders>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3300" w:type="dxa"/>
            <w:vAlign w:val="bottom"/>
            <w:tcBorders>
              <w:left w:val="single" w:sz="8" w:color="auto"/>
              <w:right w:val="single" w:sz="8" w:color="auto"/>
            </w:tcBorders>
            <w:vMerge w:val="continue"/>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Other income</w:t>
            </w:r>
          </w:p>
        </w:tc>
        <w:tc>
          <w:tcPr>
            <w:tcW w:w="980" w:type="dxa"/>
            <w:vAlign w:val="bottom"/>
          </w:tcPr>
          <w:p>
            <w:pPr>
              <w:jc w:val="right"/>
              <w:ind w:right="139"/>
              <w:spacing w:after="0"/>
              <w:rPr>
                <w:sz w:val="20"/>
                <w:szCs w:val="20"/>
                <w:color w:val="auto"/>
              </w:rPr>
            </w:pPr>
            <w:r>
              <w:rPr>
                <w:rFonts w:ascii="Arial" w:cs="Arial" w:eastAsia="Arial" w:hAnsi="Arial"/>
                <w:sz w:val="8"/>
                <w:szCs w:val="8"/>
                <w:color w:val="auto"/>
              </w:rPr>
              <w:t>1,433,124</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1,459,394</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1,661,479</w:t>
            </w:r>
          </w:p>
        </w:tc>
        <w:tc>
          <w:tcPr>
            <w:tcW w:w="660" w:type="dxa"/>
            <w:vAlign w:val="bottom"/>
          </w:tcPr>
          <w:p>
            <w:pPr>
              <w:jc w:val="center"/>
              <w:ind w:left="179"/>
              <w:spacing w:after="0"/>
              <w:rPr>
                <w:sz w:val="20"/>
                <w:szCs w:val="20"/>
                <w:color w:val="auto"/>
              </w:rPr>
            </w:pPr>
            <w:r>
              <w:rPr>
                <w:rFonts w:ascii="Arial" w:cs="Arial" w:eastAsia="Arial" w:hAnsi="Arial"/>
                <w:sz w:val="8"/>
                <w:szCs w:val="8"/>
                <w:color w:val="auto"/>
              </w:rPr>
              <w:t>13.8%</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color w:val="auto"/>
              </w:rPr>
              <w:t>15.9%</w:t>
            </w:r>
          </w:p>
        </w:tc>
        <w:tc>
          <w:tcPr>
            <w:tcW w:w="1120" w:type="dxa"/>
            <w:vAlign w:val="bottom"/>
          </w:tcPr>
          <w:p>
            <w:pPr>
              <w:jc w:val="right"/>
              <w:ind w:right="279"/>
              <w:spacing w:after="0"/>
              <w:rPr>
                <w:sz w:val="20"/>
                <w:szCs w:val="20"/>
                <w:color w:val="auto"/>
              </w:rPr>
            </w:pPr>
            <w:r>
              <w:rPr>
                <w:rFonts w:ascii="Arial" w:cs="Arial" w:eastAsia="Arial" w:hAnsi="Arial"/>
                <w:sz w:val="8"/>
                <w:szCs w:val="8"/>
                <w:color w:val="auto"/>
              </w:rPr>
              <w:t>2,766,399</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3,120,873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12.8%</w:t>
            </w: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Insurance underwriting result</w:t>
            </w:r>
          </w:p>
        </w:tc>
        <w:tc>
          <w:tcPr>
            <w:tcW w:w="980" w:type="dxa"/>
            <w:vAlign w:val="bottom"/>
          </w:tcPr>
          <w:p>
            <w:pPr>
              <w:jc w:val="right"/>
              <w:ind w:right="139"/>
              <w:spacing w:after="0"/>
              <w:rPr>
                <w:sz w:val="20"/>
                <w:szCs w:val="20"/>
                <w:color w:val="auto"/>
              </w:rPr>
            </w:pPr>
            <w:r>
              <w:rPr>
                <w:rFonts w:ascii="Arial" w:cs="Arial" w:eastAsia="Arial" w:hAnsi="Arial"/>
                <w:sz w:val="8"/>
                <w:szCs w:val="8"/>
                <w:color w:val="auto"/>
              </w:rPr>
              <w:t>296,564</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279,062</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315,500</w:t>
            </w:r>
          </w:p>
        </w:tc>
        <w:tc>
          <w:tcPr>
            <w:tcW w:w="660" w:type="dxa"/>
            <w:vAlign w:val="bottom"/>
          </w:tcPr>
          <w:p>
            <w:pPr>
              <w:jc w:val="center"/>
              <w:ind w:left="179"/>
              <w:spacing w:after="0"/>
              <w:rPr>
                <w:sz w:val="20"/>
                <w:szCs w:val="20"/>
                <w:color w:val="auto"/>
              </w:rPr>
            </w:pPr>
            <w:r>
              <w:rPr>
                <w:rFonts w:ascii="Arial" w:cs="Arial" w:eastAsia="Arial" w:hAnsi="Arial"/>
                <w:sz w:val="8"/>
                <w:szCs w:val="8"/>
                <w:color w:val="auto"/>
              </w:rPr>
              <w:t>13.1%</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color w:val="auto"/>
              </w:rPr>
              <w:t>6.4%</w:t>
            </w:r>
          </w:p>
        </w:tc>
        <w:tc>
          <w:tcPr>
            <w:tcW w:w="1120" w:type="dxa"/>
            <w:vAlign w:val="bottom"/>
          </w:tcPr>
          <w:p>
            <w:pPr>
              <w:jc w:val="right"/>
              <w:ind w:right="279"/>
              <w:spacing w:after="0"/>
              <w:rPr>
                <w:sz w:val="20"/>
                <w:szCs w:val="20"/>
                <w:color w:val="auto"/>
              </w:rPr>
            </w:pPr>
            <w:r>
              <w:rPr>
                <w:rFonts w:ascii="Arial" w:cs="Arial" w:eastAsia="Arial" w:hAnsi="Arial"/>
                <w:sz w:val="8"/>
                <w:szCs w:val="8"/>
                <w:color w:val="auto"/>
              </w:rPr>
              <w:t>592,905</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594,562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0.3%</w:t>
            </w: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Total expenses</w:t>
            </w:r>
          </w:p>
        </w:tc>
        <w:tc>
          <w:tcPr>
            <w:tcW w:w="980" w:type="dxa"/>
            <w:vAlign w:val="bottom"/>
          </w:tcPr>
          <w:p>
            <w:pPr>
              <w:jc w:val="right"/>
              <w:ind w:right="139"/>
              <w:spacing w:after="0"/>
              <w:rPr>
                <w:sz w:val="20"/>
                <w:szCs w:val="20"/>
                <w:color w:val="auto"/>
              </w:rPr>
            </w:pPr>
            <w:r>
              <w:rPr>
                <w:rFonts w:ascii="Arial" w:cs="Arial" w:eastAsia="Arial" w:hAnsi="Arial"/>
                <w:sz w:val="8"/>
                <w:szCs w:val="8"/>
                <w:color w:val="auto"/>
              </w:rPr>
              <w:t>(2,195,304)</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(2,279,317)</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(2,465,354)</w:t>
            </w:r>
          </w:p>
        </w:tc>
        <w:tc>
          <w:tcPr>
            <w:tcW w:w="660" w:type="dxa"/>
            <w:vAlign w:val="bottom"/>
          </w:tcPr>
          <w:p>
            <w:pPr>
              <w:jc w:val="center"/>
              <w:ind w:left="179"/>
              <w:spacing w:after="0"/>
              <w:rPr>
                <w:sz w:val="20"/>
                <w:szCs w:val="20"/>
                <w:color w:val="auto"/>
              </w:rPr>
            </w:pPr>
            <w:r>
              <w:rPr>
                <w:rFonts w:ascii="Arial" w:cs="Arial" w:eastAsia="Arial" w:hAnsi="Arial"/>
                <w:sz w:val="8"/>
                <w:szCs w:val="8"/>
                <w:color w:val="auto"/>
              </w:rPr>
              <w:t>8.2%</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color w:val="auto"/>
              </w:rPr>
              <w:t>12.3%</w:t>
            </w:r>
          </w:p>
        </w:tc>
        <w:tc>
          <w:tcPr>
            <w:tcW w:w="1120" w:type="dxa"/>
            <w:vAlign w:val="bottom"/>
          </w:tcPr>
          <w:p>
            <w:pPr>
              <w:jc w:val="right"/>
              <w:ind w:right="279"/>
              <w:spacing w:after="0"/>
              <w:rPr>
                <w:sz w:val="20"/>
                <w:szCs w:val="20"/>
                <w:color w:val="auto"/>
              </w:rPr>
            </w:pPr>
            <w:r>
              <w:rPr>
                <w:rFonts w:ascii="Arial" w:cs="Arial" w:eastAsia="Arial" w:hAnsi="Arial"/>
                <w:sz w:val="8"/>
                <w:szCs w:val="8"/>
                <w:color w:val="auto"/>
              </w:rPr>
              <w:t>(4,322,212)</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(4,744,671)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9.8%</w:t>
            </w: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b w:val="1"/>
                <w:bCs w:val="1"/>
                <w:color w:val="auto"/>
              </w:rPr>
              <w:t>Profit before income tax</w:t>
            </w:r>
          </w:p>
        </w:tc>
        <w:tc>
          <w:tcPr>
            <w:tcW w:w="980" w:type="dxa"/>
            <w:vAlign w:val="bottom"/>
          </w:tcPr>
          <w:p>
            <w:pPr>
              <w:jc w:val="right"/>
              <w:ind w:right="139"/>
              <w:spacing w:after="0"/>
              <w:rPr>
                <w:sz w:val="20"/>
                <w:szCs w:val="20"/>
                <w:color w:val="auto"/>
              </w:rPr>
            </w:pPr>
            <w:r>
              <w:rPr>
                <w:rFonts w:ascii="Arial" w:cs="Arial" w:eastAsia="Arial" w:hAnsi="Arial"/>
                <w:sz w:val="8"/>
                <w:szCs w:val="8"/>
                <w:b w:val="1"/>
                <w:bCs w:val="1"/>
                <w:color w:val="auto"/>
              </w:rPr>
              <w:t>1,934,289</w:t>
            </w:r>
          </w:p>
        </w:tc>
        <w:tc>
          <w:tcPr>
            <w:tcW w:w="920" w:type="dxa"/>
            <w:vAlign w:val="bottom"/>
          </w:tcPr>
          <w:p>
            <w:pPr>
              <w:jc w:val="right"/>
              <w:ind w:right="159"/>
              <w:spacing w:after="0"/>
              <w:rPr>
                <w:sz w:val="20"/>
                <w:szCs w:val="20"/>
                <w:color w:val="auto"/>
              </w:rPr>
            </w:pPr>
            <w:r>
              <w:rPr>
                <w:rFonts w:ascii="Arial" w:cs="Arial" w:eastAsia="Arial" w:hAnsi="Arial"/>
                <w:sz w:val="8"/>
                <w:szCs w:val="8"/>
                <w:b w:val="1"/>
                <w:bCs w:val="1"/>
                <w:color w:val="auto"/>
              </w:rPr>
              <w:t>2,070,563</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b w:val="1"/>
                <w:bCs w:val="1"/>
                <w:color w:val="auto"/>
              </w:rPr>
              <w:t>1,886,718</w:t>
            </w:r>
          </w:p>
        </w:tc>
        <w:tc>
          <w:tcPr>
            <w:tcW w:w="660" w:type="dxa"/>
            <w:vAlign w:val="bottom"/>
          </w:tcPr>
          <w:p>
            <w:pPr>
              <w:jc w:val="center"/>
              <w:ind w:left="179"/>
              <w:spacing w:after="0"/>
              <w:rPr>
                <w:sz w:val="20"/>
                <w:szCs w:val="20"/>
                <w:color w:val="auto"/>
              </w:rPr>
            </w:pPr>
            <w:r>
              <w:rPr>
                <w:rFonts w:ascii="Arial" w:cs="Arial" w:eastAsia="Arial" w:hAnsi="Arial"/>
                <w:sz w:val="8"/>
                <w:szCs w:val="8"/>
                <w:b w:val="1"/>
                <w:bCs w:val="1"/>
                <w:color w:val="auto"/>
                <w:w w:val="95"/>
              </w:rPr>
              <w:t>-8.9%</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b w:val="1"/>
                <w:bCs w:val="1"/>
                <w:color w:val="auto"/>
                <w:w w:val="95"/>
              </w:rPr>
              <w:t>-2.5%</w:t>
            </w:r>
          </w:p>
        </w:tc>
        <w:tc>
          <w:tcPr>
            <w:tcW w:w="1120" w:type="dxa"/>
            <w:vAlign w:val="bottom"/>
          </w:tcPr>
          <w:p>
            <w:pPr>
              <w:jc w:val="right"/>
              <w:ind w:right="279"/>
              <w:spacing w:after="0"/>
              <w:rPr>
                <w:sz w:val="20"/>
                <w:szCs w:val="20"/>
                <w:color w:val="auto"/>
              </w:rPr>
            </w:pPr>
            <w:r>
              <w:rPr>
                <w:rFonts w:ascii="Arial" w:cs="Arial" w:eastAsia="Arial" w:hAnsi="Arial"/>
                <w:sz w:val="8"/>
                <w:szCs w:val="8"/>
                <w:b w:val="1"/>
                <w:bCs w:val="1"/>
                <w:color w:val="auto"/>
              </w:rPr>
              <w:t>3,842,088</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b w:val="1"/>
                <w:bCs w:val="1"/>
                <w:color w:val="auto"/>
              </w:rPr>
              <w:t>3,957,281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3.0%</w:t>
            </w: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Income tax</w:t>
            </w:r>
          </w:p>
        </w:tc>
        <w:tc>
          <w:tcPr>
            <w:tcW w:w="980" w:type="dxa"/>
            <w:vAlign w:val="bottom"/>
          </w:tcPr>
          <w:p>
            <w:pPr>
              <w:jc w:val="right"/>
              <w:ind w:right="139"/>
              <w:spacing w:after="0"/>
              <w:rPr>
                <w:sz w:val="20"/>
                <w:szCs w:val="20"/>
                <w:color w:val="auto"/>
              </w:rPr>
            </w:pPr>
            <w:r>
              <w:rPr>
                <w:rFonts w:ascii="Arial" w:cs="Arial" w:eastAsia="Arial" w:hAnsi="Arial"/>
                <w:sz w:val="8"/>
                <w:szCs w:val="8"/>
                <w:color w:val="auto"/>
              </w:rPr>
              <w:t>(504,472)</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(528,466)</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(519,344)</w:t>
            </w:r>
          </w:p>
        </w:tc>
        <w:tc>
          <w:tcPr>
            <w:tcW w:w="660" w:type="dxa"/>
            <w:vAlign w:val="bottom"/>
          </w:tcPr>
          <w:p>
            <w:pPr>
              <w:jc w:val="center"/>
              <w:ind w:left="179"/>
              <w:spacing w:after="0"/>
              <w:rPr>
                <w:sz w:val="20"/>
                <w:szCs w:val="20"/>
                <w:color w:val="auto"/>
              </w:rPr>
            </w:pPr>
            <w:r>
              <w:rPr>
                <w:rFonts w:ascii="Arial" w:cs="Arial" w:eastAsia="Arial" w:hAnsi="Arial"/>
                <w:sz w:val="8"/>
                <w:szCs w:val="8"/>
                <w:color w:val="auto"/>
                <w:w w:val="95"/>
              </w:rPr>
              <w:t>-1.7%</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color w:val="auto"/>
              </w:rPr>
              <w:t>2.9%</w:t>
            </w:r>
          </w:p>
        </w:tc>
        <w:tc>
          <w:tcPr>
            <w:tcW w:w="1120" w:type="dxa"/>
            <w:vAlign w:val="bottom"/>
          </w:tcPr>
          <w:p>
            <w:pPr>
              <w:jc w:val="right"/>
              <w:ind w:right="279"/>
              <w:spacing w:after="0"/>
              <w:rPr>
                <w:sz w:val="20"/>
                <w:szCs w:val="20"/>
                <w:color w:val="auto"/>
              </w:rPr>
            </w:pPr>
            <w:r>
              <w:rPr>
                <w:rFonts w:ascii="Arial" w:cs="Arial" w:eastAsia="Arial" w:hAnsi="Arial"/>
                <w:sz w:val="8"/>
                <w:szCs w:val="8"/>
                <w:color w:val="auto"/>
              </w:rPr>
              <w:t>(997,938)</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(1,047,810)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5.0%</w:t>
            </w: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b w:val="1"/>
                <w:bCs w:val="1"/>
                <w:color w:val="auto"/>
              </w:rPr>
              <w:t>Net profit</w:t>
            </w:r>
          </w:p>
        </w:tc>
        <w:tc>
          <w:tcPr>
            <w:tcW w:w="980" w:type="dxa"/>
            <w:vAlign w:val="bottom"/>
          </w:tcPr>
          <w:p>
            <w:pPr>
              <w:jc w:val="right"/>
              <w:ind w:right="139"/>
              <w:spacing w:after="0"/>
              <w:rPr>
                <w:sz w:val="20"/>
                <w:szCs w:val="20"/>
                <w:color w:val="auto"/>
              </w:rPr>
            </w:pPr>
            <w:r>
              <w:rPr>
                <w:rFonts w:ascii="Arial" w:cs="Arial" w:eastAsia="Arial" w:hAnsi="Arial"/>
                <w:sz w:val="8"/>
                <w:szCs w:val="8"/>
                <w:b w:val="1"/>
                <w:bCs w:val="1"/>
                <w:color w:val="auto"/>
              </w:rPr>
              <w:t>1,429,817</w:t>
            </w:r>
          </w:p>
        </w:tc>
        <w:tc>
          <w:tcPr>
            <w:tcW w:w="920" w:type="dxa"/>
            <w:vAlign w:val="bottom"/>
          </w:tcPr>
          <w:p>
            <w:pPr>
              <w:jc w:val="right"/>
              <w:ind w:right="159"/>
              <w:spacing w:after="0"/>
              <w:rPr>
                <w:sz w:val="20"/>
                <w:szCs w:val="20"/>
                <w:color w:val="auto"/>
              </w:rPr>
            </w:pPr>
            <w:r>
              <w:rPr>
                <w:rFonts w:ascii="Arial" w:cs="Arial" w:eastAsia="Arial" w:hAnsi="Arial"/>
                <w:sz w:val="8"/>
                <w:szCs w:val="8"/>
                <w:b w:val="1"/>
                <w:bCs w:val="1"/>
                <w:color w:val="auto"/>
              </w:rPr>
              <w:t>1,542,097</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b w:val="1"/>
                <w:bCs w:val="1"/>
                <w:color w:val="auto"/>
              </w:rPr>
              <w:t>1,367,374</w:t>
            </w:r>
          </w:p>
        </w:tc>
        <w:tc>
          <w:tcPr>
            <w:tcW w:w="660" w:type="dxa"/>
            <w:vAlign w:val="bottom"/>
          </w:tcPr>
          <w:p>
            <w:pPr>
              <w:jc w:val="center"/>
              <w:ind w:left="199"/>
              <w:spacing w:after="0"/>
              <w:rPr>
                <w:sz w:val="20"/>
                <w:szCs w:val="20"/>
                <w:color w:val="auto"/>
              </w:rPr>
            </w:pPr>
            <w:r>
              <w:rPr>
                <w:rFonts w:ascii="Arial" w:cs="Arial" w:eastAsia="Arial" w:hAnsi="Arial"/>
                <w:sz w:val="8"/>
                <w:szCs w:val="8"/>
                <w:b w:val="1"/>
                <w:bCs w:val="1"/>
                <w:color w:val="auto"/>
              </w:rPr>
              <w:t>-11.3%</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b w:val="1"/>
                <w:bCs w:val="1"/>
                <w:color w:val="auto"/>
                <w:w w:val="95"/>
              </w:rPr>
              <w:t>-4.4%</w:t>
            </w:r>
          </w:p>
        </w:tc>
        <w:tc>
          <w:tcPr>
            <w:tcW w:w="1120" w:type="dxa"/>
            <w:vAlign w:val="bottom"/>
          </w:tcPr>
          <w:p>
            <w:pPr>
              <w:jc w:val="right"/>
              <w:ind w:right="279"/>
              <w:spacing w:after="0"/>
              <w:rPr>
                <w:sz w:val="20"/>
                <w:szCs w:val="20"/>
                <w:color w:val="auto"/>
              </w:rPr>
            </w:pPr>
            <w:r>
              <w:rPr>
                <w:rFonts w:ascii="Arial" w:cs="Arial" w:eastAsia="Arial" w:hAnsi="Arial"/>
                <w:sz w:val="8"/>
                <w:szCs w:val="8"/>
                <w:b w:val="1"/>
                <w:bCs w:val="1"/>
                <w:color w:val="auto"/>
              </w:rPr>
              <w:t>2,844,150</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b w:val="1"/>
                <w:bCs w:val="1"/>
                <w:color w:val="auto"/>
              </w:rPr>
              <w:t>2,909,471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2.3%</w:t>
            </w: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Non-controlling interest</w:t>
            </w:r>
          </w:p>
        </w:tc>
        <w:tc>
          <w:tcPr>
            <w:tcW w:w="980" w:type="dxa"/>
            <w:vAlign w:val="bottom"/>
          </w:tcPr>
          <w:p>
            <w:pPr>
              <w:jc w:val="right"/>
              <w:ind w:right="139"/>
              <w:spacing w:after="0"/>
              <w:rPr>
                <w:sz w:val="20"/>
                <w:szCs w:val="20"/>
                <w:color w:val="auto"/>
              </w:rPr>
            </w:pPr>
            <w:r>
              <w:rPr>
                <w:rFonts w:ascii="Arial" w:cs="Arial" w:eastAsia="Arial" w:hAnsi="Arial"/>
                <w:sz w:val="8"/>
                <w:szCs w:val="8"/>
                <w:color w:val="auto"/>
              </w:rPr>
              <w:t>28,550</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30,440</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28,278</w:t>
            </w:r>
          </w:p>
        </w:tc>
        <w:tc>
          <w:tcPr>
            <w:tcW w:w="660" w:type="dxa"/>
            <w:vAlign w:val="bottom"/>
          </w:tcPr>
          <w:p>
            <w:pPr>
              <w:jc w:val="center"/>
              <w:ind w:left="179"/>
              <w:spacing w:after="0"/>
              <w:rPr>
                <w:sz w:val="20"/>
                <w:szCs w:val="20"/>
                <w:color w:val="auto"/>
              </w:rPr>
            </w:pPr>
            <w:r>
              <w:rPr>
                <w:rFonts w:ascii="Arial" w:cs="Arial" w:eastAsia="Arial" w:hAnsi="Arial"/>
                <w:sz w:val="8"/>
                <w:szCs w:val="8"/>
                <w:color w:val="auto"/>
                <w:w w:val="95"/>
              </w:rPr>
              <w:t>-7.1%</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color w:val="auto"/>
                <w:w w:val="95"/>
              </w:rPr>
              <w:t>-1.0%</w:t>
            </w:r>
          </w:p>
        </w:tc>
        <w:tc>
          <w:tcPr>
            <w:tcW w:w="1120" w:type="dxa"/>
            <w:vAlign w:val="bottom"/>
          </w:tcPr>
          <w:p>
            <w:pPr>
              <w:jc w:val="right"/>
              <w:ind w:right="279"/>
              <w:spacing w:after="0"/>
              <w:rPr>
                <w:sz w:val="20"/>
                <w:szCs w:val="20"/>
                <w:color w:val="auto"/>
              </w:rPr>
            </w:pPr>
            <w:r>
              <w:rPr>
                <w:rFonts w:ascii="Arial" w:cs="Arial" w:eastAsia="Arial" w:hAnsi="Arial"/>
                <w:sz w:val="8"/>
                <w:szCs w:val="8"/>
                <w:color w:val="auto"/>
              </w:rPr>
              <w:t>58,610</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58,718</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0.2%</w:t>
            </w: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b w:val="1"/>
                <w:bCs w:val="1"/>
                <w:color w:val="auto"/>
              </w:rPr>
              <w:t>Net profit attributable to Credicorp</w:t>
            </w:r>
          </w:p>
        </w:tc>
        <w:tc>
          <w:tcPr>
            <w:tcW w:w="980" w:type="dxa"/>
            <w:vAlign w:val="bottom"/>
          </w:tcPr>
          <w:p>
            <w:pPr>
              <w:jc w:val="right"/>
              <w:ind w:right="139"/>
              <w:spacing w:after="0"/>
              <w:rPr>
                <w:sz w:val="20"/>
                <w:szCs w:val="20"/>
                <w:color w:val="auto"/>
              </w:rPr>
            </w:pPr>
            <w:r>
              <w:rPr>
                <w:rFonts w:ascii="Arial" w:cs="Arial" w:eastAsia="Arial" w:hAnsi="Arial"/>
                <w:sz w:val="8"/>
                <w:szCs w:val="8"/>
                <w:b w:val="1"/>
                <w:bCs w:val="1"/>
                <w:color w:val="auto"/>
              </w:rPr>
              <w:t>1,401,267</w:t>
            </w:r>
          </w:p>
        </w:tc>
        <w:tc>
          <w:tcPr>
            <w:tcW w:w="920" w:type="dxa"/>
            <w:vAlign w:val="bottom"/>
          </w:tcPr>
          <w:p>
            <w:pPr>
              <w:jc w:val="right"/>
              <w:ind w:right="159"/>
              <w:spacing w:after="0"/>
              <w:rPr>
                <w:sz w:val="20"/>
                <w:szCs w:val="20"/>
                <w:color w:val="auto"/>
              </w:rPr>
            </w:pPr>
            <w:r>
              <w:rPr>
                <w:rFonts w:ascii="Arial" w:cs="Arial" w:eastAsia="Arial" w:hAnsi="Arial"/>
                <w:sz w:val="8"/>
                <w:szCs w:val="8"/>
                <w:b w:val="1"/>
                <w:bCs w:val="1"/>
                <w:color w:val="auto"/>
              </w:rPr>
              <w:t>1,511,657</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b w:val="1"/>
                <w:bCs w:val="1"/>
                <w:color w:val="auto"/>
              </w:rPr>
              <w:t>1,339,096</w:t>
            </w:r>
          </w:p>
        </w:tc>
        <w:tc>
          <w:tcPr>
            <w:tcW w:w="660" w:type="dxa"/>
            <w:vAlign w:val="bottom"/>
          </w:tcPr>
          <w:p>
            <w:pPr>
              <w:jc w:val="center"/>
              <w:ind w:left="199"/>
              <w:spacing w:after="0"/>
              <w:rPr>
                <w:sz w:val="20"/>
                <w:szCs w:val="20"/>
                <w:color w:val="auto"/>
              </w:rPr>
            </w:pPr>
            <w:r>
              <w:rPr>
                <w:rFonts w:ascii="Arial" w:cs="Arial" w:eastAsia="Arial" w:hAnsi="Arial"/>
                <w:sz w:val="8"/>
                <w:szCs w:val="8"/>
                <w:b w:val="1"/>
                <w:bCs w:val="1"/>
                <w:color w:val="auto"/>
              </w:rPr>
              <w:t>-11.4%</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b w:val="1"/>
                <w:bCs w:val="1"/>
                <w:color w:val="auto"/>
                <w:w w:val="95"/>
              </w:rPr>
              <w:t>-4.4%</w:t>
            </w:r>
          </w:p>
        </w:tc>
        <w:tc>
          <w:tcPr>
            <w:tcW w:w="1120" w:type="dxa"/>
            <w:vAlign w:val="bottom"/>
          </w:tcPr>
          <w:p>
            <w:pPr>
              <w:jc w:val="right"/>
              <w:ind w:right="279"/>
              <w:spacing w:after="0"/>
              <w:rPr>
                <w:sz w:val="20"/>
                <w:szCs w:val="20"/>
                <w:color w:val="auto"/>
              </w:rPr>
            </w:pPr>
            <w:r>
              <w:rPr>
                <w:rFonts w:ascii="Arial" w:cs="Arial" w:eastAsia="Arial" w:hAnsi="Arial"/>
                <w:sz w:val="8"/>
                <w:szCs w:val="8"/>
                <w:b w:val="1"/>
                <w:bCs w:val="1"/>
                <w:color w:val="auto"/>
              </w:rPr>
              <w:t>2,785,540</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b w:val="1"/>
                <w:bCs w:val="1"/>
                <w:color w:val="auto"/>
              </w:rPr>
              <w:t>2,850,753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2.3%</w:t>
            </w: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Dividends distribution, net of treasury shares effect (S/000)</w:t>
            </w:r>
          </w:p>
        </w:tc>
        <w:tc>
          <w:tcPr>
            <w:tcW w:w="980" w:type="dxa"/>
            <w:vAlign w:val="bottom"/>
          </w:tcPr>
          <w:p>
            <w:pPr>
              <w:jc w:val="right"/>
              <w:ind w:right="139"/>
              <w:spacing w:after="0"/>
              <w:rPr>
                <w:sz w:val="20"/>
                <w:szCs w:val="20"/>
                <w:color w:val="auto"/>
              </w:rPr>
            </w:pPr>
            <w:r>
              <w:rPr>
                <w:rFonts w:ascii="Arial" w:cs="Arial" w:eastAsia="Arial" w:hAnsi="Arial"/>
                <w:sz w:val="8"/>
                <w:szCs w:val="8"/>
                <w:b w:val="1"/>
                <w:bCs w:val="1"/>
                <w:color w:val="auto"/>
              </w:rPr>
              <w:t>1,994,037</w:t>
            </w:r>
          </w:p>
        </w:tc>
        <w:tc>
          <w:tcPr>
            <w:tcW w:w="920" w:type="dxa"/>
            <w:vAlign w:val="bottom"/>
          </w:tcPr>
          <w:p>
            <w:pPr>
              <w:jc w:val="right"/>
              <w:ind w:right="159"/>
              <w:spacing w:after="0"/>
              <w:rPr>
                <w:sz w:val="20"/>
                <w:szCs w:val="20"/>
                <w:color w:val="auto"/>
              </w:rPr>
            </w:pPr>
            <w:r>
              <w:rPr>
                <w:rFonts w:ascii="Arial" w:cs="Arial" w:eastAsia="Arial" w:hAnsi="Arial"/>
                <w:sz w:val="8"/>
                <w:szCs w:val="8"/>
                <w:b w:val="1"/>
                <w:bCs w:val="1"/>
                <w:color w:val="auto"/>
              </w:rPr>
              <w:t>-</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b w:val="1"/>
                <w:bCs w:val="1"/>
                <w:color w:val="auto"/>
              </w:rPr>
              <w:t>2,791,652</w:t>
            </w:r>
          </w:p>
        </w:tc>
        <w:tc>
          <w:tcPr>
            <w:tcW w:w="660" w:type="dxa"/>
            <w:vAlign w:val="bottom"/>
          </w:tcPr>
          <w:p>
            <w:pPr>
              <w:jc w:val="center"/>
              <w:ind w:left="179"/>
              <w:spacing w:after="0"/>
              <w:rPr>
                <w:sz w:val="20"/>
                <w:szCs w:val="20"/>
                <w:color w:val="auto"/>
              </w:rPr>
            </w:pPr>
            <w:r>
              <w:rPr>
                <w:rFonts w:ascii="Arial" w:cs="Arial" w:eastAsia="Arial" w:hAnsi="Arial"/>
                <w:sz w:val="8"/>
                <w:szCs w:val="8"/>
                <w:b w:val="1"/>
                <w:bCs w:val="1"/>
                <w:color w:val="auto"/>
              </w:rPr>
              <w:t>n.a</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b w:val="1"/>
                <w:bCs w:val="1"/>
                <w:color w:val="auto"/>
              </w:rPr>
              <w:t>40.0%</w:t>
            </w:r>
          </w:p>
        </w:tc>
        <w:tc>
          <w:tcPr>
            <w:tcW w:w="1120" w:type="dxa"/>
            <w:vAlign w:val="bottom"/>
          </w:tcPr>
          <w:p>
            <w:pPr>
              <w:jc w:val="right"/>
              <w:ind w:right="279"/>
              <w:spacing w:after="0"/>
              <w:rPr>
                <w:sz w:val="20"/>
                <w:szCs w:val="20"/>
                <w:color w:val="auto"/>
              </w:rPr>
            </w:pPr>
            <w:r>
              <w:rPr>
                <w:rFonts w:ascii="Arial" w:cs="Arial" w:eastAsia="Arial" w:hAnsi="Arial"/>
                <w:sz w:val="8"/>
                <w:szCs w:val="8"/>
                <w:b w:val="1"/>
                <w:bCs w:val="1"/>
                <w:color w:val="auto"/>
              </w:rPr>
              <w:t>1,994,037</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b w:val="1"/>
                <w:bCs w:val="1"/>
                <w:color w:val="auto"/>
              </w:rPr>
              <w:t>2,791,652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40.0%</w:t>
            </w: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Net income / share (S/)</w:t>
            </w:r>
          </w:p>
        </w:tc>
        <w:tc>
          <w:tcPr>
            <w:tcW w:w="980" w:type="dxa"/>
            <w:vAlign w:val="bottom"/>
          </w:tcPr>
          <w:p>
            <w:pPr>
              <w:jc w:val="right"/>
              <w:ind w:right="139"/>
              <w:spacing w:after="0"/>
              <w:rPr>
                <w:sz w:val="20"/>
                <w:szCs w:val="20"/>
                <w:color w:val="auto"/>
              </w:rPr>
            </w:pPr>
            <w:r>
              <w:rPr>
                <w:rFonts w:ascii="Arial" w:cs="Arial" w:eastAsia="Arial" w:hAnsi="Arial"/>
                <w:sz w:val="8"/>
                <w:szCs w:val="8"/>
                <w:color w:val="auto"/>
              </w:rPr>
              <w:t>17.6</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19.0</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16.8</w:t>
            </w:r>
          </w:p>
        </w:tc>
        <w:tc>
          <w:tcPr>
            <w:tcW w:w="660" w:type="dxa"/>
            <w:vAlign w:val="bottom"/>
          </w:tcPr>
          <w:p>
            <w:pPr>
              <w:jc w:val="center"/>
              <w:ind w:left="179"/>
              <w:spacing w:after="0"/>
              <w:rPr>
                <w:sz w:val="20"/>
                <w:szCs w:val="20"/>
                <w:color w:val="auto"/>
              </w:rPr>
            </w:pPr>
            <w:r>
              <w:rPr>
                <w:rFonts w:ascii="Arial" w:cs="Arial" w:eastAsia="Arial" w:hAnsi="Arial"/>
                <w:sz w:val="8"/>
                <w:szCs w:val="8"/>
                <w:color w:val="auto"/>
                <w:w w:val="94"/>
              </w:rPr>
              <w:t>-11.4%</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color w:val="auto"/>
                <w:w w:val="95"/>
              </w:rPr>
              <w:t>-4.4%</w:t>
            </w:r>
          </w:p>
        </w:tc>
        <w:tc>
          <w:tcPr>
            <w:tcW w:w="1120" w:type="dxa"/>
            <w:vAlign w:val="bottom"/>
          </w:tcPr>
          <w:p>
            <w:pPr>
              <w:jc w:val="right"/>
              <w:ind w:right="279"/>
              <w:spacing w:after="0"/>
              <w:rPr>
                <w:sz w:val="20"/>
                <w:szCs w:val="20"/>
                <w:color w:val="auto"/>
              </w:rPr>
            </w:pPr>
            <w:r>
              <w:rPr>
                <w:rFonts w:ascii="Arial" w:cs="Arial" w:eastAsia="Arial" w:hAnsi="Arial"/>
                <w:sz w:val="8"/>
                <w:szCs w:val="8"/>
                <w:b w:val="1"/>
                <w:bCs w:val="1"/>
                <w:color w:val="auto"/>
              </w:rPr>
              <w:t>35</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b w:val="1"/>
                <w:bCs w:val="1"/>
                <w:color w:val="auto"/>
              </w:rPr>
              <w:t>36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2.3%</w:t>
            </w:r>
          </w:p>
        </w:tc>
        <w:tc>
          <w:tcPr>
            <w:tcW w:w="0" w:type="dxa"/>
            <w:vAlign w:val="bottom"/>
          </w:tcPr>
          <w:p>
            <w:pPr>
              <w:spacing w:after="0"/>
              <w:rPr>
                <w:sz w:val="1"/>
                <w:szCs w:val="1"/>
                <w:color w:val="auto"/>
              </w:rPr>
            </w:pPr>
          </w:p>
        </w:tc>
      </w:tr>
      <w:tr>
        <w:trPr>
          <w:trHeight w:val="103"/>
        </w:trPr>
        <w:tc>
          <w:tcPr>
            <w:tcW w:w="3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Dividends per Share (S/)</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8"/>
                <w:szCs w:val="8"/>
                <w:color w:val="auto"/>
              </w:rPr>
              <w:t>25</w:t>
            </w: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8"/>
                <w:szCs w:val="8"/>
                <w:color w:val="auto"/>
              </w:rPr>
              <w:t>-</w:t>
            </w:r>
          </w:p>
        </w:tc>
        <w:tc>
          <w:tcPr>
            <w:tcW w:w="7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8"/>
                <w:szCs w:val="8"/>
                <w:color w:val="auto"/>
              </w:rPr>
              <w:t>35</w:t>
            </w:r>
          </w:p>
        </w:tc>
        <w:tc>
          <w:tcPr>
            <w:tcW w:w="660" w:type="dxa"/>
            <w:vAlign w:val="bottom"/>
            <w:tcBorders>
              <w:bottom w:val="single" w:sz="8" w:color="auto"/>
            </w:tcBorders>
          </w:tcPr>
          <w:p>
            <w:pPr>
              <w:jc w:val="center"/>
              <w:ind w:left="179"/>
              <w:spacing w:after="0"/>
              <w:rPr>
                <w:sz w:val="20"/>
                <w:szCs w:val="20"/>
                <w:color w:val="auto"/>
              </w:rPr>
            </w:pPr>
            <w:r>
              <w:rPr>
                <w:rFonts w:ascii="Arial" w:cs="Arial" w:eastAsia="Arial" w:hAnsi="Arial"/>
                <w:sz w:val="8"/>
                <w:szCs w:val="8"/>
                <w:color w:val="auto"/>
              </w:rPr>
              <w:t>-</w:t>
            </w:r>
          </w:p>
        </w:tc>
        <w:tc>
          <w:tcPr>
            <w:tcW w:w="1160" w:type="dxa"/>
            <w:vAlign w:val="bottom"/>
            <w:tcBorders>
              <w:bottom w:val="single" w:sz="8" w:color="auto"/>
              <w:right w:val="single" w:sz="8" w:color="auto"/>
            </w:tcBorders>
          </w:tcPr>
          <w:p>
            <w:pPr>
              <w:jc w:val="center"/>
              <w:ind w:left="159"/>
              <w:spacing w:after="0"/>
              <w:rPr>
                <w:sz w:val="20"/>
                <w:szCs w:val="20"/>
                <w:color w:val="auto"/>
              </w:rPr>
            </w:pPr>
            <w:r>
              <w:rPr>
                <w:rFonts w:ascii="Arial" w:cs="Arial" w:eastAsia="Arial" w:hAnsi="Arial"/>
                <w:sz w:val="8"/>
                <w:szCs w:val="8"/>
                <w:color w:val="auto"/>
              </w:rPr>
              <w:t>40.0%</w:t>
            </w: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8"/>
                <w:szCs w:val="8"/>
                <w:color w:val="auto"/>
              </w:rPr>
              <w:t>25</w:t>
            </w:r>
          </w:p>
        </w:tc>
        <w:tc>
          <w:tcPr>
            <w:tcW w:w="6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8"/>
                <w:szCs w:val="8"/>
                <w:color w:val="auto"/>
              </w:rPr>
              <w:t>35</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40.0%</w:t>
            </w:r>
          </w:p>
        </w:tc>
        <w:tc>
          <w:tcPr>
            <w:tcW w:w="0" w:type="dxa"/>
            <w:vAlign w:val="bottom"/>
          </w:tcPr>
          <w:p>
            <w:pPr>
              <w:spacing w:after="0"/>
              <w:rPr>
                <w:sz w:val="1"/>
                <w:szCs w:val="1"/>
                <w:color w:val="auto"/>
              </w:rPr>
            </w:pPr>
          </w:p>
        </w:tc>
      </w:tr>
      <w:tr>
        <w:trPr>
          <w:trHeight w:val="72"/>
        </w:trPr>
        <w:tc>
          <w:tcPr>
            <w:tcW w:w="3300" w:type="dxa"/>
            <w:vAlign w:val="bottom"/>
            <w:tcBorders>
              <w:left w:val="single" w:sz="8" w:color="auto"/>
              <w:right w:val="single" w:sz="8" w:color="auto"/>
            </w:tcBorders>
          </w:tcPr>
          <w:p>
            <w:pPr>
              <w:ind w:left="100"/>
              <w:spacing w:after="0" w:line="73" w:lineRule="exact"/>
              <w:rPr>
                <w:sz w:val="20"/>
                <w:szCs w:val="20"/>
                <w:color w:val="auto"/>
              </w:rPr>
            </w:pPr>
            <w:r>
              <w:rPr>
                <w:rFonts w:ascii="Arial" w:cs="Arial" w:eastAsia="Arial" w:hAnsi="Arial"/>
                <w:sz w:val="8"/>
                <w:szCs w:val="8"/>
                <w:color w:val="auto"/>
              </w:rPr>
              <w:t>Loans</w:t>
            </w:r>
          </w:p>
        </w:tc>
        <w:tc>
          <w:tcPr>
            <w:tcW w:w="980" w:type="dxa"/>
            <w:vAlign w:val="bottom"/>
          </w:tcPr>
          <w:p>
            <w:pPr>
              <w:jc w:val="right"/>
              <w:ind w:right="139"/>
              <w:spacing w:after="0" w:line="73" w:lineRule="exact"/>
              <w:rPr>
                <w:sz w:val="20"/>
                <w:szCs w:val="20"/>
                <w:color w:val="auto"/>
              </w:rPr>
            </w:pPr>
            <w:r>
              <w:rPr>
                <w:rFonts w:ascii="Arial" w:cs="Arial" w:eastAsia="Arial" w:hAnsi="Arial"/>
                <w:sz w:val="8"/>
                <w:szCs w:val="8"/>
                <w:color w:val="auto"/>
              </w:rPr>
              <w:t>142,845,549</w:t>
            </w:r>
          </w:p>
        </w:tc>
        <w:tc>
          <w:tcPr>
            <w:tcW w:w="920" w:type="dxa"/>
            <w:vAlign w:val="bottom"/>
          </w:tcPr>
          <w:p>
            <w:pPr>
              <w:jc w:val="right"/>
              <w:ind w:right="159"/>
              <w:spacing w:after="0" w:line="73" w:lineRule="exact"/>
              <w:rPr>
                <w:sz w:val="20"/>
                <w:szCs w:val="20"/>
                <w:color w:val="auto"/>
              </w:rPr>
            </w:pPr>
            <w:r>
              <w:rPr>
                <w:rFonts w:ascii="Arial" w:cs="Arial" w:eastAsia="Arial" w:hAnsi="Arial"/>
                <w:sz w:val="8"/>
                <w:szCs w:val="8"/>
                <w:color w:val="auto"/>
              </w:rPr>
              <w:t>140,798,083</w:t>
            </w:r>
          </w:p>
        </w:tc>
        <w:tc>
          <w:tcPr>
            <w:tcW w:w="780" w:type="dxa"/>
            <w:vAlign w:val="bottom"/>
            <w:tcBorders>
              <w:right w:val="single" w:sz="8" w:color="auto"/>
            </w:tcBorders>
          </w:tcPr>
          <w:p>
            <w:pPr>
              <w:jc w:val="right"/>
              <w:ind w:right="39"/>
              <w:spacing w:after="0" w:line="73" w:lineRule="exact"/>
              <w:rPr>
                <w:sz w:val="20"/>
                <w:szCs w:val="20"/>
                <w:color w:val="auto"/>
              </w:rPr>
            </w:pPr>
            <w:r>
              <w:rPr>
                <w:rFonts w:ascii="Arial" w:cs="Arial" w:eastAsia="Arial" w:hAnsi="Arial"/>
                <w:sz w:val="8"/>
                <w:szCs w:val="8"/>
                <w:color w:val="auto"/>
              </w:rPr>
              <w:t>146,946,546</w:t>
            </w:r>
          </w:p>
        </w:tc>
        <w:tc>
          <w:tcPr>
            <w:tcW w:w="660" w:type="dxa"/>
            <w:vAlign w:val="bottom"/>
          </w:tcPr>
          <w:p>
            <w:pPr>
              <w:jc w:val="center"/>
              <w:ind w:left="179"/>
              <w:spacing w:after="0" w:line="73" w:lineRule="exact"/>
              <w:rPr>
                <w:sz w:val="20"/>
                <w:szCs w:val="20"/>
                <w:color w:val="auto"/>
              </w:rPr>
            </w:pPr>
            <w:r>
              <w:rPr>
                <w:rFonts w:ascii="Arial" w:cs="Arial" w:eastAsia="Arial" w:hAnsi="Arial"/>
                <w:sz w:val="8"/>
                <w:szCs w:val="8"/>
                <w:color w:val="auto"/>
              </w:rPr>
              <w:t>4.4%</w:t>
            </w:r>
          </w:p>
        </w:tc>
        <w:tc>
          <w:tcPr>
            <w:tcW w:w="1160" w:type="dxa"/>
            <w:vAlign w:val="bottom"/>
            <w:tcBorders>
              <w:right w:val="single" w:sz="8" w:color="auto"/>
            </w:tcBorders>
          </w:tcPr>
          <w:p>
            <w:pPr>
              <w:jc w:val="center"/>
              <w:ind w:left="159"/>
              <w:spacing w:after="0" w:line="73" w:lineRule="exact"/>
              <w:rPr>
                <w:sz w:val="20"/>
                <w:szCs w:val="20"/>
                <w:color w:val="auto"/>
              </w:rPr>
            </w:pPr>
            <w:r>
              <w:rPr>
                <w:rFonts w:ascii="Arial" w:cs="Arial" w:eastAsia="Arial" w:hAnsi="Arial"/>
                <w:sz w:val="8"/>
                <w:szCs w:val="8"/>
                <w:color w:val="auto"/>
              </w:rPr>
              <w:t>2.9%</w:t>
            </w:r>
          </w:p>
        </w:tc>
        <w:tc>
          <w:tcPr>
            <w:tcW w:w="1120" w:type="dxa"/>
            <w:vAlign w:val="bottom"/>
          </w:tcPr>
          <w:p>
            <w:pPr>
              <w:jc w:val="right"/>
              <w:ind w:right="279"/>
              <w:spacing w:after="0" w:line="73" w:lineRule="exact"/>
              <w:rPr>
                <w:sz w:val="20"/>
                <w:szCs w:val="20"/>
                <w:color w:val="auto"/>
              </w:rPr>
            </w:pPr>
            <w:r>
              <w:rPr>
                <w:rFonts w:ascii="Arial" w:cs="Arial" w:eastAsia="Arial" w:hAnsi="Arial"/>
                <w:sz w:val="8"/>
                <w:szCs w:val="8"/>
                <w:color w:val="auto"/>
              </w:rPr>
              <w:t>142,845,549</w:t>
            </w:r>
          </w:p>
        </w:tc>
        <w:tc>
          <w:tcPr>
            <w:tcW w:w="680" w:type="dxa"/>
            <w:vAlign w:val="bottom"/>
            <w:tcBorders>
              <w:right w:val="single" w:sz="8" w:color="auto"/>
            </w:tcBorders>
          </w:tcPr>
          <w:p>
            <w:pPr>
              <w:jc w:val="right"/>
              <w:ind w:right="39"/>
              <w:spacing w:after="0" w:line="73" w:lineRule="exact"/>
              <w:rPr>
                <w:sz w:val="20"/>
                <w:szCs w:val="20"/>
                <w:color w:val="auto"/>
              </w:rPr>
            </w:pPr>
            <w:r>
              <w:rPr>
                <w:rFonts w:ascii="Arial" w:cs="Arial" w:eastAsia="Arial" w:hAnsi="Arial"/>
                <w:sz w:val="8"/>
                <w:szCs w:val="8"/>
                <w:color w:val="auto"/>
              </w:rPr>
              <w:t>146,946,546</w:t>
            </w:r>
          </w:p>
        </w:tc>
        <w:tc>
          <w:tcPr>
            <w:tcW w:w="920" w:type="dxa"/>
            <w:vAlign w:val="bottom"/>
            <w:tcBorders>
              <w:right w:val="single" w:sz="8" w:color="auto"/>
            </w:tcBorders>
          </w:tcPr>
          <w:p>
            <w:pPr>
              <w:jc w:val="center"/>
              <w:spacing w:after="0" w:line="73" w:lineRule="exact"/>
              <w:rPr>
                <w:sz w:val="20"/>
                <w:szCs w:val="20"/>
                <w:color w:val="auto"/>
              </w:rPr>
            </w:pPr>
            <w:r>
              <w:rPr>
                <w:rFonts w:ascii="Arial" w:cs="Arial" w:eastAsia="Arial" w:hAnsi="Arial"/>
                <w:sz w:val="8"/>
                <w:szCs w:val="8"/>
                <w:color w:val="auto"/>
              </w:rPr>
              <w:t>2.9%</w:t>
            </w: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Deposits and obligations</w:t>
            </w:r>
          </w:p>
        </w:tc>
        <w:tc>
          <w:tcPr>
            <w:tcW w:w="980" w:type="dxa"/>
            <w:vAlign w:val="bottom"/>
          </w:tcPr>
          <w:p>
            <w:pPr>
              <w:jc w:val="right"/>
              <w:ind w:right="139"/>
              <w:spacing w:after="0"/>
              <w:rPr>
                <w:sz w:val="20"/>
                <w:szCs w:val="20"/>
                <w:color w:val="auto"/>
              </w:rPr>
            </w:pPr>
            <w:r>
              <w:rPr>
                <w:rFonts w:ascii="Arial" w:cs="Arial" w:eastAsia="Arial" w:hAnsi="Arial"/>
                <w:sz w:val="8"/>
                <w:szCs w:val="8"/>
                <w:color w:val="auto"/>
              </w:rPr>
              <w:t>143,387,717</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147,857,127</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151,971,984</w:t>
            </w:r>
          </w:p>
        </w:tc>
        <w:tc>
          <w:tcPr>
            <w:tcW w:w="660" w:type="dxa"/>
            <w:vAlign w:val="bottom"/>
          </w:tcPr>
          <w:p>
            <w:pPr>
              <w:jc w:val="center"/>
              <w:ind w:left="179"/>
              <w:spacing w:after="0"/>
              <w:rPr>
                <w:sz w:val="20"/>
                <w:szCs w:val="20"/>
                <w:color w:val="auto"/>
              </w:rPr>
            </w:pPr>
            <w:r>
              <w:rPr>
                <w:rFonts w:ascii="Arial" w:cs="Arial" w:eastAsia="Arial" w:hAnsi="Arial"/>
                <w:sz w:val="8"/>
                <w:szCs w:val="8"/>
                <w:color w:val="auto"/>
              </w:rPr>
              <w:t>2.8%</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color w:val="auto"/>
              </w:rPr>
              <w:t>6.0%</w:t>
            </w:r>
          </w:p>
        </w:tc>
        <w:tc>
          <w:tcPr>
            <w:tcW w:w="1120" w:type="dxa"/>
            <w:vAlign w:val="bottom"/>
          </w:tcPr>
          <w:p>
            <w:pPr>
              <w:jc w:val="right"/>
              <w:ind w:right="279"/>
              <w:spacing w:after="0"/>
              <w:rPr>
                <w:sz w:val="20"/>
                <w:szCs w:val="20"/>
                <w:color w:val="auto"/>
              </w:rPr>
            </w:pPr>
            <w:r>
              <w:rPr>
                <w:rFonts w:ascii="Arial" w:cs="Arial" w:eastAsia="Arial" w:hAnsi="Arial"/>
                <w:sz w:val="8"/>
                <w:szCs w:val="8"/>
                <w:color w:val="auto"/>
              </w:rPr>
              <w:t>143,387,717</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151,971,984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6.0%</w:t>
            </w:r>
          </w:p>
        </w:tc>
        <w:tc>
          <w:tcPr>
            <w:tcW w:w="0" w:type="dxa"/>
            <w:vAlign w:val="bottom"/>
          </w:tcPr>
          <w:p>
            <w:pPr>
              <w:spacing w:after="0"/>
              <w:rPr>
                <w:sz w:val="1"/>
                <w:szCs w:val="1"/>
                <w:color w:val="auto"/>
              </w:rPr>
            </w:pPr>
          </w:p>
        </w:tc>
      </w:tr>
      <w:tr>
        <w:trPr>
          <w:trHeight w:val="103"/>
        </w:trPr>
        <w:tc>
          <w:tcPr>
            <w:tcW w:w="3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Net equity</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8"/>
                <w:szCs w:val="8"/>
                <w:color w:val="auto"/>
              </w:rPr>
              <w:t>30,027,036</w:t>
            </w: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8"/>
                <w:szCs w:val="8"/>
                <w:color w:val="auto"/>
              </w:rPr>
              <w:t>33,853,460</w:t>
            </w:r>
          </w:p>
        </w:tc>
        <w:tc>
          <w:tcPr>
            <w:tcW w:w="7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8"/>
                <w:szCs w:val="8"/>
                <w:color w:val="auto"/>
              </w:rPr>
              <w:t>32,413,767</w:t>
            </w:r>
          </w:p>
        </w:tc>
        <w:tc>
          <w:tcPr>
            <w:tcW w:w="660" w:type="dxa"/>
            <w:vAlign w:val="bottom"/>
            <w:tcBorders>
              <w:bottom w:val="single" w:sz="8" w:color="auto"/>
            </w:tcBorders>
          </w:tcPr>
          <w:p>
            <w:pPr>
              <w:jc w:val="center"/>
              <w:ind w:left="179"/>
              <w:spacing w:after="0"/>
              <w:rPr>
                <w:sz w:val="20"/>
                <w:szCs w:val="20"/>
                <w:color w:val="auto"/>
              </w:rPr>
            </w:pPr>
            <w:r>
              <w:rPr>
                <w:rFonts w:ascii="Arial" w:cs="Arial" w:eastAsia="Arial" w:hAnsi="Arial"/>
                <w:sz w:val="8"/>
                <w:szCs w:val="8"/>
                <w:color w:val="auto"/>
                <w:w w:val="95"/>
              </w:rPr>
              <w:t>-4.3%</w:t>
            </w:r>
          </w:p>
        </w:tc>
        <w:tc>
          <w:tcPr>
            <w:tcW w:w="1160" w:type="dxa"/>
            <w:vAlign w:val="bottom"/>
            <w:tcBorders>
              <w:bottom w:val="single" w:sz="8" w:color="auto"/>
              <w:right w:val="single" w:sz="8" w:color="auto"/>
            </w:tcBorders>
          </w:tcPr>
          <w:p>
            <w:pPr>
              <w:jc w:val="center"/>
              <w:ind w:left="159"/>
              <w:spacing w:after="0"/>
              <w:rPr>
                <w:sz w:val="20"/>
                <w:szCs w:val="20"/>
                <w:color w:val="auto"/>
              </w:rPr>
            </w:pPr>
            <w:r>
              <w:rPr>
                <w:rFonts w:ascii="Arial" w:cs="Arial" w:eastAsia="Arial" w:hAnsi="Arial"/>
                <w:sz w:val="8"/>
                <w:szCs w:val="8"/>
                <w:color w:val="auto"/>
              </w:rPr>
              <w:t>7.9%</w:t>
            </w: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8"/>
                <w:szCs w:val="8"/>
                <w:color w:val="auto"/>
              </w:rPr>
              <w:t>30,027,036</w:t>
            </w:r>
          </w:p>
        </w:tc>
        <w:tc>
          <w:tcPr>
            <w:tcW w:w="6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8"/>
                <w:szCs w:val="8"/>
                <w:color w:val="auto"/>
              </w:rPr>
              <w:t>32,413,767</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7.9%</w:t>
            </w:r>
          </w:p>
        </w:tc>
        <w:tc>
          <w:tcPr>
            <w:tcW w:w="0" w:type="dxa"/>
            <w:vAlign w:val="bottom"/>
          </w:tcPr>
          <w:p>
            <w:pPr>
              <w:spacing w:after="0"/>
              <w:rPr>
                <w:sz w:val="1"/>
                <w:szCs w:val="1"/>
                <w:color w:val="auto"/>
              </w:rPr>
            </w:pPr>
          </w:p>
        </w:tc>
      </w:tr>
      <w:tr>
        <w:trPr>
          <w:trHeight w:val="72"/>
        </w:trPr>
        <w:tc>
          <w:tcPr>
            <w:tcW w:w="3300" w:type="dxa"/>
            <w:vAlign w:val="bottom"/>
            <w:tcBorders>
              <w:left w:val="single" w:sz="8" w:color="auto"/>
              <w:right w:val="single" w:sz="8" w:color="auto"/>
            </w:tcBorders>
          </w:tcPr>
          <w:p>
            <w:pPr>
              <w:ind w:left="100"/>
              <w:spacing w:after="0" w:line="73" w:lineRule="exact"/>
              <w:rPr>
                <w:sz w:val="20"/>
                <w:szCs w:val="20"/>
                <w:color w:val="auto"/>
              </w:rPr>
            </w:pPr>
            <w:r>
              <w:rPr>
                <w:rFonts w:ascii="Arial" w:cs="Arial" w:eastAsia="Arial" w:hAnsi="Arial"/>
                <w:sz w:val="8"/>
                <w:szCs w:val="8"/>
                <w:b w:val="1"/>
                <w:bCs w:val="1"/>
                <w:color w:val="auto"/>
              </w:rPr>
              <w:t>Profitability</w:t>
            </w: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Net interest margin(1)</w:t>
            </w:r>
          </w:p>
        </w:tc>
        <w:tc>
          <w:tcPr>
            <w:tcW w:w="980" w:type="dxa"/>
            <w:vAlign w:val="bottom"/>
          </w:tcPr>
          <w:p>
            <w:pPr>
              <w:jc w:val="right"/>
              <w:ind w:right="139"/>
              <w:spacing w:after="0"/>
              <w:rPr>
                <w:sz w:val="20"/>
                <w:szCs w:val="20"/>
                <w:color w:val="auto"/>
              </w:rPr>
            </w:pPr>
            <w:r>
              <w:rPr>
                <w:rFonts w:ascii="Arial" w:cs="Arial" w:eastAsia="Arial" w:hAnsi="Arial"/>
                <w:sz w:val="8"/>
                <w:szCs w:val="8"/>
                <w:color w:val="auto"/>
              </w:rPr>
              <w:t>6.02%</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6.30%</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6.33%</w:t>
            </w:r>
          </w:p>
        </w:tc>
        <w:tc>
          <w:tcPr>
            <w:tcW w:w="660" w:type="dxa"/>
            <w:vAlign w:val="bottom"/>
          </w:tcPr>
          <w:p>
            <w:pPr>
              <w:jc w:val="center"/>
              <w:ind w:left="179"/>
              <w:spacing w:after="0"/>
              <w:rPr>
                <w:sz w:val="20"/>
                <w:szCs w:val="20"/>
                <w:color w:val="auto"/>
              </w:rPr>
            </w:pPr>
            <w:r>
              <w:rPr>
                <w:rFonts w:ascii="Arial" w:cs="Arial" w:eastAsia="Arial" w:hAnsi="Arial"/>
                <w:sz w:val="8"/>
                <w:szCs w:val="8"/>
                <w:color w:val="auto"/>
              </w:rPr>
              <w:t>3 bps</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color w:val="auto"/>
                <w:w w:val="99"/>
              </w:rPr>
              <w:t>31 bps</w:t>
            </w:r>
          </w:p>
        </w:tc>
        <w:tc>
          <w:tcPr>
            <w:tcW w:w="1120" w:type="dxa"/>
            <w:vAlign w:val="bottom"/>
          </w:tcPr>
          <w:p>
            <w:pPr>
              <w:jc w:val="right"/>
              <w:ind w:right="279"/>
              <w:spacing w:after="0"/>
              <w:rPr>
                <w:sz w:val="20"/>
                <w:szCs w:val="20"/>
                <w:color w:val="auto"/>
              </w:rPr>
            </w:pPr>
            <w:r>
              <w:rPr>
                <w:rFonts w:ascii="Arial" w:cs="Arial" w:eastAsia="Arial" w:hAnsi="Arial"/>
                <w:sz w:val="8"/>
                <w:szCs w:val="8"/>
                <w:color w:val="auto"/>
              </w:rPr>
              <w:t>5.96%</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6.31%</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35 bps</w:t>
            </w: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Risk-adjusted Net interest margin</w:t>
            </w:r>
          </w:p>
        </w:tc>
        <w:tc>
          <w:tcPr>
            <w:tcW w:w="980" w:type="dxa"/>
            <w:vAlign w:val="bottom"/>
          </w:tcPr>
          <w:p>
            <w:pPr>
              <w:jc w:val="right"/>
              <w:ind w:right="139"/>
              <w:spacing w:after="0"/>
              <w:rPr>
                <w:sz w:val="20"/>
                <w:szCs w:val="20"/>
                <w:color w:val="auto"/>
              </w:rPr>
            </w:pPr>
            <w:r>
              <w:rPr>
                <w:rFonts w:ascii="Arial" w:cs="Arial" w:eastAsia="Arial" w:hAnsi="Arial"/>
                <w:sz w:val="8"/>
                <w:szCs w:val="8"/>
                <w:color w:val="auto"/>
              </w:rPr>
              <w:t>4.56%</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4.85%</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4.40%</w:t>
            </w:r>
          </w:p>
        </w:tc>
        <w:tc>
          <w:tcPr>
            <w:tcW w:w="660" w:type="dxa"/>
            <w:vAlign w:val="bottom"/>
          </w:tcPr>
          <w:p>
            <w:pPr>
              <w:jc w:val="center"/>
              <w:ind w:left="179"/>
              <w:spacing w:after="0"/>
              <w:rPr>
                <w:sz w:val="20"/>
                <w:szCs w:val="20"/>
                <w:color w:val="auto"/>
              </w:rPr>
            </w:pPr>
            <w:r>
              <w:rPr>
                <w:rFonts w:ascii="Arial" w:cs="Arial" w:eastAsia="Arial" w:hAnsi="Arial"/>
                <w:sz w:val="8"/>
                <w:szCs w:val="8"/>
                <w:color w:val="auto"/>
              </w:rPr>
              <w:t>-45 bps</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color w:val="auto"/>
              </w:rPr>
              <w:t>-16 bps</w:t>
            </w:r>
          </w:p>
        </w:tc>
        <w:tc>
          <w:tcPr>
            <w:tcW w:w="1120" w:type="dxa"/>
            <w:vAlign w:val="bottom"/>
          </w:tcPr>
          <w:p>
            <w:pPr>
              <w:jc w:val="right"/>
              <w:ind w:right="279"/>
              <w:spacing w:after="0"/>
              <w:rPr>
                <w:sz w:val="20"/>
                <w:szCs w:val="20"/>
                <w:color w:val="auto"/>
              </w:rPr>
            </w:pPr>
            <w:r>
              <w:rPr>
                <w:rFonts w:ascii="Arial" w:cs="Arial" w:eastAsia="Arial" w:hAnsi="Arial"/>
                <w:sz w:val="8"/>
                <w:szCs w:val="8"/>
                <w:color w:val="auto"/>
              </w:rPr>
              <w:t>4.57%</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4.62%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5 bps</w:t>
            </w: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Funding cost(2)</w:t>
            </w:r>
          </w:p>
        </w:tc>
        <w:tc>
          <w:tcPr>
            <w:tcW w:w="980" w:type="dxa"/>
            <w:vAlign w:val="bottom"/>
          </w:tcPr>
          <w:p>
            <w:pPr>
              <w:jc w:val="right"/>
              <w:ind w:right="139"/>
              <w:spacing w:after="0"/>
              <w:rPr>
                <w:sz w:val="20"/>
                <w:szCs w:val="20"/>
                <w:color w:val="auto"/>
              </w:rPr>
            </w:pPr>
            <w:r>
              <w:rPr>
                <w:rFonts w:ascii="Arial" w:cs="Arial" w:eastAsia="Arial" w:hAnsi="Arial"/>
                <w:sz w:val="8"/>
                <w:szCs w:val="8"/>
                <w:color w:val="auto"/>
              </w:rPr>
              <w:t>2.91%</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2.98%</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2.86%</w:t>
            </w:r>
          </w:p>
        </w:tc>
        <w:tc>
          <w:tcPr>
            <w:tcW w:w="660" w:type="dxa"/>
            <w:vAlign w:val="bottom"/>
          </w:tcPr>
          <w:p>
            <w:pPr>
              <w:jc w:val="center"/>
              <w:ind w:left="179"/>
              <w:spacing w:after="0"/>
              <w:rPr>
                <w:sz w:val="20"/>
                <w:szCs w:val="20"/>
                <w:color w:val="auto"/>
              </w:rPr>
            </w:pPr>
            <w:r>
              <w:rPr>
                <w:rFonts w:ascii="Arial" w:cs="Arial" w:eastAsia="Arial" w:hAnsi="Arial"/>
                <w:sz w:val="8"/>
                <w:szCs w:val="8"/>
                <w:color w:val="auto"/>
              </w:rPr>
              <w:t>-12 bps</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color w:val="auto"/>
              </w:rPr>
              <w:t>-5 bps</w:t>
            </w:r>
          </w:p>
        </w:tc>
        <w:tc>
          <w:tcPr>
            <w:tcW w:w="1120" w:type="dxa"/>
            <w:vAlign w:val="bottom"/>
          </w:tcPr>
          <w:p>
            <w:pPr>
              <w:jc w:val="right"/>
              <w:ind w:right="279"/>
              <w:spacing w:after="0"/>
              <w:rPr>
                <w:sz w:val="20"/>
                <w:szCs w:val="20"/>
                <w:color w:val="auto"/>
              </w:rPr>
            </w:pPr>
            <w:r>
              <w:rPr>
                <w:rFonts w:ascii="Arial" w:cs="Arial" w:eastAsia="Arial" w:hAnsi="Arial"/>
                <w:sz w:val="8"/>
                <w:szCs w:val="8"/>
                <w:color w:val="auto"/>
              </w:rPr>
              <w:t>2.76%</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2.90%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14 bps</w:t>
            </w: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ROE</w:t>
            </w:r>
          </w:p>
        </w:tc>
        <w:tc>
          <w:tcPr>
            <w:tcW w:w="980" w:type="dxa"/>
            <w:vAlign w:val="bottom"/>
          </w:tcPr>
          <w:p>
            <w:pPr>
              <w:jc w:val="right"/>
              <w:ind w:right="139"/>
              <w:spacing w:after="0"/>
              <w:rPr>
                <w:sz w:val="20"/>
                <w:szCs w:val="20"/>
                <w:color w:val="auto"/>
              </w:rPr>
            </w:pPr>
            <w:r>
              <w:rPr>
                <w:rFonts w:ascii="Arial" w:cs="Arial" w:eastAsia="Arial" w:hAnsi="Arial"/>
                <w:sz w:val="8"/>
                <w:szCs w:val="8"/>
                <w:color w:val="auto"/>
              </w:rPr>
              <w:t>18.6%</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18.2%</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16.2%</w:t>
            </w:r>
          </w:p>
        </w:tc>
        <w:tc>
          <w:tcPr>
            <w:tcW w:w="660" w:type="dxa"/>
            <w:vAlign w:val="bottom"/>
          </w:tcPr>
          <w:p>
            <w:pPr>
              <w:jc w:val="center"/>
              <w:ind w:left="179"/>
              <w:spacing w:after="0"/>
              <w:rPr>
                <w:sz w:val="20"/>
                <w:szCs w:val="20"/>
                <w:color w:val="auto"/>
              </w:rPr>
            </w:pPr>
            <w:r>
              <w:rPr>
                <w:rFonts w:ascii="Arial" w:cs="Arial" w:eastAsia="Arial" w:hAnsi="Arial"/>
                <w:sz w:val="8"/>
                <w:szCs w:val="8"/>
                <w:color w:val="auto"/>
              </w:rPr>
              <w:t>-207 bps</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color w:val="auto"/>
              </w:rPr>
              <w:t>-240 bps</w:t>
            </w:r>
          </w:p>
        </w:tc>
        <w:tc>
          <w:tcPr>
            <w:tcW w:w="1120" w:type="dxa"/>
            <w:vAlign w:val="bottom"/>
          </w:tcPr>
          <w:p>
            <w:pPr>
              <w:jc w:val="right"/>
              <w:ind w:right="279"/>
              <w:spacing w:after="0"/>
              <w:rPr>
                <w:sz w:val="20"/>
                <w:szCs w:val="20"/>
                <w:color w:val="auto"/>
              </w:rPr>
            </w:pPr>
            <w:r>
              <w:rPr>
                <w:rFonts w:ascii="Arial" w:cs="Arial" w:eastAsia="Arial" w:hAnsi="Arial"/>
                <w:sz w:val="8"/>
                <w:szCs w:val="8"/>
                <w:color w:val="auto"/>
              </w:rPr>
              <w:t>18.9%</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17.6%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-130 bps</w:t>
            </w:r>
          </w:p>
        </w:tc>
        <w:tc>
          <w:tcPr>
            <w:tcW w:w="0" w:type="dxa"/>
            <w:vAlign w:val="bottom"/>
          </w:tcPr>
          <w:p>
            <w:pPr>
              <w:spacing w:after="0"/>
              <w:rPr>
                <w:sz w:val="1"/>
                <w:szCs w:val="1"/>
                <w:color w:val="auto"/>
              </w:rPr>
            </w:pPr>
          </w:p>
        </w:tc>
      </w:tr>
      <w:tr>
        <w:trPr>
          <w:trHeight w:val="103"/>
        </w:trPr>
        <w:tc>
          <w:tcPr>
            <w:tcW w:w="3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ROA</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8"/>
                <w:szCs w:val="8"/>
                <w:color w:val="auto"/>
              </w:rPr>
              <w:t>2.38%</w:t>
            </w: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8"/>
                <w:szCs w:val="8"/>
                <w:color w:val="auto"/>
              </w:rPr>
              <w:t>2.52%</w:t>
            </w:r>
          </w:p>
        </w:tc>
        <w:tc>
          <w:tcPr>
            <w:tcW w:w="7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8"/>
                <w:szCs w:val="8"/>
                <w:color w:val="auto"/>
              </w:rPr>
              <w:t>2.19%</w:t>
            </w:r>
          </w:p>
        </w:tc>
        <w:tc>
          <w:tcPr>
            <w:tcW w:w="660" w:type="dxa"/>
            <w:vAlign w:val="bottom"/>
            <w:tcBorders>
              <w:bottom w:val="single" w:sz="8" w:color="auto"/>
            </w:tcBorders>
          </w:tcPr>
          <w:p>
            <w:pPr>
              <w:jc w:val="center"/>
              <w:ind w:left="179"/>
              <w:spacing w:after="0"/>
              <w:rPr>
                <w:sz w:val="20"/>
                <w:szCs w:val="20"/>
                <w:color w:val="auto"/>
              </w:rPr>
            </w:pPr>
            <w:r>
              <w:rPr>
                <w:rFonts w:ascii="Arial" w:cs="Arial" w:eastAsia="Arial" w:hAnsi="Arial"/>
                <w:sz w:val="8"/>
                <w:szCs w:val="8"/>
                <w:color w:val="auto"/>
              </w:rPr>
              <w:t>-33 bps</w:t>
            </w:r>
          </w:p>
        </w:tc>
        <w:tc>
          <w:tcPr>
            <w:tcW w:w="1160" w:type="dxa"/>
            <w:vAlign w:val="bottom"/>
            <w:tcBorders>
              <w:bottom w:val="single" w:sz="8" w:color="auto"/>
              <w:right w:val="single" w:sz="8" w:color="auto"/>
            </w:tcBorders>
          </w:tcPr>
          <w:p>
            <w:pPr>
              <w:jc w:val="center"/>
              <w:ind w:left="159"/>
              <w:spacing w:after="0"/>
              <w:rPr>
                <w:sz w:val="20"/>
                <w:szCs w:val="20"/>
                <w:color w:val="auto"/>
              </w:rPr>
            </w:pPr>
            <w:r>
              <w:rPr>
                <w:rFonts w:ascii="Arial" w:cs="Arial" w:eastAsia="Arial" w:hAnsi="Arial"/>
                <w:sz w:val="8"/>
                <w:szCs w:val="8"/>
                <w:color w:val="auto"/>
              </w:rPr>
              <w:t>-19 bps</w:t>
            </w: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8"/>
                <w:szCs w:val="8"/>
                <w:color w:val="auto"/>
              </w:rPr>
              <w:t>2.37%</w:t>
            </w:r>
          </w:p>
        </w:tc>
        <w:tc>
          <w:tcPr>
            <w:tcW w:w="6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8"/>
                <w:szCs w:val="8"/>
                <w:color w:val="auto"/>
              </w:rPr>
              <w:t>2.34%</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-4 bps</w:t>
            </w:r>
          </w:p>
        </w:tc>
        <w:tc>
          <w:tcPr>
            <w:tcW w:w="0" w:type="dxa"/>
            <w:vAlign w:val="bottom"/>
          </w:tcPr>
          <w:p>
            <w:pPr>
              <w:spacing w:after="0"/>
              <w:rPr>
                <w:sz w:val="1"/>
                <w:szCs w:val="1"/>
                <w:color w:val="auto"/>
              </w:rPr>
            </w:pPr>
          </w:p>
        </w:tc>
      </w:tr>
      <w:tr>
        <w:trPr>
          <w:trHeight w:val="72"/>
        </w:trPr>
        <w:tc>
          <w:tcPr>
            <w:tcW w:w="3300" w:type="dxa"/>
            <w:vAlign w:val="bottom"/>
            <w:tcBorders>
              <w:left w:val="single" w:sz="8" w:color="auto"/>
              <w:right w:val="single" w:sz="8" w:color="auto"/>
            </w:tcBorders>
          </w:tcPr>
          <w:p>
            <w:pPr>
              <w:ind w:left="100"/>
              <w:spacing w:after="0" w:line="73" w:lineRule="exact"/>
              <w:rPr>
                <w:sz w:val="20"/>
                <w:szCs w:val="20"/>
                <w:color w:val="auto"/>
              </w:rPr>
            </w:pPr>
            <w:r>
              <w:rPr>
                <w:rFonts w:ascii="Arial" w:cs="Arial" w:eastAsia="Arial" w:hAnsi="Arial"/>
                <w:sz w:val="8"/>
                <w:szCs w:val="8"/>
                <w:b w:val="1"/>
                <w:bCs w:val="1"/>
                <w:color w:val="auto"/>
              </w:rPr>
              <w:t>Loan portfolio quality</w:t>
            </w: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Internal overdue ratio (3)</w:t>
            </w:r>
          </w:p>
        </w:tc>
        <w:tc>
          <w:tcPr>
            <w:tcW w:w="980" w:type="dxa"/>
            <w:vAlign w:val="bottom"/>
          </w:tcPr>
          <w:p>
            <w:pPr>
              <w:jc w:val="right"/>
              <w:ind w:right="139"/>
              <w:spacing w:after="0"/>
              <w:rPr>
                <w:sz w:val="20"/>
                <w:szCs w:val="20"/>
                <w:color w:val="auto"/>
              </w:rPr>
            </w:pPr>
            <w:r>
              <w:rPr>
                <w:rFonts w:ascii="Arial" w:cs="Arial" w:eastAsia="Arial" w:hAnsi="Arial"/>
                <w:sz w:val="8"/>
                <w:szCs w:val="8"/>
                <w:color w:val="auto"/>
              </w:rPr>
              <w:t>4.2%</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4.4%</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4.2%</w:t>
            </w:r>
          </w:p>
        </w:tc>
        <w:tc>
          <w:tcPr>
            <w:tcW w:w="660" w:type="dxa"/>
            <w:vAlign w:val="bottom"/>
          </w:tcPr>
          <w:p>
            <w:pPr>
              <w:jc w:val="center"/>
              <w:ind w:left="179"/>
              <w:spacing w:after="0"/>
              <w:rPr>
                <w:sz w:val="20"/>
                <w:szCs w:val="20"/>
                <w:color w:val="auto"/>
              </w:rPr>
            </w:pPr>
            <w:r>
              <w:rPr>
                <w:rFonts w:ascii="Arial" w:cs="Arial" w:eastAsia="Arial" w:hAnsi="Arial"/>
                <w:sz w:val="8"/>
                <w:szCs w:val="8"/>
                <w:color w:val="auto"/>
              </w:rPr>
              <w:t>-17 bps</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color w:val="auto"/>
              </w:rPr>
              <w:t>5 bps</w:t>
            </w:r>
          </w:p>
        </w:tc>
        <w:tc>
          <w:tcPr>
            <w:tcW w:w="1120" w:type="dxa"/>
            <w:vAlign w:val="bottom"/>
          </w:tcPr>
          <w:p>
            <w:pPr>
              <w:jc w:val="right"/>
              <w:ind w:right="279"/>
              <w:spacing w:after="0"/>
              <w:rPr>
                <w:sz w:val="20"/>
                <w:szCs w:val="20"/>
                <w:color w:val="auto"/>
              </w:rPr>
            </w:pPr>
            <w:r>
              <w:rPr>
                <w:rFonts w:ascii="Arial" w:cs="Arial" w:eastAsia="Arial" w:hAnsi="Arial"/>
                <w:sz w:val="8"/>
                <w:szCs w:val="8"/>
                <w:color w:val="auto"/>
              </w:rPr>
              <w:t>4.2%</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4.2%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5 bps</w:t>
            </w: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Internal overdue ratio over 90 days</w:t>
            </w:r>
          </w:p>
        </w:tc>
        <w:tc>
          <w:tcPr>
            <w:tcW w:w="980" w:type="dxa"/>
            <w:vAlign w:val="bottom"/>
          </w:tcPr>
          <w:p>
            <w:pPr>
              <w:jc w:val="right"/>
              <w:ind w:right="139"/>
              <w:spacing w:after="0"/>
              <w:rPr>
                <w:sz w:val="20"/>
                <w:szCs w:val="20"/>
                <w:color w:val="auto"/>
              </w:rPr>
            </w:pPr>
            <w:r>
              <w:rPr>
                <w:rFonts w:ascii="Arial" w:cs="Arial" w:eastAsia="Arial" w:hAnsi="Arial"/>
                <w:sz w:val="8"/>
                <w:szCs w:val="8"/>
                <w:color w:val="auto"/>
              </w:rPr>
              <w:t>3.2%</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3.3%</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3.2%</w:t>
            </w:r>
          </w:p>
        </w:tc>
        <w:tc>
          <w:tcPr>
            <w:tcW w:w="660" w:type="dxa"/>
            <w:vAlign w:val="bottom"/>
          </w:tcPr>
          <w:p>
            <w:pPr>
              <w:jc w:val="center"/>
              <w:ind w:left="179"/>
              <w:spacing w:after="0"/>
              <w:rPr>
                <w:sz w:val="20"/>
                <w:szCs w:val="20"/>
                <w:color w:val="auto"/>
              </w:rPr>
            </w:pPr>
            <w:r>
              <w:rPr>
                <w:rFonts w:ascii="Arial" w:cs="Arial" w:eastAsia="Arial" w:hAnsi="Arial"/>
                <w:sz w:val="8"/>
                <w:szCs w:val="8"/>
                <w:color w:val="auto"/>
              </w:rPr>
              <w:t>-10 bps</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color w:val="auto"/>
              </w:rPr>
              <w:t>0 bps</w:t>
            </w:r>
          </w:p>
        </w:tc>
        <w:tc>
          <w:tcPr>
            <w:tcW w:w="1120" w:type="dxa"/>
            <w:vAlign w:val="bottom"/>
          </w:tcPr>
          <w:p>
            <w:pPr>
              <w:jc w:val="right"/>
              <w:ind w:right="279"/>
              <w:spacing w:after="0"/>
              <w:rPr>
                <w:sz w:val="20"/>
                <w:szCs w:val="20"/>
                <w:color w:val="auto"/>
              </w:rPr>
            </w:pPr>
            <w:r>
              <w:rPr>
                <w:rFonts w:ascii="Arial" w:cs="Arial" w:eastAsia="Arial" w:hAnsi="Arial"/>
                <w:sz w:val="8"/>
                <w:szCs w:val="8"/>
                <w:color w:val="auto"/>
              </w:rPr>
              <w:t>3.2%</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3.2%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0 bps</w:t>
            </w: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NPL ratio (4)</w:t>
            </w:r>
          </w:p>
        </w:tc>
        <w:tc>
          <w:tcPr>
            <w:tcW w:w="980" w:type="dxa"/>
            <w:vAlign w:val="bottom"/>
          </w:tcPr>
          <w:p>
            <w:pPr>
              <w:jc w:val="right"/>
              <w:ind w:right="139"/>
              <w:spacing w:after="0"/>
              <w:rPr>
                <w:sz w:val="20"/>
                <w:szCs w:val="20"/>
                <w:color w:val="auto"/>
              </w:rPr>
            </w:pPr>
            <w:r>
              <w:rPr>
                <w:rFonts w:ascii="Arial" w:cs="Arial" w:eastAsia="Arial" w:hAnsi="Arial"/>
                <w:sz w:val="8"/>
                <w:szCs w:val="8"/>
                <w:color w:val="auto"/>
              </w:rPr>
              <w:t>5.6%</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6.2%</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6.0%</w:t>
            </w:r>
          </w:p>
        </w:tc>
        <w:tc>
          <w:tcPr>
            <w:tcW w:w="660" w:type="dxa"/>
            <w:vAlign w:val="bottom"/>
          </w:tcPr>
          <w:p>
            <w:pPr>
              <w:jc w:val="center"/>
              <w:ind w:left="179"/>
              <w:spacing w:after="0"/>
              <w:rPr>
                <w:sz w:val="20"/>
                <w:szCs w:val="20"/>
                <w:color w:val="auto"/>
              </w:rPr>
            </w:pPr>
            <w:r>
              <w:rPr>
                <w:rFonts w:ascii="Arial" w:cs="Arial" w:eastAsia="Arial" w:hAnsi="Arial"/>
                <w:sz w:val="8"/>
                <w:szCs w:val="8"/>
                <w:color w:val="auto"/>
              </w:rPr>
              <w:t>-24 bps</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color w:val="auto"/>
                <w:w w:val="99"/>
              </w:rPr>
              <w:t>34 bps</w:t>
            </w:r>
          </w:p>
        </w:tc>
        <w:tc>
          <w:tcPr>
            <w:tcW w:w="1120" w:type="dxa"/>
            <w:vAlign w:val="bottom"/>
          </w:tcPr>
          <w:p>
            <w:pPr>
              <w:jc w:val="right"/>
              <w:ind w:right="279"/>
              <w:spacing w:after="0"/>
              <w:rPr>
                <w:sz w:val="20"/>
                <w:szCs w:val="20"/>
                <w:color w:val="auto"/>
              </w:rPr>
            </w:pPr>
            <w:r>
              <w:rPr>
                <w:rFonts w:ascii="Arial" w:cs="Arial" w:eastAsia="Arial" w:hAnsi="Arial"/>
                <w:sz w:val="8"/>
                <w:szCs w:val="8"/>
                <w:color w:val="auto"/>
              </w:rPr>
              <w:t>5.6%</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6.0%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34 bps</w:t>
            </w: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Cost of risk (5)</w:t>
            </w:r>
          </w:p>
        </w:tc>
        <w:tc>
          <w:tcPr>
            <w:tcW w:w="980" w:type="dxa"/>
            <w:vAlign w:val="bottom"/>
          </w:tcPr>
          <w:p>
            <w:pPr>
              <w:jc w:val="right"/>
              <w:ind w:right="139"/>
              <w:spacing w:after="0"/>
              <w:rPr>
                <w:sz w:val="20"/>
                <w:szCs w:val="20"/>
                <w:color w:val="auto"/>
              </w:rPr>
            </w:pPr>
            <w:r>
              <w:rPr>
                <w:rFonts w:ascii="Arial" w:cs="Arial" w:eastAsia="Arial" w:hAnsi="Arial"/>
                <w:sz w:val="8"/>
                <w:szCs w:val="8"/>
                <w:color w:val="auto"/>
              </w:rPr>
              <w:t>2.2%</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2.3%</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3.0%</w:t>
            </w:r>
          </w:p>
        </w:tc>
        <w:tc>
          <w:tcPr>
            <w:tcW w:w="660" w:type="dxa"/>
            <w:vAlign w:val="bottom"/>
          </w:tcPr>
          <w:p>
            <w:pPr>
              <w:jc w:val="center"/>
              <w:ind w:left="179"/>
              <w:spacing w:after="0"/>
              <w:rPr>
                <w:sz w:val="20"/>
                <w:szCs w:val="20"/>
                <w:color w:val="auto"/>
              </w:rPr>
            </w:pPr>
            <w:r>
              <w:rPr>
                <w:rFonts w:ascii="Arial" w:cs="Arial" w:eastAsia="Arial" w:hAnsi="Arial"/>
                <w:sz w:val="8"/>
                <w:szCs w:val="8"/>
                <w:color w:val="auto"/>
                <w:w w:val="99"/>
              </w:rPr>
              <w:t>76 bps</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color w:val="auto"/>
                <w:w w:val="99"/>
              </w:rPr>
              <w:t>81 bps</w:t>
            </w:r>
          </w:p>
        </w:tc>
        <w:tc>
          <w:tcPr>
            <w:tcW w:w="1120" w:type="dxa"/>
            <w:vAlign w:val="bottom"/>
          </w:tcPr>
          <w:p>
            <w:pPr>
              <w:jc w:val="right"/>
              <w:ind w:right="279"/>
              <w:spacing w:after="0"/>
              <w:rPr>
                <w:sz w:val="20"/>
                <w:szCs w:val="20"/>
                <w:color w:val="auto"/>
              </w:rPr>
            </w:pPr>
            <w:r>
              <w:rPr>
                <w:rFonts w:ascii="Arial" w:cs="Arial" w:eastAsia="Arial" w:hAnsi="Arial"/>
                <w:sz w:val="8"/>
                <w:szCs w:val="8"/>
                <w:color w:val="auto"/>
              </w:rPr>
              <w:t>2.1%</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2.6%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51 bps</w:t>
            </w: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Coverage ratio of IOLs</w:t>
            </w:r>
          </w:p>
        </w:tc>
        <w:tc>
          <w:tcPr>
            <w:tcW w:w="980" w:type="dxa"/>
            <w:vAlign w:val="bottom"/>
          </w:tcPr>
          <w:p>
            <w:pPr>
              <w:jc w:val="right"/>
              <w:ind w:right="139"/>
              <w:spacing w:after="0"/>
              <w:rPr>
                <w:sz w:val="20"/>
                <w:szCs w:val="20"/>
                <w:color w:val="auto"/>
              </w:rPr>
            </w:pPr>
            <w:r>
              <w:rPr>
                <w:rFonts w:ascii="Arial" w:cs="Arial" w:eastAsia="Arial" w:hAnsi="Arial"/>
                <w:sz w:val="8"/>
                <w:szCs w:val="8"/>
                <w:color w:val="auto"/>
              </w:rPr>
              <w:t>133.1%</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132.0%</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134.0%</w:t>
            </w:r>
          </w:p>
        </w:tc>
        <w:tc>
          <w:tcPr>
            <w:tcW w:w="660" w:type="dxa"/>
            <w:vAlign w:val="bottom"/>
          </w:tcPr>
          <w:p>
            <w:pPr>
              <w:jc w:val="center"/>
              <w:ind w:left="179"/>
              <w:spacing w:after="0"/>
              <w:rPr>
                <w:sz w:val="20"/>
                <w:szCs w:val="20"/>
                <w:color w:val="auto"/>
              </w:rPr>
            </w:pPr>
            <w:r>
              <w:rPr>
                <w:rFonts w:ascii="Arial" w:cs="Arial" w:eastAsia="Arial" w:hAnsi="Arial"/>
                <w:sz w:val="8"/>
                <w:szCs w:val="8"/>
                <w:color w:val="auto"/>
                <w:w w:val="98"/>
              </w:rPr>
              <w:t>201 bps</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color w:val="auto"/>
                <w:w w:val="99"/>
              </w:rPr>
              <w:t>95 bps</w:t>
            </w:r>
          </w:p>
        </w:tc>
        <w:tc>
          <w:tcPr>
            <w:tcW w:w="1120" w:type="dxa"/>
            <w:vAlign w:val="bottom"/>
          </w:tcPr>
          <w:p>
            <w:pPr>
              <w:jc w:val="right"/>
              <w:ind w:right="279"/>
              <w:spacing w:after="0"/>
              <w:rPr>
                <w:sz w:val="20"/>
                <w:szCs w:val="20"/>
                <w:color w:val="auto"/>
              </w:rPr>
            </w:pPr>
            <w:r>
              <w:rPr>
                <w:rFonts w:ascii="Arial" w:cs="Arial" w:eastAsia="Arial" w:hAnsi="Arial"/>
                <w:sz w:val="8"/>
                <w:szCs w:val="8"/>
                <w:color w:val="auto"/>
              </w:rPr>
              <w:t>133.1%</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134.0%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95 bps</w:t>
            </w:r>
          </w:p>
        </w:tc>
        <w:tc>
          <w:tcPr>
            <w:tcW w:w="0" w:type="dxa"/>
            <w:vAlign w:val="bottom"/>
          </w:tcPr>
          <w:p>
            <w:pPr>
              <w:spacing w:after="0"/>
              <w:rPr>
                <w:sz w:val="1"/>
                <w:szCs w:val="1"/>
                <w:color w:val="auto"/>
              </w:rPr>
            </w:pPr>
          </w:p>
        </w:tc>
      </w:tr>
      <w:tr>
        <w:trPr>
          <w:trHeight w:val="103"/>
        </w:trPr>
        <w:tc>
          <w:tcPr>
            <w:tcW w:w="3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Coverage ratio of NPLs</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8"/>
                <w:szCs w:val="8"/>
                <w:color w:val="auto"/>
              </w:rPr>
              <w:t>98.7%</w:t>
            </w: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8"/>
                <w:szCs w:val="8"/>
                <w:color w:val="auto"/>
              </w:rPr>
              <w:t>93.5%</w:t>
            </w:r>
          </w:p>
        </w:tc>
        <w:tc>
          <w:tcPr>
            <w:tcW w:w="7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8"/>
                <w:szCs w:val="8"/>
                <w:color w:val="auto"/>
              </w:rPr>
              <w:t>95.0%</w:t>
            </w:r>
          </w:p>
        </w:tc>
        <w:tc>
          <w:tcPr>
            <w:tcW w:w="660" w:type="dxa"/>
            <w:vAlign w:val="bottom"/>
            <w:tcBorders>
              <w:bottom w:val="single" w:sz="8" w:color="auto"/>
            </w:tcBorders>
          </w:tcPr>
          <w:p>
            <w:pPr>
              <w:jc w:val="center"/>
              <w:ind w:left="179"/>
              <w:spacing w:after="0"/>
              <w:rPr>
                <w:sz w:val="20"/>
                <w:szCs w:val="20"/>
                <w:color w:val="auto"/>
              </w:rPr>
            </w:pPr>
            <w:r>
              <w:rPr>
                <w:rFonts w:ascii="Arial" w:cs="Arial" w:eastAsia="Arial" w:hAnsi="Arial"/>
                <w:sz w:val="8"/>
                <w:szCs w:val="8"/>
                <w:color w:val="auto"/>
                <w:w w:val="98"/>
              </w:rPr>
              <w:t>157 bps</w:t>
            </w:r>
          </w:p>
        </w:tc>
        <w:tc>
          <w:tcPr>
            <w:tcW w:w="1160" w:type="dxa"/>
            <w:vAlign w:val="bottom"/>
            <w:tcBorders>
              <w:bottom w:val="single" w:sz="8" w:color="auto"/>
              <w:right w:val="single" w:sz="8" w:color="auto"/>
            </w:tcBorders>
          </w:tcPr>
          <w:p>
            <w:pPr>
              <w:jc w:val="center"/>
              <w:ind w:left="159"/>
              <w:spacing w:after="0"/>
              <w:rPr>
                <w:sz w:val="20"/>
                <w:szCs w:val="20"/>
                <w:color w:val="auto"/>
              </w:rPr>
            </w:pPr>
            <w:r>
              <w:rPr>
                <w:rFonts w:ascii="Arial" w:cs="Arial" w:eastAsia="Arial" w:hAnsi="Arial"/>
                <w:sz w:val="8"/>
                <w:szCs w:val="8"/>
                <w:color w:val="auto"/>
              </w:rPr>
              <w:t>-363 bps</w:t>
            </w: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8"/>
                <w:szCs w:val="8"/>
                <w:color w:val="auto"/>
              </w:rPr>
              <w:t>98.7%</w:t>
            </w:r>
          </w:p>
        </w:tc>
        <w:tc>
          <w:tcPr>
            <w:tcW w:w="6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8"/>
                <w:szCs w:val="8"/>
                <w:color w:val="auto"/>
              </w:rPr>
              <w:t>95.0%</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-363 bps</w:t>
            </w:r>
          </w:p>
        </w:tc>
        <w:tc>
          <w:tcPr>
            <w:tcW w:w="0" w:type="dxa"/>
            <w:vAlign w:val="bottom"/>
          </w:tcPr>
          <w:p>
            <w:pPr>
              <w:spacing w:after="0"/>
              <w:rPr>
                <w:sz w:val="1"/>
                <w:szCs w:val="1"/>
                <w:color w:val="auto"/>
              </w:rPr>
            </w:pPr>
          </w:p>
        </w:tc>
      </w:tr>
      <w:tr>
        <w:trPr>
          <w:trHeight w:val="72"/>
        </w:trPr>
        <w:tc>
          <w:tcPr>
            <w:tcW w:w="3300" w:type="dxa"/>
            <w:vAlign w:val="bottom"/>
            <w:tcBorders>
              <w:left w:val="single" w:sz="8" w:color="auto"/>
              <w:right w:val="single" w:sz="8" w:color="auto"/>
            </w:tcBorders>
          </w:tcPr>
          <w:p>
            <w:pPr>
              <w:ind w:left="100"/>
              <w:spacing w:after="0" w:line="73" w:lineRule="exact"/>
              <w:rPr>
                <w:sz w:val="20"/>
                <w:szCs w:val="20"/>
                <w:color w:val="auto"/>
              </w:rPr>
            </w:pPr>
            <w:r>
              <w:rPr>
                <w:rFonts w:ascii="Arial" w:cs="Arial" w:eastAsia="Arial" w:hAnsi="Arial"/>
                <w:sz w:val="8"/>
                <w:szCs w:val="8"/>
                <w:b w:val="1"/>
                <w:bCs w:val="1"/>
                <w:color w:val="auto"/>
              </w:rPr>
              <w:t>Operating efficiency</w:t>
            </w: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Operating income(6)</w:t>
            </w:r>
          </w:p>
        </w:tc>
        <w:tc>
          <w:tcPr>
            <w:tcW w:w="980" w:type="dxa"/>
            <w:vAlign w:val="bottom"/>
          </w:tcPr>
          <w:p>
            <w:pPr>
              <w:jc w:val="right"/>
              <w:ind w:right="139"/>
              <w:spacing w:after="0"/>
              <w:rPr>
                <w:sz w:val="20"/>
                <w:szCs w:val="20"/>
                <w:color w:val="auto"/>
              </w:rPr>
            </w:pPr>
            <w:r>
              <w:rPr>
                <w:rFonts w:ascii="Arial" w:cs="Arial" w:eastAsia="Arial" w:hAnsi="Arial"/>
                <w:sz w:val="8"/>
                <w:szCs w:val="8"/>
                <w:color w:val="auto"/>
              </w:rPr>
              <w:t>4,715,570</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5,000,613</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5,213,233</w:t>
            </w:r>
          </w:p>
        </w:tc>
        <w:tc>
          <w:tcPr>
            <w:tcW w:w="660" w:type="dxa"/>
            <w:vAlign w:val="bottom"/>
          </w:tcPr>
          <w:p>
            <w:pPr>
              <w:jc w:val="center"/>
              <w:ind w:left="179"/>
              <w:spacing w:after="0"/>
              <w:rPr>
                <w:sz w:val="20"/>
                <w:szCs w:val="20"/>
                <w:color w:val="auto"/>
              </w:rPr>
            </w:pPr>
            <w:r>
              <w:rPr>
                <w:rFonts w:ascii="Arial" w:cs="Arial" w:eastAsia="Arial" w:hAnsi="Arial"/>
                <w:sz w:val="8"/>
                <w:szCs w:val="8"/>
                <w:color w:val="auto"/>
              </w:rPr>
              <w:t>4.3%</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color w:val="auto"/>
              </w:rPr>
              <w:t>10.6%</w:t>
            </w:r>
          </w:p>
        </w:tc>
        <w:tc>
          <w:tcPr>
            <w:tcW w:w="1120" w:type="dxa"/>
            <w:vAlign w:val="bottom"/>
          </w:tcPr>
          <w:p>
            <w:pPr>
              <w:jc w:val="right"/>
              <w:ind w:right="279"/>
              <w:spacing w:after="0"/>
              <w:rPr>
                <w:sz w:val="20"/>
                <w:szCs w:val="20"/>
                <w:color w:val="auto"/>
              </w:rPr>
            </w:pPr>
            <w:r>
              <w:rPr>
                <w:rFonts w:ascii="Arial" w:cs="Arial" w:eastAsia="Arial" w:hAnsi="Arial"/>
                <w:sz w:val="8"/>
                <w:szCs w:val="8"/>
                <w:color w:val="auto"/>
              </w:rPr>
              <w:t>9,317,901</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10,213,846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9.6%</w:t>
            </w: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Operating expenses(7)</w:t>
            </w:r>
          </w:p>
        </w:tc>
        <w:tc>
          <w:tcPr>
            <w:tcW w:w="980" w:type="dxa"/>
            <w:vAlign w:val="bottom"/>
          </w:tcPr>
          <w:p>
            <w:pPr>
              <w:jc w:val="right"/>
              <w:ind w:right="139"/>
              <w:spacing w:after="0"/>
              <w:rPr>
                <w:sz w:val="20"/>
                <w:szCs w:val="20"/>
                <w:color w:val="auto"/>
              </w:rPr>
            </w:pPr>
            <w:r>
              <w:rPr>
                <w:rFonts w:ascii="Arial" w:cs="Arial" w:eastAsia="Arial" w:hAnsi="Arial"/>
                <w:sz w:val="8"/>
                <w:szCs w:val="8"/>
                <w:color w:val="auto"/>
              </w:rPr>
              <w:t>2,103,072</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2,179,645</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2,340,934</w:t>
            </w:r>
          </w:p>
        </w:tc>
        <w:tc>
          <w:tcPr>
            <w:tcW w:w="660" w:type="dxa"/>
            <w:vAlign w:val="bottom"/>
          </w:tcPr>
          <w:p>
            <w:pPr>
              <w:jc w:val="center"/>
              <w:ind w:left="179"/>
              <w:spacing w:after="0"/>
              <w:rPr>
                <w:sz w:val="20"/>
                <w:szCs w:val="20"/>
                <w:color w:val="auto"/>
              </w:rPr>
            </w:pPr>
            <w:r>
              <w:rPr>
                <w:rFonts w:ascii="Arial" w:cs="Arial" w:eastAsia="Arial" w:hAnsi="Arial"/>
                <w:sz w:val="8"/>
                <w:szCs w:val="8"/>
                <w:color w:val="auto"/>
              </w:rPr>
              <w:t>7.4%</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color w:val="auto"/>
              </w:rPr>
              <w:t>11.3%</w:t>
            </w:r>
          </w:p>
        </w:tc>
        <w:tc>
          <w:tcPr>
            <w:tcW w:w="1120" w:type="dxa"/>
            <w:vAlign w:val="bottom"/>
          </w:tcPr>
          <w:p>
            <w:pPr>
              <w:jc w:val="right"/>
              <w:ind w:right="279"/>
              <w:spacing w:after="0"/>
              <w:rPr>
                <w:sz w:val="20"/>
                <w:szCs w:val="20"/>
                <w:color w:val="auto"/>
              </w:rPr>
            </w:pPr>
            <w:r>
              <w:rPr>
                <w:rFonts w:ascii="Arial" w:cs="Arial" w:eastAsia="Arial" w:hAnsi="Arial"/>
                <w:sz w:val="8"/>
                <w:szCs w:val="8"/>
                <w:color w:val="auto"/>
              </w:rPr>
              <w:t>4,141,381</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4,520,579</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9.2%</w:t>
            </w: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Efficiency ratio (8)</w:t>
            </w:r>
          </w:p>
        </w:tc>
        <w:tc>
          <w:tcPr>
            <w:tcW w:w="980" w:type="dxa"/>
            <w:vAlign w:val="bottom"/>
          </w:tcPr>
          <w:p>
            <w:pPr>
              <w:jc w:val="right"/>
              <w:ind w:right="139"/>
              <w:spacing w:after="0"/>
              <w:rPr>
                <w:sz w:val="20"/>
                <w:szCs w:val="20"/>
                <w:color w:val="auto"/>
              </w:rPr>
            </w:pPr>
            <w:r>
              <w:rPr>
                <w:rFonts w:ascii="Arial" w:cs="Arial" w:eastAsia="Arial" w:hAnsi="Arial"/>
                <w:sz w:val="8"/>
                <w:szCs w:val="8"/>
                <w:color w:val="auto"/>
              </w:rPr>
              <w:t>44.6%</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43.6%</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44.9%</w:t>
            </w:r>
          </w:p>
        </w:tc>
        <w:tc>
          <w:tcPr>
            <w:tcW w:w="660" w:type="dxa"/>
            <w:vAlign w:val="bottom"/>
          </w:tcPr>
          <w:p>
            <w:pPr>
              <w:jc w:val="center"/>
              <w:ind w:left="179"/>
              <w:spacing w:after="0"/>
              <w:rPr>
                <w:sz w:val="20"/>
                <w:szCs w:val="20"/>
                <w:color w:val="auto"/>
              </w:rPr>
            </w:pPr>
            <w:r>
              <w:rPr>
                <w:rFonts w:ascii="Arial" w:cs="Arial" w:eastAsia="Arial" w:hAnsi="Arial"/>
                <w:sz w:val="8"/>
                <w:szCs w:val="8"/>
                <w:color w:val="auto"/>
                <w:w w:val="98"/>
              </w:rPr>
              <w:t>131 bps</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color w:val="auto"/>
                <w:w w:val="99"/>
              </w:rPr>
              <w:t>30 bps</w:t>
            </w:r>
          </w:p>
        </w:tc>
        <w:tc>
          <w:tcPr>
            <w:tcW w:w="1120" w:type="dxa"/>
            <w:vAlign w:val="bottom"/>
          </w:tcPr>
          <w:p>
            <w:pPr>
              <w:jc w:val="right"/>
              <w:ind w:right="279"/>
              <w:spacing w:after="0"/>
              <w:rPr>
                <w:sz w:val="20"/>
                <w:szCs w:val="20"/>
                <w:color w:val="auto"/>
              </w:rPr>
            </w:pPr>
            <w:r>
              <w:rPr>
                <w:rFonts w:ascii="Arial" w:cs="Arial" w:eastAsia="Arial" w:hAnsi="Arial"/>
                <w:sz w:val="8"/>
                <w:szCs w:val="8"/>
                <w:color w:val="auto"/>
              </w:rPr>
              <w:t>44.4%</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44.3%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-19 bps</w:t>
            </w:r>
          </w:p>
        </w:tc>
        <w:tc>
          <w:tcPr>
            <w:tcW w:w="0" w:type="dxa"/>
            <w:vAlign w:val="bottom"/>
          </w:tcPr>
          <w:p>
            <w:pPr>
              <w:spacing w:after="0"/>
              <w:rPr>
                <w:sz w:val="1"/>
                <w:szCs w:val="1"/>
                <w:color w:val="auto"/>
              </w:rPr>
            </w:pPr>
          </w:p>
        </w:tc>
      </w:tr>
      <w:tr>
        <w:trPr>
          <w:trHeight w:val="103"/>
        </w:trPr>
        <w:tc>
          <w:tcPr>
            <w:tcW w:w="3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Operating expenses / Total average assets</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8"/>
                <w:szCs w:val="8"/>
                <w:color w:val="auto"/>
              </w:rPr>
              <w:t>3.6%</w:t>
            </w: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8"/>
                <w:szCs w:val="8"/>
                <w:color w:val="auto"/>
              </w:rPr>
              <w:t>3.6%</w:t>
            </w:r>
          </w:p>
        </w:tc>
        <w:tc>
          <w:tcPr>
            <w:tcW w:w="7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8"/>
                <w:szCs w:val="8"/>
                <w:color w:val="auto"/>
              </w:rPr>
              <w:t>3.8%</w:t>
            </w:r>
          </w:p>
        </w:tc>
        <w:tc>
          <w:tcPr>
            <w:tcW w:w="660" w:type="dxa"/>
            <w:vAlign w:val="bottom"/>
            <w:tcBorders>
              <w:bottom w:val="single" w:sz="8" w:color="auto"/>
            </w:tcBorders>
          </w:tcPr>
          <w:p>
            <w:pPr>
              <w:jc w:val="center"/>
              <w:ind w:left="179"/>
              <w:spacing w:after="0"/>
              <w:rPr>
                <w:sz w:val="20"/>
                <w:szCs w:val="20"/>
                <w:color w:val="auto"/>
              </w:rPr>
            </w:pPr>
            <w:r>
              <w:rPr>
                <w:rFonts w:ascii="Arial" w:cs="Arial" w:eastAsia="Arial" w:hAnsi="Arial"/>
                <w:sz w:val="8"/>
                <w:szCs w:val="8"/>
                <w:color w:val="auto"/>
                <w:w w:val="99"/>
              </w:rPr>
              <w:t>19 bps</w:t>
            </w:r>
          </w:p>
        </w:tc>
        <w:tc>
          <w:tcPr>
            <w:tcW w:w="1160" w:type="dxa"/>
            <w:vAlign w:val="bottom"/>
            <w:tcBorders>
              <w:bottom w:val="single" w:sz="8" w:color="auto"/>
              <w:right w:val="single" w:sz="8" w:color="auto"/>
            </w:tcBorders>
          </w:tcPr>
          <w:p>
            <w:pPr>
              <w:jc w:val="center"/>
              <w:ind w:left="159"/>
              <w:spacing w:after="0"/>
              <w:rPr>
                <w:sz w:val="20"/>
                <w:szCs w:val="20"/>
                <w:color w:val="auto"/>
              </w:rPr>
            </w:pPr>
            <w:r>
              <w:rPr>
                <w:rFonts w:ascii="Arial" w:cs="Arial" w:eastAsia="Arial" w:hAnsi="Arial"/>
                <w:sz w:val="8"/>
                <w:szCs w:val="8"/>
                <w:color w:val="auto"/>
                <w:w w:val="99"/>
              </w:rPr>
              <w:t>24 bps</w:t>
            </w: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8"/>
                <w:szCs w:val="8"/>
                <w:color w:val="auto"/>
              </w:rPr>
              <w:t>3.5%</w:t>
            </w:r>
          </w:p>
        </w:tc>
        <w:tc>
          <w:tcPr>
            <w:tcW w:w="6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8"/>
                <w:szCs w:val="8"/>
                <w:color w:val="auto"/>
              </w:rPr>
              <w:t>3.7%</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18 bps</w:t>
            </w:r>
          </w:p>
        </w:tc>
        <w:tc>
          <w:tcPr>
            <w:tcW w:w="0" w:type="dxa"/>
            <w:vAlign w:val="bottom"/>
          </w:tcPr>
          <w:p>
            <w:pPr>
              <w:spacing w:after="0"/>
              <w:rPr>
                <w:sz w:val="1"/>
                <w:szCs w:val="1"/>
                <w:color w:val="auto"/>
              </w:rPr>
            </w:pPr>
          </w:p>
        </w:tc>
      </w:tr>
      <w:tr>
        <w:trPr>
          <w:trHeight w:val="72"/>
        </w:trPr>
        <w:tc>
          <w:tcPr>
            <w:tcW w:w="3300" w:type="dxa"/>
            <w:vAlign w:val="bottom"/>
            <w:tcBorders>
              <w:left w:val="single" w:sz="8" w:color="auto"/>
              <w:right w:val="single" w:sz="8" w:color="auto"/>
            </w:tcBorders>
          </w:tcPr>
          <w:p>
            <w:pPr>
              <w:ind w:left="100"/>
              <w:spacing w:after="0" w:line="73" w:lineRule="exact"/>
              <w:rPr>
                <w:sz w:val="20"/>
                <w:szCs w:val="20"/>
                <w:color w:val="auto"/>
              </w:rPr>
            </w:pPr>
            <w:r>
              <w:rPr>
                <w:rFonts w:ascii="Arial" w:cs="Arial" w:eastAsia="Arial" w:hAnsi="Arial"/>
                <w:sz w:val="8"/>
                <w:szCs w:val="8"/>
                <w:b w:val="1"/>
                <w:bCs w:val="1"/>
                <w:color w:val="auto"/>
              </w:rPr>
              <w:t>Capital adequacy - BCP Stand-alone</w:t>
            </w: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Global Capital ratio (9)</w:t>
            </w:r>
          </w:p>
        </w:tc>
        <w:tc>
          <w:tcPr>
            <w:tcW w:w="980" w:type="dxa"/>
            <w:vAlign w:val="bottom"/>
          </w:tcPr>
          <w:p>
            <w:pPr>
              <w:jc w:val="right"/>
              <w:ind w:right="139"/>
              <w:spacing w:after="0"/>
              <w:rPr>
                <w:sz w:val="20"/>
                <w:szCs w:val="20"/>
                <w:color w:val="auto"/>
              </w:rPr>
            </w:pPr>
            <w:r>
              <w:rPr>
                <w:rFonts w:ascii="Arial" w:cs="Arial" w:eastAsia="Arial" w:hAnsi="Arial"/>
                <w:sz w:val="8"/>
                <w:szCs w:val="8"/>
                <w:color w:val="auto"/>
              </w:rPr>
              <w:t>17.20%</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16.12%</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16.24%</w:t>
            </w:r>
          </w:p>
        </w:tc>
        <w:tc>
          <w:tcPr>
            <w:tcW w:w="660" w:type="dxa"/>
            <w:vAlign w:val="bottom"/>
          </w:tcPr>
          <w:p>
            <w:pPr>
              <w:jc w:val="center"/>
              <w:ind w:left="179"/>
              <w:spacing w:after="0"/>
              <w:rPr>
                <w:sz w:val="20"/>
                <w:szCs w:val="20"/>
                <w:color w:val="auto"/>
              </w:rPr>
            </w:pPr>
            <w:r>
              <w:rPr>
                <w:rFonts w:ascii="Arial" w:cs="Arial" w:eastAsia="Arial" w:hAnsi="Arial"/>
                <w:sz w:val="8"/>
                <w:szCs w:val="8"/>
                <w:color w:val="auto"/>
                <w:w w:val="99"/>
              </w:rPr>
              <w:t>12 bps</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color w:val="auto"/>
              </w:rPr>
              <w:t>-96 bps</w:t>
            </w:r>
          </w:p>
        </w:tc>
        <w:tc>
          <w:tcPr>
            <w:tcW w:w="1120" w:type="dxa"/>
            <w:vAlign w:val="bottom"/>
          </w:tcPr>
          <w:p>
            <w:pPr>
              <w:jc w:val="right"/>
              <w:ind w:right="279"/>
              <w:spacing w:after="0"/>
              <w:rPr>
                <w:sz w:val="20"/>
                <w:szCs w:val="20"/>
                <w:color w:val="auto"/>
              </w:rPr>
            </w:pPr>
            <w:r>
              <w:rPr>
                <w:rFonts w:ascii="Arial" w:cs="Arial" w:eastAsia="Arial" w:hAnsi="Arial"/>
                <w:sz w:val="8"/>
                <w:szCs w:val="8"/>
                <w:color w:val="auto"/>
              </w:rPr>
              <w:t>17.20%</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16.24%</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-96 bps</w:t>
            </w: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Tier 1 ratio (10)</w:t>
            </w:r>
          </w:p>
        </w:tc>
        <w:tc>
          <w:tcPr>
            <w:tcW w:w="980" w:type="dxa"/>
            <w:vAlign w:val="bottom"/>
          </w:tcPr>
          <w:p>
            <w:pPr>
              <w:jc w:val="right"/>
              <w:ind w:right="139"/>
              <w:spacing w:after="0"/>
              <w:rPr>
                <w:sz w:val="20"/>
                <w:szCs w:val="20"/>
                <w:color w:val="auto"/>
              </w:rPr>
            </w:pPr>
            <w:r>
              <w:rPr>
                <w:rFonts w:ascii="Arial" w:cs="Arial" w:eastAsia="Arial" w:hAnsi="Arial"/>
                <w:sz w:val="8"/>
                <w:szCs w:val="8"/>
                <w:color w:val="auto"/>
              </w:rPr>
              <w:t>12.75%</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11.72%</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11.90%</w:t>
            </w:r>
          </w:p>
        </w:tc>
        <w:tc>
          <w:tcPr>
            <w:tcW w:w="660" w:type="dxa"/>
            <w:vAlign w:val="bottom"/>
          </w:tcPr>
          <w:p>
            <w:pPr>
              <w:jc w:val="center"/>
              <w:ind w:left="179"/>
              <w:spacing w:after="0"/>
              <w:rPr>
                <w:sz w:val="20"/>
                <w:szCs w:val="20"/>
                <w:color w:val="auto"/>
              </w:rPr>
            </w:pPr>
            <w:r>
              <w:rPr>
                <w:rFonts w:ascii="Arial" w:cs="Arial" w:eastAsia="Arial" w:hAnsi="Arial"/>
                <w:sz w:val="8"/>
                <w:szCs w:val="8"/>
                <w:color w:val="auto"/>
                <w:w w:val="99"/>
              </w:rPr>
              <w:t>18 bps</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color w:val="auto"/>
              </w:rPr>
              <w:t>-85 bps</w:t>
            </w:r>
          </w:p>
        </w:tc>
        <w:tc>
          <w:tcPr>
            <w:tcW w:w="1120" w:type="dxa"/>
            <w:vAlign w:val="bottom"/>
          </w:tcPr>
          <w:p>
            <w:pPr>
              <w:jc w:val="right"/>
              <w:ind w:right="279"/>
              <w:spacing w:after="0"/>
              <w:rPr>
                <w:sz w:val="20"/>
                <w:szCs w:val="20"/>
                <w:color w:val="auto"/>
              </w:rPr>
            </w:pPr>
            <w:r>
              <w:rPr>
                <w:rFonts w:ascii="Arial" w:cs="Arial" w:eastAsia="Arial" w:hAnsi="Arial"/>
                <w:sz w:val="8"/>
                <w:szCs w:val="8"/>
                <w:color w:val="auto"/>
              </w:rPr>
              <w:t>12.75%</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11.90%</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-85 bps</w:t>
            </w:r>
          </w:p>
        </w:tc>
        <w:tc>
          <w:tcPr>
            <w:tcW w:w="0" w:type="dxa"/>
            <w:vAlign w:val="bottom"/>
          </w:tcPr>
          <w:p>
            <w:pPr>
              <w:spacing w:after="0"/>
              <w:rPr>
                <w:sz w:val="1"/>
                <w:szCs w:val="1"/>
                <w:color w:val="auto"/>
              </w:rPr>
            </w:pPr>
          </w:p>
        </w:tc>
      </w:tr>
      <w:tr>
        <w:trPr>
          <w:trHeight w:val="103"/>
        </w:trPr>
        <w:tc>
          <w:tcPr>
            <w:tcW w:w="3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Common equity tier 1 ratio (11) (13)</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8"/>
                <w:szCs w:val="8"/>
                <w:color w:val="auto"/>
              </w:rPr>
              <w:t>12.79%</w:t>
            </w: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8"/>
                <w:szCs w:val="8"/>
                <w:color w:val="auto"/>
              </w:rPr>
              <w:t>11.86%</w:t>
            </w:r>
          </w:p>
        </w:tc>
        <w:tc>
          <w:tcPr>
            <w:tcW w:w="7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8"/>
                <w:szCs w:val="8"/>
                <w:color w:val="auto"/>
              </w:rPr>
              <w:t>12.05%</w:t>
            </w:r>
          </w:p>
        </w:tc>
        <w:tc>
          <w:tcPr>
            <w:tcW w:w="660" w:type="dxa"/>
            <w:vAlign w:val="bottom"/>
            <w:tcBorders>
              <w:bottom w:val="single" w:sz="8" w:color="auto"/>
            </w:tcBorders>
          </w:tcPr>
          <w:p>
            <w:pPr>
              <w:jc w:val="center"/>
              <w:ind w:left="179"/>
              <w:spacing w:after="0"/>
              <w:rPr>
                <w:sz w:val="20"/>
                <w:szCs w:val="20"/>
                <w:color w:val="auto"/>
              </w:rPr>
            </w:pPr>
            <w:r>
              <w:rPr>
                <w:rFonts w:ascii="Arial" w:cs="Arial" w:eastAsia="Arial" w:hAnsi="Arial"/>
                <w:sz w:val="8"/>
                <w:szCs w:val="8"/>
                <w:color w:val="auto"/>
                <w:w w:val="99"/>
              </w:rPr>
              <w:t>20 bps</w:t>
            </w:r>
          </w:p>
        </w:tc>
        <w:tc>
          <w:tcPr>
            <w:tcW w:w="1160" w:type="dxa"/>
            <w:vAlign w:val="bottom"/>
            <w:tcBorders>
              <w:bottom w:val="single" w:sz="8" w:color="auto"/>
              <w:right w:val="single" w:sz="8" w:color="auto"/>
            </w:tcBorders>
          </w:tcPr>
          <w:p>
            <w:pPr>
              <w:jc w:val="center"/>
              <w:ind w:left="159"/>
              <w:spacing w:after="0"/>
              <w:rPr>
                <w:sz w:val="20"/>
                <w:szCs w:val="20"/>
                <w:color w:val="auto"/>
              </w:rPr>
            </w:pPr>
            <w:r>
              <w:rPr>
                <w:rFonts w:ascii="Arial" w:cs="Arial" w:eastAsia="Arial" w:hAnsi="Arial"/>
                <w:sz w:val="8"/>
                <w:szCs w:val="8"/>
                <w:color w:val="auto"/>
              </w:rPr>
              <w:t>-74 bps</w:t>
            </w: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8"/>
                <w:szCs w:val="8"/>
                <w:color w:val="auto"/>
              </w:rPr>
              <w:t>12.79%</w:t>
            </w:r>
          </w:p>
        </w:tc>
        <w:tc>
          <w:tcPr>
            <w:tcW w:w="6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8"/>
                <w:szCs w:val="8"/>
                <w:color w:val="auto"/>
              </w:rPr>
              <w:t>12.05%</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-74 bps</w:t>
            </w:r>
          </w:p>
        </w:tc>
        <w:tc>
          <w:tcPr>
            <w:tcW w:w="0" w:type="dxa"/>
            <w:vAlign w:val="bottom"/>
          </w:tcPr>
          <w:p>
            <w:pPr>
              <w:spacing w:after="0"/>
              <w:rPr>
                <w:sz w:val="1"/>
                <w:szCs w:val="1"/>
                <w:color w:val="auto"/>
              </w:rPr>
            </w:pPr>
          </w:p>
        </w:tc>
      </w:tr>
      <w:tr>
        <w:trPr>
          <w:trHeight w:val="72"/>
        </w:trPr>
        <w:tc>
          <w:tcPr>
            <w:tcW w:w="3300" w:type="dxa"/>
            <w:vAlign w:val="bottom"/>
            <w:tcBorders>
              <w:left w:val="single" w:sz="8" w:color="auto"/>
              <w:right w:val="single" w:sz="8" w:color="auto"/>
            </w:tcBorders>
          </w:tcPr>
          <w:p>
            <w:pPr>
              <w:ind w:left="100"/>
              <w:spacing w:after="0" w:line="73" w:lineRule="exact"/>
              <w:rPr>
                <w:sz w:val="20"/>
                <w:szCs w:val="20"/>
                <w:color w:val="auto"/>
              </w:rPr>
            </w:pPr>
            <w:r>
              <w:rPr>
                <w:rFonts w:ascii="Arial" w:cs="Arial" w:eastAsia="Arial" w:hAnsi="Arial"/>
                <w:sz w:val="8"/>
                <w:szCs w:val="8"/>
                <w:b w:val="1"/>
                <w:bCs w:val="1"/>
                <w:color w:val="auto"/>
              </w:rPr>
              <w:t>Capital adequacy - Mibanco</w:t>
            </w: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Global Capital ratio (9)</w:t>
            </w:r>
          </w:p>
        </w:tc>
        <w:tc>
          <w:tcPr>
            <w:tcW w:w="980" w:type="dxa"/>
            <w:vAlign w:val="bottom"/>
          </w:tcPr>
          <w:p>
            <w:pPr>
              <w:jc w:val="right"/>
              <w:ind w:right="139"/>
              <w:spacing w:after="0"/>
              <w:rPr>
                <w:sz w:val="20"/>
                <w:szCs w:val="20"/>
                <w:color w:val="auto"/>
              </w:rPr>
            </w:pPr>
            <w:r>
              <w:rPr>
                <w:rFonts w:ascii="Arial" w:cs="Arial" w:eastAsia="Arial" w:hAnsi="Arial"/>
                <w:sz w:val="8"/>
                <w:szCs w:val="8"/>
                <w:color w:val="auto"/>
              </w:rPr>
              <w:t>18.78%</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18.03%</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18.95%</w:t>
            </w:r>
          </w:p>
        </w:tc>
        <w:tc>
          <w:tcPr>
            <w:tcW w:w="660" w:type="dxa"/>
            <w:vAlign w:val="bottom"/>
          </w:tcPr>
          <w:p>
            <w:pPr>
              <w:jc w:val="center"/>
              <w:ind w:left="179"/>
              <w:spacing w:after="0"/>
              <w:rPr>
                <w:sz w:val="20"/>
                <w:szCs w:val="20"/>
                <w:color w:val="auto"/>
              </w:rPr>
            </w:pPr>
            <w:r>
              <w:rPr>
                <w:rFonts w:ascii="Arial" w:cs="Arial" w:eastAsia="Arial" w:hAnsi="Arial"/>
                <w:sz w:val="8"/>
                <w:szCs w:val="8"/>
                <w:color w:val="auto"/>
                <w:w w:val="99"/>
              </w:rPr>
              <w:t>92 bps</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color w:val="auto"/>
                <w:w w:val="99"/>
              </w:rPr>
              <w:t>17 bps</w:t>
            </w:r>
          </w:p>
        </w:tc>
        <w:tc>
          <w:tcPr>
            <w:tcW w:w="1120" w:type="dxa"/>
            <w:vAlign w:val="bottom"/>
          </w:tcPr>
          <w:p>
            <w:pPr>
              <w:jc w:val="right"/>
              <w:ind w:right="279"/>
              <w:spacing w:after="0"/>
              <w:rPr>
                <w:sz w:val="20"/>
                <w:szCs w:val="20"/>
                <w:color w:val="auto"/>
              </w:rPr>
            </w:pPr>
            <w:r>
              <w:rPr>
                <w:rFonts w:ascii="Arial" w:cs="Arial" w:eastAsia="Arial" w:hAnsi="Arial"/>
                <w:sz w:val="8"/>
                <w:szCs w:val="8"/>
                <w:color w:val="auto"/>
              </w:rPr>
              <w:t>18.78%</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18.95%</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17 bps</w:t>
            </w: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Tier 1 ratio (10)</w:t>
            </w:r>
          </w:p>
        </w:tc>
        <w:tc>
          <w:tcPr>
            <w:tcW w:w="980" w:type="dxa"/>
            <w:vAlign w:val="bottom"/>
          </w:tcPr>
          <w:p>
            <w:pPr>
              <w:jc w:val="right"/>
              <w:ind w:right="139"/>
              <w:spacing w:after="0"/>
              <w:rPr>
                <w:sz w:val="20"/>
                <w:szCs w:val="20"/>
                <w:color w:val="auto"/>
              </w:rPr>
            </w:pPr>
            <w:r>
              <w:rPr>
                <w:rFonts w:ascii="Arial" w:cs="Arial" w:eastAsia="Arial" w:hAnsi="Arial"/>
                <w:sz w:val="8"/>
                <w:szCs w:val="8"/>
                <w:color w:val="auto"/>
              </w:rPr>
              <w:t>16.49%</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15.69%</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16.62%</w:t>
            </w:r>
          </w:p>
        </w:tc>
        <w:tc>
          <w:tcPr>
            <w:tcW w:w="660" w:type="dxa"/>
            <w:vAlign w:val="bottom"/>
          </w:tcPr>
          <w:p>
            <w:pPr>
              <w:jc w:val="center"/>
              <w:ind w:left="179"/>
              <w:spacing w:after="0"/>
              <w:rPr>
                <w:sz w:val="20"/>
                <w:szCs w:val="20"/>
                <w:color w:val="auto"/>
              </w:rPr>
            </w:pPr>
            <w:r>
              <w:rPr>
                <w:rFonts w:ascii="Arial" w:cs="Arial" w:eastAsia="Arial" w:hAnsi="Arial"/>
                <w:sz w:val="8"/>
                <w:szCs w:val="8"/>
                <w:color w:val="auto"/>
                <w:w w:val="99"/>
              </w:rPr>
              <w:t>94 bps</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color w:val="auto"/>
                <w:w w:val="99"/>
              </w:rPr>
              <w:t>14 bps</w:t>
            </w:r>
          </w:p>
        </w:tc>
        <w:tc>
          <w:tcPr>
            <w:tcW w:w="1120" w:type="dxa"/>
            <w:vAlign w:val="bottom"/>
          </w:tcPr>
          <w:p>
            <w:pPr>
              <w:jc w:val="right"/>
              <w:ind w:right="279"/>
              <w:spacing w:after="0"/>
              <w:rPr>
                <w:sz w:val="20"/>
                <w:szCs w:val="20"/>
                <w:color w:val="auto"/>
              </w:rPr>
            </w:pPr>
            <w:r>
              <w:rPr>
                <w:rFonts w:ascii="Arial" w:cs="Arial" w:eastAsia="Arial" w:hAnsi="Arial"/>
                <w:sz w:val="8"/>
                <w:szCs w:val="8"/>
                <w:color w:val="auto"/>
              </w:rPr>
              <w:t>16.49%</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16.62%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14 bps</w:t>
            </w:r>
          </w:p>
        </w:tc>
        <w:tc>
          <w:tcPr>
            <w:tcW w:w="0" w:type="dxa"/>
            <w:vAlign w:val="bottom"/>
          </w:tcPr>
          <w:p>
            <w:pPr>
              <w:spacing w:after="0"/>
              <w:rPr>
                <w:sz w:val="1"/>
                <w:szCs w:val="1"/>
                <w:color w:val="auto"/>
              </w:rPr>
            </w:pPr>
          </w:p>
        </w:tc>
      </w:tr>
      <w:tr>
        <w:trPr>
          <w:trHeight w:val="103"/>
        </w:trPr>
        <w:tc>
          <w:tcPr>
            <w:tcW w:w="3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Common equity tier 1 ratio (11)(13)</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8"/>
                <w:szCs w:val="8"/>
                <w:color w:val="auto"/>
              </w:rPr>
              <w:t>16.59%</w:t>
            </w: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8"/>
                <w:szCs w:val="8"/>
                <w:color w:val="auto"/>
              </w:rPr>
              <w:t>16.06%</w:t>
            </w:r>
          </w:p>
        </w:tc>
        <w:tc>
          <w:tcPr>
            <w:tcW w:w="7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8"/>
                <w:szCs w:val="8"/>
                <w:color w:val="auto"/>
              </w:rPr>
              <w:t>16.72%</w:t>
            </w:r>
          </w:p>
        </w:tc>
        <w:tc>
          <w:tcPr>
            <w:tcW w:w="660" w:type="dxa"/>
            <w:vAlign w:val="bottom"/>
            <w:tcBorders>
              <w:bottom w:val="single" w:sz="8" w:color="auto"/>
            </w:tcBorders>
          </w:tcPr>
          <w:p>
            <w:pPr>
              <w:jc w:val="center"/>
              <w:ind w:left="179"/>
              <w:spacing w:after="0"/>
              <w:rPr>
                <w:sz w:val="20"/>
                <w:szCs w:val="20"/>
                <w:color w:val="auto"/>
              </w:rPr>
            </w:pPr>
            <w:r>
              <w:rPr>
                <w:rFonts w:ascii="Arial" w:cs="Arial" w:eastAsia="Arial" w:hAnsi="Arial"/>
                <w:sz w:val="8"/>
                <w:szCs w:val="8"/>
                <w:color w:val="auto"/>
                <w:w w:val="99"/>
              </w:rPr>
              <w:t>65 bps</w:t>
            </w:r>
          </w:p>
        </w:tc>
        <w:tc>
          <w:tcPr>
            <w:tcW w:w="1160" w:type="dxa"/>
            <w:vAlign w:val="bottom"/>
            <w:tcBorders>
              <w:bottom w:val="single" w:sz="8" w:color="auto"/>
              <w:right w:val="single" w:sz="8" w:color="auto"/>
            </w:tcBorders>
          </w:tcPr>
          <w:p>
            <w:pPr>
              <w:jc w:val="center"/>
              <w:ind w:left="159"/>
              <w:spacing w:after="0"/>
              <w:rPr>
                <w:sz w:val="20"/>
                <w:szCs w:val="20"/>
                <w:color w:val="auto"/>
              </w:rPr>
            </w:pPr>
            <w:r>
              <w:rPr>
                <w:rFonts w:ascii="Arial" w:cs="Arial" w:eastAsia="Arial" w:hAnsi="Arial"/>
                <w:sz w:val="8"/>
                <w:szCs w:val="8"/>
                <w:color w:val="auto"/>
                <w:w w:val="99"/>
              </w:rPr>
              <w:t>13 bps</w:t>
            </w: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8"/>
                <w:szCs w:val="8"/>
                <w:color w:val="auto"/>
              </w:rPr>
              <w:t>16.59%</w:t>
            </w:r>
          </w:p>
        </w:tc>
        <w:tc>
          <w:tcPr>
            <w:tcW w:w="6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8"/>
                <w:szCs w:val="8"/>
                <w:color w:val="auto"/>
              </w:rPr>
              <w:t>16.72%</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w w:val="99"/>
              </w:rPr>
              <w:t>13 bps</w:t>
            </w:r>
          </w:p>
        </w:tc>
        <w:tc>
          <w:tcPr>
            <w:tcW w:w="0" w:type="dxa"/>
            <w:vAlign w:val="bottom"/>
          </w:tcPr>
          <w:p>
            <w:pPr>
              <w:spacing w:after="0"/>
              <w:rPr>
                <w:sz w:val="1"/>
                <w:szCs w:val="1"/>
                <w:color w:val="auto"/>
              </w:rPr>
            </w:pPr>
          </w:p>
        </w:tc>
      </w:tr>
      <w:tr>
        <w:trPr>
          <w:trHeight w:val="83"/>
        </w:trPr>
        <w:tc>
          <w:tcPr>
            <w:tcW w:w="3300" w:type="dxa"/>
            <w:vAlign w:val="bottom"/>
            <w:tcBorders>
              <w:left w:val="single" w:sz="8" w:color="auto"/>
              <w:bottom w:val="single" w:sz="8" w:color="auto"/>
              <w:right w:val="single" w:sz="8" w:color="auto"/>
            </w:tcBorders>
          </w:tcPr>
          <w:p>
            <w:pPr>
              <w:ind w:left="100"/>
              <w:spacing w:after="0" w:line="83" w:lineRule="exact"/>
              <w:rPr>
                <w:sz w:val="20"/>
                <w:szCs w:val="20"/>
                <w:color w:val="auto"/>
              </w:rPr>
            </w:pPr>
            <w:r>
              <w:rPr>
                <w:rFonts w:ascii="Arial" w:cs="Arial" w:eastAsia="Arial" w:hAnsi="Arial"/>
                <w:sz w:val="8"/>
                <w:szCs w:val="8"/>
                <w:b w:val="1"/>
                <w:bCs w:val="1"/>
                <w:color w:val="auto"/>
              </w:rPr>
              <w:t>Employees</w:t>
            </w:r>
          </w:p>
        </w:tc>
        <w:tc>
          <w:tcPr>
            <w:tcW w:w="980" w:type="dxa"/>
            <w:vAlign w:val="bottom"/>
            <w:tcBorders>
              <w:bottom w:val="single" w:sz="8" w:color="auto"/>
            </w:tcBorders>
          </w:tcPr>
          <w:p>
            <w:pPr>
              <w:jc w:val="right"/>
              <w:ind w:right="139"/>
              <w:spacing w:after="0" w:line="83" w:lineRule="exact"/>
              <w:rPr>
                <w:sz w:val="20"/>
                <w:szCs w:val="20"/>
                <w:color w:val="auto"/>
              </w:rPr>
            </w:pPr>
            <w:r>
              <w:rPr>
                <w:rFonts w:ascii="Arial" w:cs="Arial" w:eastAsia="Arial" w:hAnsi="Arial"/>
                <w:sz w:val="8"/>
                <w:szCs w:val="8"/>
                <w:color w:val="auto"/>
              </w:rPr>
              <w:t>37,380</w:t>
            </w:r>
          </w:p>
        </w:tc>
        <w:tc>
          <w:tcPr>
            <w:tcW w:w="920" w:type="dxa"/>
            <w:vAlign w:val="bottom"/>
            <w:tcBorders>
              <w:bottom w:val="single" w:sz="8" w:color="auto"/>
            </w:tcBorders>
          </w:tcPr>
          <w:p>
            <w:pPr>
              <w:jc w:val="right"/>
              <w:ind w:right="159"/>
              <w:spacing w:after="0" w:line="83" w:lineRule="exact"/>
              <w:rPr>
                <w:sz w:val="20"/>
                <w:szCs w:val="20"/>
                <w:color w:val="auto"/>
              </w:rPr>
            </w:pPr>
            <w:r>
              <w:rPr>
                <w:rFonts w:ascii="Arial" w:cs="Arial" w:eastAsia="Arial" w:hAnsi="Arial"/>
                <w:sz w:val="8"/>
                <w:szCs w:val="8"/>
                <w:color w:val="auto"/>
              </w:rPr>
              <w:t>35,508</w:t>
            </w:r>
          </w:p>
        </w:tc>
        <w:tc>
          <w:tcPr>
            <w:tcW w:w="780" w:type="dxa"/>
            <w:vAlign w:val="bottom"/>
            <w:tcBorders>
              <w:bottom w:val="single" w:sz="8" w:color="auto"/>
              <w:right w:val="single" w:sz="8" w:color="auto"/>
            </w:tcBorders>
          </w:tcPr>
          <w:p>
            <w:pPr>
              <w:jc w:val="right"/>
              <w:ind w:right="39"/>
              <w:spacing w:after="0" w:line="83" w:lineRule="exact"/>
              <w:rPr>
                <w:sz w:val="20"/>
                <w:szCs w:val="20"/>
                <w:color w:val="auto"/>
              </w:rPr>
            </w:pPr>
            <w:r>
              <w:rPr>
                <w:rFonts w:ascii="Arial" w:cs="Arial" w:eastAsia="Arial" w:hAnsi="Arial"/>
                <w:sz w:val="8"/>
                <w:szCs w:val="8"/>
                <w:color w:val="auto"/>
              </w:rPr>
              <w:t>33,461</w:t>
            </w:r>
          </w:p>
        </w:tc>
        <w:tc>
          <w:tcPr>
            <w:tcW w:w="660" w:type="dxa"/>
            <w:vAlign w:val="bottom"/>
            <w:tcBorders>
              <w:bottom w:val="single" w:sz="8" w:color="auto"/>
            </w:tcBorders>
          </w:tcPr>
          <w:p>
            <w:pPr>
              <w:jc w:val="center"/>
              <w:ind w:left="179"/>
              <w:spacing w:after="0" w:line="83" w:lineRule="exact"/>
              <w:rPr>
                <w:sz w:val="20"/>
                <w:szCs w:val="20"/>
                <w:color w:val="auto"/>
              </w:rPr>
            </w:pPr>
            <w:r>
              <w:rPr>
                <w:rFonts w:ascii="Arial" w:cs="Arial" w:eastAsia="Arial" w:hAnsi="Arial"/>
                <w:sz w:val="8"/>
                <w:szCs w:val="8"/>
                <w:color w:val="auto"/>
                <w:w w:val="95"/>
              </w:rPr>
              <w:t>-5.8%</w:t>
            </w:r>
          </w:p>
        </w:tc>
        <w:tc>
          <w:tcPr>
            <w:tcW w:w="1160" w:type="dxa"/>
            <w:vAlign w:val="bottom"/>
            <w:tcBorders>
              <w:bottom w:val="single" w:sz="8" w:color="auto"/>
              <w:right w:val="single" w:sz="8" w:color="auto"/>
            </w:tcBorders>
          </w:tcPr>
          <w:p>
            <w:pPr>
              <w:jc w:val="center"/>
              <w:ind w:left="179"/>
              <w:spacing w:after="0" w:line="83" w:lineRule="exact"/>
              <w:rPr>
                <w:sz w:val="20"/>
                <w:szCs w:val="20"/>
                <w:color w:val="auto"/>
              </w:rPr>
            </w:pPr>
            <w:r>
              <w:rPr>
                <w:rFonts w:ascii="Arial" w:cs="Arial" w:eastAsia="Arial" w:hAnsi="Arial"/>
                <w:sz w:val="8"/>
                <w:szCs w:val="8"/>
                <w:color w:val="auto"/>
              </w:rPr>
              <w:t>-10.5%</w:t>
            </w:r>
          </w:p>
        </w:tc>
        <w:tc>
          <w:tcPr>
            <w:tcW w:w="1120" w:type="dxa"/>
            <w:vAlign w:val="bottom"/>
            <w:tcBorders>
              <w:bottom w:val="single" w:sz="8" w:color="auto"/>
            </w:tcBorders>
          </w:tcPr>
          <w:p>
            <w:pPr>
              <w:jc w:val="right"/>
              <w:ind w:right="279"/>
              <w:spacing w:after="0" w:line="83" w:lineRule="exact"/>
              <w:rPr>
                <w:sz w:val="20"/>
                <w:szCs w:val="20"/>
                <w:color w:val="auto"/>
              </w:rPr>
            </w:pPr>
            <w:r>
              <w:rPr>
                <w:rFonts w:ascii="Arial" w:cs="Arial" w:eastAsia="Arial" w:hAnsi="Arial"/>
                <w:sz w:val="8"/>
                <w:szCs w:val="8"/>
                <w:color w:val="auto"/>
              </w:rPr>
              <w:t>37,380</w:t>
            </w:r>
          </w:p>
        </w:tc>
        <w:tc>
          <w:tcPr>
            <w:tcW w:w="680" w:type="dxa"/>
            <w:vAlign w:val="bottom"/>
            <w:tcBorders>
              <w:bottom w:val="single" w:sz="8" w:color="auto"/>
              <w:right w:val="single" w:sz="8" w:color="auto"/>
            </w:tcBorders>
          </w:tcPr>
          <w:p>
            <w:pPr>
              <w:jc w:val="right"/>
              <w:ind w:right="39"/>
              <w:spacing w:after="0" w:line="83" w:lineRule="exact"/>
              <w:rPr>
                <w:sz w:val="20"/>
                <w:szCs w:val="20"/>
                <w:color w:val="auto"/>
              </w:rPr>
            </w:pPr>
            <w:r>
              <w:rPr>
                <w:rFonts w:ascii="Arial" w:cs="Arial" w:eastAsia="Arial" w:hAnsi="Arial"/>
                <w:sz w:val="8"/>
                <w:szCs w:val="8"/>
                <w:color w:val="auto"/>
              </w:rPr>
              <w:t>33,461</w:t>
            </w:r>
          </w:p>
        </w:tc>
        <w:tc>
          <w:tcPr>
            <w:tcW w:w="920" w:type="dxa"/>
            <w:vAlign w:val="bottom"/>
            <w:tcBorders>
              <w:bottom w:val="single" w:sz="8" w:color="auto"/>
              <w:right w:val="single" w:sz="8" w:color="auto"/>
            </w:tcBorders>
          </w:tcPr>
          <w:p>
            <w:pPr>
              <w:jc w:val="center"/>
              <w:spacing w:after="0" w:line="83" w:lineRule="exact"/>
              <w:rPr>
                <w:sz w:val="20"/>
                <w:szCs w:val="20"/>
                <w:color w:val="auto"/>
              </w:rPr>
            </w:pPr>
            <w:r>
              <w:rPr>
                <w:rFonts w:ascii="Arial" w:cs="Arial" w:eastAsia="Arial" w:hAnsi="Arial"/>
                <w:sz w:val="8"/>
                <w:szCs w:val="8"/>
                <w:color w:val="auto"/>
              </w:rPr>
              <w:t>-10.5%</w:t>
            </w:r>
          </w:p>
        </w:tc>
        <w:tc>
          <w:tcPr>
            <w:tcW w:w="0" w:type="dxa"/>
            <w:vAlign w:val="bottom"/>
          </w:tcPr>
          <w:p>
            <w:pPr>
              <w:spacing w:after="0"/>
              <w:rPr>
                <w:sz w:val="1"/>
                <w:szCs w:val="1"/>
                <w:color w:val="auto"/>
              </w:rPr>
            </w:pPr>
          </w:p>
        </w:tc>
      </w:tr>
      <w:tr>
        <w:trPr>
          <w:trHeight w:val="72"/>
        </w:trPr>
        <w:tc>
          <w:tcPr>
            <w:tcW w:w="3300" w:type="dxa"/>
            <w:vAlign w:val="bottom"/>
            <w:tcBorders>
              <w:left w:val="single" w:sz="8" w:color="auto"/>
              <w:right w:val="single" w:sz="8" w:color="auto"/>
            </w:tcBorders>
          </w:tcPr>
          <w:p>
            <w:pPr>
              <w:ind w:left="100"/>
              <w:spacing w:after="0" w:line="73" w:lineRule="exact"/>
              <w:rPr>
                <w:sz w:val="20"/>
                <w:szCs w:val="20"/>
                <w:color w:val="auto"/>
              </w:rPr>
            </w:pPr>
            <w:r>
              <w:rPr>
                <w:rFonts w:ascii="Arial" w:cs="Arial" w:eastAsia="Arial" w:hAnsi="Arial"/>
                <w:sz w:val="8"/>
                <w:szCs w:val="8"/>
                <w:b w:val="1"/>
                <w:bCs w:val="1"/>
                <w:color w:val="auto"/>
              </w:rPr>
              <w:t>Share Information</w:t>
            </w:r>
          </w:p>
        </w:tc>
        <w:tc>
          <w:tcPr>
            <w:tcW w:w="9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120" w:type="dxa"/>
            <w:vAlign w:val="bottom"/>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Issued Shares</w:t>
            </w:r>
          </w:p>
        </w:tc>
        <w:tc>
          <w:tcPr>
            <w:tcW w:w="980" w:type="dxa"/>
            <w:vAlign w:val="bottom"/>
          </w:tcPr>
          <w:p>
            <w:pPr>
              <w:jc w:val="right"/>
              <w:ind w:right="139"/>
              <w:spacing w:after="0"/>
              <w:rPr>
                <w:sz w:val="20"/>
                <w:szCs w:val="20"/>
                <w:color w:val="auto"/>
              </w:rPr>
            </w:pPr>
            <w:r>
              <w:rPr>
                <w:rFonts w:ascii="Arial" w:cs="Arial" w:eastAsia="Arial" w:hAnsi="Arial"/>
                <w:sz w:val="8"/>
                <w:szCs w:val="8"/>
                <w:color w:val="auto"/>
              </w:rPr>
              <w:t>94,382</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94,382</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94,382</w:t>
            </w:r>
          </w:p>
        </w:tc>
        <w:tc>
          <w:tcPr>
            <w:tcW w:w="660" w:type="dxa"/>
            <w:vAlign w:val="bottom"/>
          </w:tcPr>
          <w:p>
            <w:pPr>
              <w:jc w:val="center"/>
              <w:ind w:left="179"/>
              <w:spacing w:after="0"/>
              <w:rPr>
                <w:sz w:val="20"/>
                <w:szCs w:val="20"/>
                <w:color w:val="auto"/>
              </w:rPr>
            </w:pPr>
            <w:r>
              <w:rPr>
                <w:rFonts w:ascii="Arial" w:cs="Arial" w:eastAsia="Arial" w:hAnsi="Arial"/>
                <w:sz w:val="8"/>
                <w:szCs w:val="8"/>
                <w:color w:val="auto"/>
              </w:rPr>
              <w:t>0.0%</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color w:val="auto"/>
              </w:rPr>
              <w:t>0.0%</w:t>
            </w:r>
          </w:p>
        </w:tc>
        <w:tc>
          <w:tcPr>
            <w:tcW w:w="1120" w:type="dxa"/>
            <w:vAlign w:val="bottom"/>
          </w:tcPr>
          <w:p>
            <w:pPr>
              <w:jc w:val="right"/>
              <w:ind w:right="279"/>
              <w:spacing w:after="0"/>
              <w:rPr>
                <w:sz w:val="20"/>
                <w:szCs w:val="20"/>
                <w:color w:val="auto"/>
              </w:rPr>
            </w:pPr>
            <w:r>
              <w:rPr>
                <w:rFonts w:ascii="Arial" w:cs="Arial" w:eastAsia="Arial" w:hAnsi="Arial"/>
                <w:sz w:val="8"/>
                <w:szCs w:val="8"/>
                <w:color w:val="auto"/>
              </w:rPr>
              <w:t>94,382</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94,382</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93"/>
        </w:trPr>
        <w:tc>
          <w:tcPr>
            <w:tcW w:w="33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Treasury Shares (12)</w:t>
            </w:r>
          </w:p>
        </w:tc>
        <w:tc>
          <w:tcPr>
            <w:tcW w:w="980" w:type="dxa"/>
            <w:vAlign w:val="bottom"/>
          </w:tcPr>
          <w:p>
            <w:pPr>
              <w:jc w:val="right"/>
              <w:ind w:right="139"/>
              <w:spacing w:after="0"/>
              <w:rPr>
                <w:sz w:val="20"/>
                <w:szCs w:val="20"/>
                <w:color w:val="auto"/>
              </w:rPr>
            </w:pPr>
            <w:r>
              <w:rPr>
                <w:rFonts w:ascii="Arial" w:cs="Arial" w:eastAsia="Arial" w:hAnsi="Arial"/>
                <w:sz w:val="8"/>
                <w:szCs w:val="8"/>
                <w:color w:val="auto"/>
              </w:rPr>
              <w:t>14,829</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14,908</w:t>
            </w:r>
          </w:p>
        </w:tc>
        <w:tc>
          <w:tcPr>
            <w:tcW w:w="7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15,076</w:t>
            </w:r>
          </w:p>
        </w:tc>
        <w:tc>
          <w:tcPr>
            <w:tcW w:w="660" w:type="dxa"/>
            <w:vAlign w:val="bottom"/>
          </w:tcPr>
          <w:p>
            <w:pPr>
              <w:jc w:val="center"/>
              <w:ind w:left="179"/>
              <w:spacing w:after="0"/>
              <w:rPr>
                <w:sz w:val="20"/>
                <w:szCs w:val="20"/>
                <w:color w:val="auto"/>
              </w:rPr>
            </w:pPr>
            <w:r>
              <w:rPr>
                <w:rFonts w:ascii="Arial" w:cs="Arial" w:eastAsia="Arial" w:hAnsi="Arial"/>
                <w:sz w:val="8"/>
                <w:szCs w:val="8"/>
                <w:color w:val="auto"/>
              </w:rPr>
              <w:t>1.1%</w:t>
            </w:r>
          </w:p>
        </w:tc>
        <w:tc>
          <w:tcPr>
            <w:tcW w:w="1160" w:type="dxa"/>
            <w:vAlign w:val="bottom"/>
            <w:tcBorders>
              <w:right w:val="single" w:sz="8" w:color="auto"/>
            </w:tcBorders>
          </w:tcPr>
          <w:p>
            <w:pPr>
              <w:jc w:val="center"/>
              <w:ind w:left="159"/>
              <w:spacing w:after="0"/>
              <w:rPr>
                <w:sz w:val="20"/>
                <w:szCs w:val="20"/>
                <w:color w:val="auto"/>
              </w:rPr>
            </w:pPr>
            <w:r>
              <w:rPr>
                <w:rFonts w:ascii="Arial" w:cs="Arial" w:eastAsia="Arial" w:hAnsi="Arial"/>
                <w:sz w:val="8"/>
                <w:szCs w:val="8"/>
                <w:color w:val="auto"/>
              </w:rPr>
              <w:t>1.7%</w:t>
            </w:r>
          </w:p>
        </w:tc>
        <w:tc>
          <w:tcPr>
            <w:tcW w:w="1120" w:type="dxa"/>
            <w:vAlign w:val="bottom"/>
          </w:tcPr>
          <w:p>
            <w:pPr>
              <w:jc w:val="right"/>
              <w:ind w:right="279"/>
              <w:spacing w:after="0"/>
              <w:rPr>
                <w:sz w:val="20"/>
                <w:szCs w:val="20"/>
                <w:color w:val="auto"/>
              </w:rPr>
            </w:pPr>
            <w:r>
              <w:rPr>
                <w:rFonts w:ascii="Arial" w:cs="Arial" w:eastAsia="Arial" w:hAnsi="Arial"/>
                <w:sz w:val="8"/>
                <w:szCs w:val="8"/>
                <w:color w:val="auto"/>
              </w:rPr>
              <w:t>14,829</w:t>
            </w:r>
          </w:p>
        </w:tc>
        <w:tc>
          <w:tcPr>
            <w:tcW w:w="68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15,076</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1.7%</w:t>
            </w:r>
          </w:p>
        </w:tc>
        <w:tc>
          <w:tcPr>
            <w:tcW w:w="0" w:type="dxa"/>
            <w:vAlign w:val="bottom"/>
          </w:tcPr>
          <w:p>
            <w:pPr>
              <w:spacing w:after="0"/>
              <w:rPr>
                <w:sz w:val="1"/>
                <w:szCs w:val="1"/>
                <w:color w:val="auto"/>
              </w:rPr>
            </w:pPr>
          </w:p>
        </w:tc>
      </w:tr>
      <w:tr>
        <w:trPr>
          <w:trHeight w:val="103"/>
        </w:trPr>
        <w:tc>
          <w:tcPr>
            <w:tcW w:w="3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8"/>
                <w:szCs w:val="8"/>
                <w:color w:val="auto"/>
              </w:rPr>
              <w:t>Outstanding Shares</w:t>
            </w: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8"/>
                <w:szCs w:val="8"/>
                <w:color w:val="auto"/>
              </w:rPr>
              <w:t>79,553</w:t>
            </w: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8"/>
                <w:szCs w:val="8"/>
                <w:color w:val="auto"/>
              </w:rPr>
              <w:t>79,474</w:t>
            </w:r>
          </w:p>
        </w:tc>
        <w:tc>
          <w:tcPr>
            <w:tcW w:w="7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8"/>
                <w:szCs w:val="8"/>
                <w:color w:val="auto"/>
              </w:rPr>
              <w:t>79,306</w:t>
            </w:r>
          </w:p>
        </w:tc>
        <w:tc>
          <w:tcPr>
            <w:tcW w:w="660" w:type="dxa"/>
            <w:vAlign w:val="bottom"/>
            <w:tcBorders>
              <w:bottom w:val="single" w:sz="8" w:color="auto"/>
            </w:tcBorders>
          </w:tcPr>
          <w:p>
            <w:pPr>
              <w:jc w:val="center"/>
              <w:ind w:left="179"/>
              <w:spacing w:after="0"/>
              <w:rPr>
                <w:sz w:val="20"/>
                <w:szCs w:val="20"/>
                <w:color w:val="auto"/>
              </w:rPr>
            </w:pPr>
            <w:r>
              <w:rPr>
                <w:rFonts w:ascii="Arial" w:cs="Arial" w:eastAsia="Arial" w:hAnsi="Arial"/>
                <w:sz w:val="8"/>
                <w:szCs w:val="8"/>
                <w:color w:val="auto"/>
                <w:w w:val="95"/>
              </w:rPr>
              <w:t>-0.2%</w:t>
            </w:r>
          </w:p>
        </w:tc>
        <w:tc>
          <w:tcPr>
            <w:tcW w:w="1160" w:type="dxa"/>
            <w:vAlign w:val="bottom"/>
            <w:tcBorders>
              <w:bottom w:val="single" w:sz="8" w:color="auto"/>
              <w:right w:val="single" w:sz="8" w:color="auto"/>
            </w:tcBorders>
          </w:tcPr>
          <w:p>
            <w:pPr>
              <w:jc w:val="center"/>
              <w:ind w:left="159"/>
              <w:spacing w:after="0"/>
              <w:rPr>
                <w:sz w:val="20"/>
                <w:szCs w:val="20"/>
                <w:color w:val="auto"/>
              </w:rPr>
            </w:pPr>
            <w:r>
              <w:rPr>
                <w:rFonts w:ascii="Arial" w:cs="Arial" w:eastAsia="Arial" w:hAnsi="Arial"/>
                <w:sz w:val="8"/>
                <w:szCs w:val="8"/>
                <w:color w:val="auto"/>
                <w:w w:val="95"/>
              </w:rPr>
              <w:t>-0.3%</w:t>
            </w:r>
          </w:p>
        </w:tc>
        <w:tc>
          <w:tcPr>
            <w:tcW w:w="1120" w:type="dxa"/>
            <w:vAlign w:val="bottom"/>
            <w:tcBorders>
              <w:bottom w:val="single" w:sz="8" w:color="auto"/>
            </w:tcBorders>
          </w:tcPr>
          <w:p>
            <w:pPr>
              <w:jc w:val="right"/>
              <w:ind w:right="279"/>
              <w:spacing w:after="0"/>
              <w:rPr>
                <w:sz w:val="20"/>
                <w:szCs w:val="20"/>
                <w:color w:val="auto"/>
              </w:rPr>
            </w:pPr>
            <w:r>
              <w:rPr>
                <w:rFonts w:ascii="Arial" w:cs="Arial" w:eastAsia="Arial" w:hAnsi="Arial"/>
                <w:sz w:val="8"/>
                <w:szCs w:val="8"/>
                <w:color w:val="auto"/>
              </w:rPr>
              <w:t>79,553</w:t>
            </w:r>
          </w:p>
        </w:tc>
        <w:tc>
          <w:tcPr>
            <w:tcW w:w="68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8"/>
                <w:szCs w:val="8"/>
                <w:color w:val="auto"/>
              </w:rPr>
              <w:t>79,306</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-0.3%</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160" w:hanging="151"/>
        <w:spacing w:after="0"/>
        <w:tabs>
          <w:tab w:leader="none" w:pos="160" w:val="left"/>
        </w:tabs>
        <w:numPr>
          <w:ilvl w:val="0"/>
          <w:numId w:val="4"/>
        </w:numPr>
        <w:rPr>
          <w:rFonts w:ascii="Arial" w:cs="Arial" w:eastAsia="Arial" w:hAnsi="Arial"/>
          <w:sz w:val="10"/>
          <w:szCs w:val="10"/>
          <w:color w:val="auto"/>
        </w:rPr>
      </w:pPr>
      <w:r>
        <w:rPr>
          <w:rFonts w:ascii="Arial" w:cs="Arial" w:eastAsia="Arial" w:hAnsi="Arial"/>
          <w:sz w:val="10"/>
          <w:szCs w:val="10"/>
          <w:color w:val="auto"/>
        </w:rPr>
        <w:t>Net Interest Margin = Net Interest Income (Excluding Net Insurance Financial Expenses) / Average Interest Earning Assets</w:t>
      </w:r>
    </w:p>
    <w:p>
      <w:pPr>
        <w:ind w:left="160" w:hanging="151"/>
        <w:spacing w:after="0" w:line="214" w:lineRule="auto"/>
        <w:tabs>
          <w:tab w:leader="none" w:pos="160" w:val="left"/>
        </w:tabs>
        <w:numPr>
          <w:ilvl w:val="0"/>
          <w:numId w:val="4"/>
        </w:numPr>
        <w:rPr>
          <w:rFonts w:ascii="Arial" w:cs="Arial" w:eastAsia="Arial" w:hAnsi="Arial"/>
          <w:sz w:val="10"/>
          <w:szCs w:val="10"/>
          <w:color w:val="auto"/>
        </w:rPr>
      </w:pPr>
      <w:r>
        <w:rPr>
          <w:rFonts w:ascii="Arial" w:cs="Arial" w:eastAsia="Arial" w:hAnsi="Arial"/>
          <w:sz w:val="10"/>
          <w:szCs w:val="10"/>
          <w:color w:val="auto"/>
        </w:rPr>
        <w:t>Funding Cost = Interest Expense (Does not include Net Insurance Financial Expenses) / Average Funding</w:t>
      </w:r>
    </w:p>
    <w:p>
      <w:pPr>
        <w:ind w:left="160" w:hanging="151"/>
        <w:spacing w:after="0" w:line="214" w:lineRule="auto"/>
        <w:tabs>
          <w:tab w:leader="none" w:pos="160" w:val="left"/>
        </w:tabs>
        <w:numPr>
          <w:ilvl w:val="0"/>
          <w:numId w:val="4"/>
        </w:numPr>
        <w:rPr>
          <w:rFonts w:ascii="Arial" w:cs="Arial" w:eastAsia="Arial" w:hAnsi="Arial"/>
          <w:sz w:val="10"/>
          <w:szCs w:val="10"/>
          <w:color w:val="auto"/>
        </w:rPr>
      </w:pPr>
      <w:r>
        <w:rPr>
          <w:rFonts w:ascii="Arial" w:cs="Arial" w:eastAsia="Arial" w:hAnsi="Arial"/>
          <w:sz w:val="10"/>
          <w:szCs w:val="10"/>
          <w:color w:val="auto"/>
        </w:rPr>
        <w:t>Internal Overdue Loans: includes overdue loans and loans under legal collection, according to our internal policy for overdue loans. Internal Overdue Ratio: Internal overdue loans / Total loans</w:t>
      </w:r>
    </w:p>
    <w:p>
      <w:pPr>
        <w:ind w:left="160" w:hanging="151"/>
        <w:spacing w:after="0" w:line="214" w:lineRule="auto"/>
        <w:tabs>
          <w:tab w:leader="none" w:pos="160" w:val="left"/>
        </w:tabs>
        <w:numPr>
          <w:ilvl w:val="0"/>
          <w:numId w:val="4"/>
        </w:numPr>
        <w:rPr>
          <w:rFonts w:ascii="Arial" w:cs="Arial" w:eastAsia="Arial" w:hAnsi="Arial"/>
          <w:sz w:val="10"/>
          <w:szCs w:val="10"/>
          <w:color w:val="auto"/>
        </w:rPr>
      </w:pPr>
      <w:r>
        <w:rPr>
          <w:rFonts w:ascii="Arial" w:cs="Arial" w:eastAsia="Arial" w:hAnsi="Arial"/>
          <w:sz w:val="10"/>
          <w:szCs w:val="10"/>
          <w:color w:val="auto"/>
        </w:rPr>
        <w:t>Non-performing loans (NPL): Internal overdue loans + Refinanced loans. NPL ratio: NPL / Total loans.</w:t>
      </w:r>
    </w:p>
    <w:p>
      <w:pPr>
        <w:ind w:left="160" w:hanging="151"/>
        <w:spacing w:after="0" w:line="214" w:lineRule="auto"/>
        <w:tabs>
          <w:tab w:leader="none" w:pos="160" w:val="left"/>
        </w:tabs>
        <w:numPr>
          <w:ilvl w:val="0"/>
          <w:numId w:val="4"/>
        </w:numPr>
        <w:rPr>
          <w:rFonts w:ascii="Arial" w:cs="Arial" w:eastAsia="Arial" w:hAnsi="Arial"/>
          <w:sz w:val="10"/>
          <w:szCs w:val="10"/>
          <w:color w:val="auto"/>
        </w:rPr>
      </w:pPr>
      <w:r>
        <w:rPr>
          <w:rFonts w:ascii="Arial" w:cs="Arial" w:eastAsia="Arial" w:hAnsi="Arial"/>
          <w:sz w:val="10"/>
          <w:szCs w:val="10"/>
          <w:color w:val="auto"/>
        </w:rPr>
        <w:t>Cost of risk = Annualized provision for loan losses, net of recoveries / Average Total loans. Cost of risk = Annualized provision for loan losses, net of recoveries / Average Total loans.</w:t>
      </w:r>
    </w:p>
    <w:p>
      <w:pPr>
        <w:ind w:left="160" w:hanging="151"/>
        <w:spacing w:after="0"/>
        <w:tabs>
          <w:tab w:leader="none" w:pos="160" w:val="left"/>
        </w:tabs>
        <w:numPr>
          <w:ilvl w:val="0"/>
          <w:numId w:val="4"/>
        </w:numPr>
        <w:rPr>
          <w:rFonts w:ascii="Arial" w:cs="Arial" w:eastAsia="Arial" w:hAnsi="Arial"/>
          <w:sz w:val="8"/>
          <w:szCs w:val="8"/>
          <w:color w:val="auto"/>
        </w:rPr>
      </w:pPr>
      <w:r>
        <w:rPr>
          <w:rFonts w:ascii="Arial" w:cs="Arial" w:eastAsia="Arial" w:hAnsi="Arial"/>
          <w:sz w:val="8"/>
          <w:szCs w:val="8"/>
          <w:color w:val="auto"/>
        </w:rPr>
        <w:t>Operating Income = Net interest, similar income and expenses + Fee Income+ Net gain on foreign exchange transactions + Net Gain From associates + Net gain on derivatives held for trading + Result on exchange differences + Insurance Underwriting Result</w:t>
      </w:r>
    </w:p>
    <w:p>
      <w:pPr>
        <w:spacing w:after="0" w:line="10" w:lineRule="exact"/>
        <w:rPr>
          <w:rFonts w:ascii="Arial" w:cs="Arial" w:eastAsia="Arial" w:hAnsi="Arial"/>
          <w:sz w:val="8"/>
          <w:szCs w:val="8"/>
          <w:color w:val="auto"/>
        </w:rPr>
      </w:pPr>
    </w:p>
    <w:p>
      <w:pPr>
        <w:ind w:left="160" w:hanging="151"/>
        <w:spacing w:after="0" w:line="214" w:lineRule="auto"/>
        <w:tabs>
          <w:tab w:leader="none" w:pos="160" w:val="left"/>
        </w:tabs>
        <w:numPr>
          <w:ilvl w:val="0"/>
          <w:numId w:val="4"/>
        </w:numPr>
        <w:rPr>
          <w:rFonts w:ascii="Arial" w:cs="Arial" w:eastAsia="Arial" w:hAnsi="Arial"/>
          <w:sz w:val="10"/>
          <w:szCs w:val="10"/>
          <w:color w:val="auto"/>
        </w:rPr>
      </w:pPr>
      <w:r>
        <w:rPr>
          <w:rFonts w:ascii="Arial" w:cs="Arial" w:eastAsia="Arial" w:hAnsi="Arial"/>
          <w:sz w:val="10"/>
          <w:szCs w:val="10"/>
          <w:color w:val="auto"/>
        </w:rPr>
        <w:t>Operating Expenses = Salaries and employee benefits + Administrative expenses + Depreciation and amortization + Association in participation + Acquisition cost</w:t>
      </w:r>
    </w:p>
    <w:p>
      <w:pPr>
        <w:ind w:left="160" w:hanging="151"/>
        <w:spacing w:after="0" w:line="214" w:lineRule="auto"/>
        <w:tabs>
          <w:tab w:leader="none" w:pos="160" w:val="left"/>
        </w:tabs>
        <w:numPr>
          <w:ilvl w:val="0"/>
          <w:numId w:val="4"/>
        </w:numPr>
        <w:rPr>
          <w:rFonts w:ascii="Arial" w:cs="Arial" w:eastAsia="Arial" w:hAnsi="Arial"/>
          <w:sz w:val="10"/>
          <w:szCs w:val="10"/>
          <w:color w:val="auto"/>
        </w:rPr>
      </w:pPr>
      <w:r>
        <w:rPr>
          <w:rFonts w:ascii="Arial" w:cs="Arial" w:eastAsia="Arial" w:hAnsi="Arial"/>
          <w:sz w:val="10"/>
          <w:szCs w:val="10"/>
          <w:color w:val="auto"/>
        </w:rPr>
        <w:t>Efficiency Ratio = Operating Expenses / Operating Income</w:t>
      </w:r>
    </w:p>
    <w:p>
      <w:pPr>
        <w:ind w:left="160" w:hanging="151"/>
        <w:spacing w:after="0" w:line="214" w:lineRule="auto"/>
        <w:tabs>
          <w:tab w:leader="none" w:pos="160" w:val="left"/>
        </w:tabs>
        <w:numPr>
          <w:ilvl w:val="0"/>
          <w:numId w:val="4"/>
        </w:numPr>
        <w:rPr>
          <w:rFonts w:ascii="Arial" w:cs="Arial" w:eastAsia="Arial" w:hAnsi="Arial"/>
          <w:sz w:val="10"/>
          <w:szCs w:val="10"/>
          <w:color w:val="auto"/>
        </w:rPr>
      </w:pPr>
      <w:r>
        <w:rPr>
          <w:rFonts w:ascii="Arial" w:cs="Arial" w:eastAsia="Arial" w:hAnsi="Arial"/>
          <w:sz w:val="10"/>
          <w:szCs w:val="10"/>
          <w:color w:val="auto"/>
        </w:rPr>
        <w:t>Regulatory Capital / Risk-weighted assets (legal minimum = 10% since July 2011).</w:t>
      </w:r>
    </w:p>
    <w:p>
      <w:pPr>
        <w:ind w:left="200" w:hanging="191"/>
        <w:spacing w:after="0" w:line="214" w:lineRule="auto"/>
        <w:tabs>
          <w:tab w:leader="none" w:pos="200" w:val="left"/>
        </w:tabs>
        <w:numPr>
          <w:ilvl w:val="0"/>
          <w:numId w:val="4"/>
        </w:numPr>
        <w:rPr>
          <w:rFonts w:ascii="Arial" w:cs="Arial" w:eastAsia="Arial" w:hAnsi="Arial"/>
          <w:sz w:val="10"/>
          <w:szCs w:val="10"/>
          <w:color w:val="auto"/>
        </w:rPr>
      </w:pPr>
      <w:r>
        <w:rPr>
          <w:rFonts w:ascii="Arial" w:cs="Arial" w:eastAsia="Arial" w:hAnsi="Arial"/>
          <w:sz w:val="10"/>
          <w:szCs w:val="10"/>
          <w:color w:val="auto"/>
        </w:rPr>
        <w:t>Tier 1 = Capital + Legal and other capital reserves + Accumulated earnings with capitalization agreement + (0.5 x Unrealized profit and net income in subsidiaries) - Goodwill - (0.5 x Investment in</w:t>
      </w:r>
    </w:p>
    <w:p>
      <w:pPr>
        <w:ind w:right="2680"/>
        <w:spacing w:after="0" w:line="214" w:lineRule="auto"/>
        <w:rPr>
          <w:sz w:val="20"/>
          <w:szCs w:val="20"/>
          <w:color w:val="auto"/>
        </w:rPr>
      </w:pPr>
      <w:r>
        <w:rPr>
          <w:rFonts w:ascii="Arial" w:cs="Arial" w:eastAsia="Arial" w:hAnsi="Arial"/>
          <w:sz w:val="10"/>
          <w:szCs w:val="10"/>
          <w:color w:val="auto"/>
        </w:rPr>
        <w:t>subsidiaries) + Perpetual subordinated debt (maximum amount that can be included is 17.65% of Capital + Reserves + Accumulated earnings with capitalization agreement + Unrealized profit and net income in subsidiaries - Goodwill).</w:t>
      </w:r>
    </w:p>
    <w:p>
      <w:pPr>
        <w:ind w:left="200" w:hanging="191"/>
        <w:spacing w:after="0" w:line="216" w:lineRule="auto"/>
        <w:tabs>
          <w:tab w:leader="none" w:pos="200" w:val="left"/>
        </w:tabs>
        <w:numPr>
          <w:ilvl w:val="0"/>
          <w:numId w:val="5"/>
        </w:numPr>
        <w:rPr>
          <w:rFonts w:ascii="Arial" w:cs="Arial" w:eastAsia="Arial" w:hAnsi="Arial"/>
          <w:sz w:val="10"/>
          <w:szCs w:val="10"/>
          <w:color w:val="auto"/>
        </w:rPr>
      </w:pPr>
      <w:r>
        <w:rPr>
          <w:rFonts w:ascii="Arial" w:cs="Arial" w:eastAsia="Arial" w:hAnsi="Arial"/>
          <w:sz w:val="10"/>
          <w:szCs w:val="10"/>
          <w:color w:val="auto"/>
        </w:rPr>
        <w:t>Common Equity Tier I = Capital + Reserves – 100% of applicable deductions (investment in subsidiaries, goodwill, intangibles and net deferred taxes that rely on future profitability) + retained earnings + unrealized gains.</w:t>
      </w:r>
    </w:p>
    <w:p>
      <w:pPr>
        <w:ind w:left="200" w:hanging="191"/>
        <w:spacing w:after="0" w:line="214" w:lineRule="auto"/>
        <w:tabs>
          <w:tab w:leader="none" w:pos="200" w:val="left"/>
        </w:tabs>
        <w:numPr>
          <w:ilvl w:val="0"/>
          <w:numId w:val="5"/>
        </w:numPr>
        <w:rPr>
          <w:rFonts w:ascii="Arial" w:cs="Arial" w:eastAsia="Arial" w:hAnsi="Arial"/>
          <w:sz w:val="10"/>
          <w:szCs w:val="10"/>
          <w:color w:val="auto"/>
        </w:rPr>
      </w:pPr>
      <w:r>
        <w:rPr>
          <w:rFonts w:ascii="Arial" w:cs="Arial" w:eastAsia="Arial" w:hAnsi="Arial"/>
          <w:sz w:val="10"/>
          <w:szCs w:val="10"/>
          <w:color w:val="auto"/>
        </w:rPr>
        <w:t>These shares are held by Atlantic Security Holding Corporation (ASHC).</w:t>
      </w:r>
    </w:p>
    <w:p>
      <w:pPr>
        <w:ind w:left="200" w:hanging="191"/>
        <w:spacing w:after="0"/>
        <w:tabs>
          <w:tab w:leader="none" w:pos="200" w:val="left"/>
        </w:tabs>
        <w:numPr>
          <w:ilvl w:val="0"/>
          <w:numId w:val="5"/>
        </w:numPr>
        <w:rPr>
          <w:rFonts w:ascii="Arial" w:cs="Arial" w:eastAsia="Arial" w:hAnsi="Arial"/>
          <w:sz w:val="10"/>
          <w:szCs w:val="10"/>
          <w:color w:val="auto"/>
        </w:rPr>
      </w:pPr>
      <w:r>
        <w:rPr>
          <w:rFonts w:ascii="Arial" w:cs="Arial" w:eastAsia="Arial" w:hAnsi="Arial"/>
          <w:sz w:val="10"/>
          <w:szCs w:val="10"/>
          <w:color w:val="auto"/>
        </w:rPr>
        <w:t>Common Equity Tier I calculated based on IFRS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622300</wp:posOffset>
            </wp:positionV>
            <wp:extent cx="7164705" cy="13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93345</wp:posOffset>
            </wp:positionV>
            <wp:extent cx="1502410" cy="4438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5289550</wp:posOffset>
            </wp:positionH>
            <wp:positionV relativeFrom="paragraph">
              <wp:posOffset>223520</wp:posOffset>
            </wp:positionV>
            <wp:extent cx="1724025" cy="313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24025" cy="313690"/>
                    </a:xfrm>
                    <a:prstGeom prst="rect">
                      <a:avLst/>
                    </a:prstGeom>
                    <a:noFill/>
                  </pic:spPr>
                </pic:pic>
              </a:graphicData>
            </a:graphic>
          </wp:anchor>
        </w:drawing>
      </w:r>
    </w:p>
    <w:p>
      <w:pPr>
        <w:sectPr>
          <w:pgSz w:w="11900" w:h="16838" w:orient="portrait"/>
          <w:cols w:equalWidth="0" w:num="1">
            <w:col w:w="11120"/>
          </w:cols>
          <w:pgMar w:left="540" w:top="298" w:right="239" w:bottom="1440" w:gutter="0" w:footer="0" w:header="0"/>
        </w:sectPr>
      </w:pPr>
    </w:p>
    <w:bookmarkStart w:id="15" w:name="page16"/>
    <w:bookmarkEnd w:id="15"/>
    <w:p>
      <w:pPr>
        <w:ind w:left="2480"/>
        <w:spacing w:after="0"/>
        <w:tabs>
          <w:tab w:leader="none" w:pos="2680"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80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705" cy="588010"/>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Credicorp’s Strategy Update</w:t>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color w:val="E93BAC"/>
        </w:rPr>
        <w:t>Credicorp Strategy</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Credicorp continues to bet on investments in technology in its core businesses and disruptive initiatives to maintain a competitive advantage and ensure sustainability. We seek to solidify our position and decouple from the macro by penetrating new segments or developing new business verticals after understanding market trends and satisfying client’s needs.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Our strategy is geared towards delivering the best experience, in the most efficient way to remain competitive while investing in long-term sustainable growth. In each of our core businesses we invest in innovative and disruptive initiatives to improve our digital and analytical capabilities, positioning us to become an omnichannel financial services company with a deep understanding of our customers’ needs. We’re striving for a comprehensive experience, focusing heavily on digital coverage and high transactional levels, facilitating banking and financial needs anytime, anywhere. These dynamics lead to a positive network effect.</w:t>
      </w:r>
    </w:p>
    <w:p>
      <w:pPr>
        <w:spacing w:after="0" w:line="130"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On September 26, 2024, at 2:00 p.m. ET, we will hold Credicorp’s Strategic Update, which will be broadcasted via webcast. At this event, members of the Credicorp management team will present an update on the holding innovation strategy and disruption initiatives. The event will focus on the company´s disciplined governance for allocating resources to innovation as it builds new capabilities to further reinforce long-term sustainable growth. Management will also discuss key success stories and how they shape the company´s innovation ecosystem.</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following link contains details on this event, as well as instructions for registration: </w:t>
      </w:r>
      <w:r>
        <w:rPr>
          <w:rFonts w:ascii="Arial" w:cs="Arial" w:eastAsia="Arial" w:hAnsi="Arial"/>
          <w:sz w:val="14"/>
          <w:szCs w:val="14"/>
          <w:u w:val="single" w:color="auto"/>
          <w:color w:val="0562C1"/>
        </w:rPr>
        <w:t>www.credicorpupdate.com</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60" w:type="dxa"/>
            <w:vAlign w:val="bottom"/>
          </w:tcPr>
          <w:p>
            <w:pPr>
              <w:spacing w:after="0"/>
              <w:rPr>
                <w:sz w:val="20"/>
                <w:szCs w:val="20"/>
                <w:color w:val="auto"/>
              </w:rPr>
            </w:pPr>
            <w:r>
              <w:rPr>
                <w:rFonts w:ascii="Arial" w:cs="Arial" w:eastAsia="Arial" w:hAnsi="Arial"/>
                <w:sz w:val="14"/>
                <w:szCs w:val="14"/>
                <w:b w:val="1"/>
                <w:bCs w:val="1"/>
                <w:color w:val="auto"/>
              </w:rPr>
              <w:t>Main KPIs in Credicorp’s strategy</w:t>
            </w:r>
          </w:p>
        </w:tc>
        <w:tc>
          <w:tcPr>
            <w:tcW w:w="2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35"/>
        </w:trPr>
        <w:tc>
          <w:tcPr>
            <w:tcW w:w="406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145"/>
        </w:trPr>
        <w:tc>
          <w:tcPr>
            <w:tcW w:w="4060" w:type="dxa"/>
            <w:vAlign w:val="bottom"/>
            <w:tcBorders>
              <w:bottom w:val="single" w:sz="8" w:color="auto"/>
            </w:tcBorders>
            <w:shd w:val="clear" w:color="auto" w:fill="2AD2C9"/>
          </w:tcPr>
          <w:p>
            <w:pPr>
              <w:ind w:left="100"/>
              <w:spacing w:after="0" w:line="145" w:lineRule="exact"/>
              <w:rPr>
                <w:sz w:val="20"/>
                <w:szCs w:val="20"/>
                <w:color w:val="auto"/>
              </w:rPr>
            </w:pPr>
            <w:r>
              <w:rPr>
                <w:rFonts w:ascii="Arial" w:cs="Arial" w:eastAsia="Arial" w:hAnsi="Arial"/>
                <w:sz w:val="11"/>
                <w:szCs w:val="11"/>
                <w:b w:val="1"/>
                <w:bCs w:val="1"/>
                <w:i w:val="1"/>
                <w:iCs w:val="1"/>
                <w:color w:val="FFFFFF"/>
              </w:rPr>
              <w:t xml:space="preserve">Transformation of traditional businesses </w:t>
            </w:r>
            <w:r>
              <w:rPr>
                <w:rFonts w:ascii="Arial" w:cs="Arial" w:eastAsia="Arial" w:hAnsi="Arial"/>
                <w:sz w:val="16"/>
                <w:szCs w:val="16"/>
                <w:b w:val="1"/>
                <w:bCs w:val="1"/>
                <w:i w:val="1"/>
                <w:iCs w:val="1"/>
                <w:color w:val="FFFFFF"/>
                <w:vertAlign w:val="superscript"/>
              </w:rPr>
              <w:t>(1)</w:t>
            </w:r>
          </w:p>
        </w:tc>
        <w:tc>
          <w:tcPr>
            <w:tcW w:w="2320" w:type="dxa"/>
            <w:vAlign w:val="bottom"/>
            <w:tcBorders>
              <w:bottom w:val="single" w:sz="8" w:color="auto"/>
            </w:tcBorders>
            <w:shd w:val="clear" w:color="auto" w:fill="2AD2C9"/>
          </w:tcPr>
          <w:p>
            <w:pPr>
              <w:ind w:left="1080"/>
              <w:spacing w:after="0" w:line="145" w:lineRule="exact"/>
              <w:rPr>
                <w:sz w:val="20"/>
                <w:szCs w:val="20"/>
                <w:color w:val="auto"/>
              </w:rPr>
            </w:pPr>
            <w:r>
              <w:rPr>
                <w:rFonts w:ascii="Arial" w:cs="Arial" w:eastAsia="Arial" w:hAnsi="Arial"/>
                <w:sz w:val="14"/>
                <w:szCs w:val="14"/>
                <w:b w:val="1"/>
                <w:bCs w:val="1"/>
                <w:i w:val="1"/>
                <w:iCs w:val="1"/>
                <w:color w:val="FFFFFF"/>
              </w:rPr>
              <w:t>Subsidiary</w:t>
            </w:r>
          </w:p>
        </w:tc>
        <w:tc>
          <w:tcPr>
            <w:tcW w:w="1400" w:type="dxa"/>
            <w:vAlign w:val="bottom"/>
            <w:tcBorders>
              <w:bottom w:val="single" w:sz="8" w:color="auto"/>
            </w:tcBorders>
            <w:shd w:val="clear" w:color="auto" w:fill="2AD2C9"/>
          </w:tcPr>
          <w:p>
            <w:pPr>
              <w:jc w:val="center"/>
              <w:spacing w:after="0" w:line="145" w:lineRule="exact"/>
              <w:rPr>
                <w:sz w:val="20"/>
                <w:szCs w:val="20"/>
                <w:color w:val="auto"/>
              </w:rPr>
            </w:pPr>
            <w:r>
              <w:rPr>
                <w:rFonts w:ascii="Arial" w:cs="Arial" w:eastAsia="Arial" w:hAnsi="Arial"/>
                <w:sz w:val="14"/>
                <w:szCs w:val="14"/>
                <w:b w:val="1"/>
                <w:bCs w:val="1"/>
                <w:i w:val="1"/>
                <w:iCs w:val="1"/>
                <w:color w:val="FFFFFF"/>
                <w:w w:val="93"/>
              </w:rPr>
              <w:t>2Q23</w:t>
            </w:r>
          </w:p>
        </w:tc>
        <w:tc>
          <w:tcPr>
            <w:tcW w:w="1360" w:type="dxa"/>
            <w:vAlign w:val="bottom"/>
            <w:tcBorders>
              <w:bottom w:val="single" w:sz="8" w:color="auto"/>
            </w:tcBorders>
            <w:shd w:val="clear" w:color="auto" w:fill="2AD2C9"/>
          </w:tcPr>
          <w:p>
            <w:pPr>
              <w:jc w:val="center"/>
              <w:spacing w:after="0" w:line="145" w:lineRule="exact"/>
              <w:rPr>
                <w:sz w:val="20"/>
                <w:szCs w:val="20"/>
                <w:color w:val="auto"/>
              </w:rPr>
            </w:pPr>
            <w:r>
              <w:rPr>
                <w:rFonts w:ascii="Arial" w:cs="Arial" w:eastAsia="Arial" w:hAnsi="Arial"/>
                <w:sz w:val="14"/>
                <w:szCs w:val="14"/>
                <w:b w:val="1"/>
                <w:bCs w:val="1"/>
                <w:i w:val="1"/>
                <w:iCs w:val="1"/>
                <w:color w:val="FFFFFF"/>
                <w:w w:val="99"/>
              </w:rPr>
              <w:t>1Q24</w:t>
            </w:r>
          </w:p>
        </w:tc>
        <w:tc>
          <w:tcPr>
            <w:tcW w:w="1360" w:type="dxa"/>
            <w:vAlign w:val="bottom"/>
            <w:tcBorders>
              <w:bottom w:val="single" w:sz="8" w:color="auto"/>
            </w:tcBorders>
            <w:shd w:val="clear" w:color="auto" w:fill="2AD2C9"/>
          </w:tcPr>
          <w:p>
            <w:pPr>
              <w:jc w:val="center"/>
              <w:spacing w:after="0" w:line="145" w:lineRule="exact"/>
              <w:rPr>
                <w:sz w:val="20"/>
                <w:szCs w:val="20"/>
                <w:color w:val="auto"/>
              </w:rPr>
            </w:pPr>
            <w:r>
              <w:rPr>
                <w:rFonts w:ascii="Arial" w:cs="Arial" w:eastAsia="Arial" w:hAnsi="Arial"/>
                <w:sz w:val="14"/>
                <w:szCs w:val="14"/>
                <w:b w:val="1"/>
                <w:bCs w:val="1"/>
                <w:i w:val="1"/>
                <w:iCs w:val="1"/>
                <w:color w:val="FFFFFF"/>
                <w:w w:val="99"/>
              </w:rPr>
              <w:t>2Q24</w:t>
            </w:r>
          </w:p>
        </w:tc>
      </w:tr>
      <w:tr>
        <w:trPr>
          <w:trHeight w:val="132"/>
        </w:trPr>
        <w:tc>
          <w:tcPr>
            <w:tcW w:w="4060" w:type="dxa"/>
            <w:vAlign w:val="bottom"/>
          </w:tcPr>
          <w:p>
            <w:pPr>
              <w:ind w:left="100"/>
              <w:spacing w:after="0" w:line="132" w:lineRule="exact"/>
              <w:rPr>
                <w:sz w:val="20"/>
                <w:szCs w:val="20"/>
                <w:color w:val="auto"/>
              </w:rPr>
            </w:pPr>
            <w:r>
              <w:rPr>
                <w:rFonts w:ascii="Arial" w:cs="Arial" w:eastAsia="Arial" w:hAnsi="Arial"/>
                <w:sz w:val="14"/>
                <w:szCs w:val="14"/>
                <w:b w:val="1"/>
                <w:bCs w:val="1"/>
                <w:i w:val="1"/>
                <w:iCs w:val="1"/>
                <w:color w:val="auto"/>
              </w:rPr>
              <w:t>Day-to-day</w:t>
            </w:r>
          </w:p>
        </w:tc>
        <w:tc>
          <w:tcPr>
            <w:tcW w:w="2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146"/>
        </w:trPr>
        <w:tc>
          <w:tcPr>
            <w:tcW w:w="4060" w:type="dxa"/>
            <w:vAlign w:val="bottom"/>
          </w:tcPr>
          <w:p>
            <w:pPr>
              <w:ind w:left="100"/>
              <w:spacing w:after="0" w:line="146" w:lineRule="exact"/>
              <w:rPr>
                <w:sz w:val="20"/>
                <w:szCs w:val="20"/>
                <w:color w:val="auto"/>
              </w:rPr>
            </w:pPr>
            <w:r>
              <w:rPr>
                <w:rFonts w:ascii="Arial" w:cs="Arial" w:eastAsia="Arial" w:hAnsi="Arial"/>
                <w:sz w:val="14"/>
                <w:szCs w:val="14"/>
                <w:color w:val="auto"/>
              </w:rPr>
              <w:t>Digital Clients</w:t>
            </w:r>
          </w:p>
        </w:tc>
        <w:tc>
          <w:tcPr>
            <w:tcW w:w="2320" w:type="dxa"/>
            <w:vAlign w:val="bottom"/>
          </w:tcPr>
          <w:p>
            <w:pPr>
              <w:ind w:left="1080"/>
              <w:spacing w:after="0" w:line="146" w:lineRule="exact"/>
              <w:rPr>
                <w:sz w:val="20"/>
                <w:szCs w:val="20"/>
                <w:color w:val="auto"/>
              </w:rPr>
            </w:pPr>
            <w:r>
              <w:rPr>
                <w:rFonts w:ascii="Arial" w:cs="Arial" w:eastAsia="Arial" w:hAnsi="Arial"/>
                <w:sz w:val="14"/>
                <w:szCs w:val="14"/>
                <w:i w:val="1"/>
                <w:iCs w:val="1"/>
                <w:color w:val="auto"/>
              </w:rPr>
              <w:t>BCP</w:t>
            </w:r>
          </w:p>
        </w:tc>
        <w:tc>
          <w:tcPr>
            <w:tcW w:w="1400" w:type="dxa"/>
            <w:vAlign w:val="bottom"/>
          </w:tcPr>
          <w:p>
            <w:pPr>
              <w:jc w:val="center"/>
              <w:spacing w:after="0" w:line="146" w:lineRule="exact"/>
              <w:rPr>
                <w:sz w:val="20"/>
                <w:szCs w:val="20"/>
                <w:color w:val="auto"/>
              </w:rPr>
            </w:pPr>
            <w:r>
              <w:rPr>
                <w:rFonts w:ascii="Arial" w:cs="Arial" w:eastAsia="Arial" w:hAnsi="Arial"/>
                <w:sz w:val="14"/>
                <w:szCs w:val="14"/>
                <w:color w:val="auto"/>
              </w:rPr>
              <w:t>63.5%</w:t>
            </w:r>
          </w:p>
        </w:tc>
        <w:tc>
          <w:tcPr>
            <w:tcW w:w="1360" w:type="dxa"/>
            <w:vAlign w:val="bottom"/>
          </w:tcPr>
          <w:p>
            <w:pPr>
              <w:jc w:val="center"/>
              <w:spacing w:after="0" w:line="146" w:lineRule="exact"/>
              <w:rPr>
                <w:sz w:val="20"/>
                <w:szCs w:val="20"/>
                <w:color w:val="auto"/>
              </w:rPr>
            </w:pPr>
            <w:r>
              <w:rPr>
                <w:rFonts w:ascii="Arial" w:cs="Arial" w:eastAsia="Arial" w:hAnsi="Arial"/>
                <w:sz w:val="14"/>
                <w:szCs w:val="14"/>
                <w:color w:val="auto"/>
                <w:w w:val="95"/>
              </w:rPr>
              <w:t>70.2%</w:t>
            </w:r>
          </w:p>
        </w:tc>
        <w:tc>
          <w:tcPr>
            <w:tcW w:w="1360" w:type="dxa"/>
            <w:vAlign w:val="bottom"/>
          </w:tcPr>
          <w:p>
            <w:pPr>
              <w:jc w:val="center"/>
              <w:spacing w:after="0" w:line="146" w:lineRule="exact"/>
              <w:rPr>
                <w:sz w:val="20"/>
                <w:szCs w:val="20"/>
                <w:color w:val="auto"/>
              </w:rPr>
            </w:pPr>
            <w:r>
              <w:rPr>
                <w:rFonts w:ascii="Arial" w:cs="Arial" w:eastAsia="Arial" w:hAnsi="Arial"/>
                <w:sz w:val="14"/>
                <w:szCs w:val="14"/>
                <w:color w:val="auto"/>
                <w:w w:val="95"/>
              </w:rPr>
              <w:t>72.3%</w:t>
            </w:r>
          </w:p>
        </w:tc>
      </w:tr>
      <w:tr>
        <w:trPr>
          <w:trHeight w:val="162"/>
        </w:trPr>
        <w:tc>
          <w:tcPr>
            <w:tcW w:w="4060" w:type="dxa"/>
            <w:vAlign w:val="bottom"/>
          </w:tcPr>
          <w:p>
            <w:pPr>
              <w:ind w:left="100"/>
              <w:spacing w:after="0" w:line="163" w:lineRule="exact"/>
              <w:rPr>
                <w:sz w:val="20"/>
                <w:szCs w:val="20"/>
                <w:color w:val="auto"/>
              </w:rPr>
            </w:pPr>
            <w:r>
              <w:rPr>
                <w:rFonts w:ascii="Arial" w:cs="Arial" w:eastAsia="Arial" w:hAnsi="Arial"/>
                <w:sz w:val="12"/>
                <w:szCs w:val="12"/>
                <w:color w:val="auto"/>
              </w:rPr>
              <w:t xml:space="preserve">Digital Monetary Transactions </w:t>
            </w:r>
            <w:r>
              <w:rPr>
                <w:rFonts w:ascii="Arial" w:cs="Arial" w:eastAsia="Arial" w:hAnsi="Arial"/>
                <w:sz w:val="18"/>
                <w:szCs w:val="18"/>
                <w:color w:val="auto"/>
                <w:vertAlign w:val="superscript"/>
              </w:rPr>
              <w:t>(2)</w:t>
            </w:r>
          </w:p>
        </w:tc>
        <w:tc>
          <w:tcPr>
            <w:tcW w:w="2320" w:type="dxa"/>
            <w:vAlign w:val="bottom"/>
          </w:tcPr>
          <w:p>
            <w:pPr>
              <w:ind w:left="1080"/>
              <w:spacing w:after="0"/>
              <w:rPr>
                <w:sz w:val="20"/>
                <w:szCs w:val="20"/>
                <w:color w:val="auto"/>
              </w:rPr>
            </w:pPr>
            <w:r>
              <w:rPr>
                <w:rFonts w:ascii="Arial" w:cs="Arial" w:eastAsia="Arial" w:hAnsi="Arial"/>
                <w:sz w:val="14"/>
                <w:szCs w:val="14"/>
                <w:i w:val="1"/>
                <w:iCs w:val="1"/>
                <w:color w:val="auto"/>
              </w:rPr>
              <w:t>BCP</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73%</w:t>
            </w: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81%</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83%</w:t>
            </w:r>
          </w:p>
        </w:tc>
      </w:tr>
      <w:tr>
        <w:trPr>
          <w:trHeight w:val="146"/>
        </w:trPr>
        <w:tc>
          <w:tcPr>
            <w:tcW w:w="4060" w:type="dxa"/>
            <w:vAlign w:val="bottom"/>
          </w:tcPr>
          <w:p>
            <w:pPr>
              <w:ind w:left="100"/>
              <w:spacing w:after="0" w:line="146" w:lineRule="exact"/>
              <w:rPr>
                <w:sz w:val="20"/>
                <w:szCs w:val="20"/>
                <w:color w:val="auto"/>
              </w:rPr>
            </w:pPr>
            <w:r>
              <w:rPr>
                <w:rFonts w:ascii="Arial" w:cs="Arial" w:eastAsia="Arial" w:hAnsi="Arial"/>
                <w:sz w:val="14"/>
                <w:szCs w:val="14"/>
                <w:color w:val="auto"/>
              </w:rPr>
              <w:t>Transactional cost by unit</w:t>
            </w:r>
          </w:p>
        </w:tc>
        <w:tc>
          <w:tcPr>
            <w:tcW w:w="2320" w:type="dxa"/>
            <w:vAlign w:val="bottom"/>
          </w:tcPr>
          <w:p>
            <w:pPr>
              <w:ind w:left="1080"/>
              <w:spacing w:after="0" w:line="146" w:lineRule="exact"/>
              <w:rPr>
                <w:sz w:val="20"/>
                <w:szCs w:val="20"/>
                <w:color w:val="auto"/>
              </w:rPr>
            </w:pPr>
            <w:r>
              <w:rPr>
                <w:rFonts w:ascii="Arial" w:cs="Arial" w:eastAsia="Arial" w:hAnsi="Arial"/>
                <w:sz w:val="14"/>
                <w:szCs w:val="14"/>
                <w:i w:val="1"/>
                <w:iCs w:val="1"/>
                <w:color w:val="auto"/>
              </w:rPr>
              <w:t>BCP</w:t>
            </w:r>
          </w:p>
        </w:tc>
        <w:tc>
          <w:tcPr>
            <w:tcW w:w="1400" w:type="dxa"/>
            <w:vAlign w:val="bottom"/>
          </w:tcPr>
          <w:p>
            <w:pPr>
              <w:jc w:val="center"/>
              <w:spacing w:after="0" w:line="146" w:lineRule="exact"/>
              <w:rPr>
                <w:sz w:val="20"/>
                <w:szCs w:val="20"/>
                <w:color w:val="auto"/>
              </w:rPr>
            </w:pPr>
            <w:r>
              <w:rPr>
                <w:rFonts w:ascii="Arial" w:cs="Arial" w:eastAsia="Arial" w:hAnsi="Arial"/>
                <w:sz w:val="14"/>
                <w:szCs w:val="14"/>
                <w:color w:val="auto"/>
              </w:rPr>
              <w:t>0.07</w:t>
            </w:r>
          </w:p>
        </w:tc>
        <w:tc>
          <w:tcPr>
            <w:tcW w:w="1360" w:type="dxa"/>
            <w:vAlign w:val="bottom"/>
          </w:tcPr>
          <w:p>
            <w:pPr>
              <w:jc w:val="center"/>
              <w:spacing w:after="0" w:line="146" w:lineRule="exact"/>
              <w:rPr>
                <w:sz w:val="20"/>
                <w:szCs w:val="20"/>
                <w:color w:val="auto"/>
              </w:rPr>
            </w:pPr>
            <w:r>
              <w:rPr>
                <w:rFonts w:ascii="Arial" w:cs="Arial" w:eastAsia="Arial" w:hAnsi="Arial"/>
                <w:sz w:val="14"/>
                <w:szCs w:val="14"/>
                <w:color w:val="auto"/>
                <w:w w:val="95"/>
              </w:rPr>
              <w:t>0.05</w:t>
            </w:r>
          </w:p>
        </w:tc>
        <w:tc>
          <w:tcPr>
            <w:tcW w:w="1360" w:type="dxa"/>
            <w:vAlign w:val="bottom"/>
          </w:tcPr>
          <w:p>
            <w:pPr>
              <w:jc w:val="center"/>
              <w:spacing w:after="0" w:line="146" w:lineRule="exact"/>
              <w:rPr>
                <w:sz w:val="20"/>
                <w:szCs w:val="20"/>
                <w:color w:val="auto"/>
              </w:rPr>
            </w:pPr>
            <w:r>
              <w:rPr>
                <w:rFonts w:ascii="Arial" w:cs="Arial" w:eastAsia="Arial" w:hAnsi="Arial"/>
                <w:sz w:val="14"/>
                <w:szCs w:val="14"/>
                <w:color w:val="auto"/>
                <w:w w:val="95"/>
              </w:rPr>
              <w:t>0.04</w:t>
            </w:r>
          </w:p>
        </w:tc>
      </w:tr>
      <w:tr>
        <w:trPr>
          <w:trHeight w:val="154"/>
        </w:trPr>
        <w:tc>
          <w:tcPr>
            <w:tcW w:w="4060" w:type="dxa"/>
            <w:vAlign w:val="bottom"/>
          </w:tcPr>
          <w:p>
            <w:pPr>
              <w:ind w:left="100"/>
              <w:spacing w:after="0" w:line="154" w:lineRule="exact"/>
              <w:rPr>
                <w:sz w:val="20"/>
                <w:szCs w:val="20"/>
                <w:color w:val="auto"/>
              </w:rPr>
            </w:pPr>
            <w:r>
              <w:rPr>
                <w:rFonts w:ascii="Arial" w:cs="Arial" w:eastAsia="Arial" w:hAnsi="Arial"/>
                <w:sz w:val="11"/>
                <w:szCs w:val="11"/>
                <w:color w:val="auto"/>
              </w:rPr>
              <w:t xml:space="preserve">Disbursements through Leads </w:t>
            </w:r>
            <w:r>
              <w:rPr>
                <w:rFonts w:ascii="Arial" w:cs="Arial" w:eastAsia="Arial" w:hAnsi="Arial"/>
                <w:sz w:val="17"/>
                <w:szCs w:val="17"/>
                <w:color w:val="auto"/>
                <w:vertAlign w:val="superscript"/>
              </w:rPr>
              <w:t>(3)</w:t>
            </w:r>
          </w:p>
        </w:tc>
        <w:tc>
          <w:tcPr>
            <w:tcW w:w="2320" w:type="dxa"/>
            <w:vAlign w:val="bottom"/>
          </w:tcPr>
          <w:p>
            <w:pPr>
              <w:ind w:left="1080"/>
              <w:spacing w:after="0" w:line="155" w:lineRule="exact"/>
              <w:rPr>
                <w:sz w:val="20"/>
                <w:szCs w:val="20"/>
                <w:color w:val="auto"/>
              </w:rPr>
            </w:pPr>
            <w:r>
              <w:rPr>
                <w:rFonts w:ascii="Arial" w:cs="Arial" w:eastAsia="Arial" w:hAnsi="Arial"/>
                <w:sz w:val="14"/>
                <w:szCs w:val="14"/>
                <w:i w:val="1"/>
                <w:iCs w:val="1"/>
                <w:color w:val="auto"/>
              </w:rPr>
              <w:t>Mibanco</w:t>
            </w:r>
          </w:p>
        </w:tc>
        <w:tc>
          <w:tcPr>
            <w:tcW w:w="1400" w:type="dxa"/>
            <w:vAlign w:val="bottom"/>
          </w:tcPr>
          <w:p>
            <w:pPr>
              <w:jc w:val="center"/>
              <w:spacing w:after="0" w:line="155" w:lineRule="exact"/>
              <w:rPr>
                <w:sz w:val="20"/>
                <w:szCs w:val="20"/>
                <w:color w:val="auto"/>
              </w:rPr>
            </w:pPr>
            <w:r>
              <w:rPr>
                <w:rFonts w:ascii="Arial" w:cs="Arial" w:eastAsia="Arial" w:hAnsi="Arial"/>
                <w:sz w:val="14"/>
                <w:szCs w:val="14"/>
                <w:color w:val="auto"/>
                <w:w w:val="99"/>
              </w:rPr>
              <w:t>75%</w:t>
            </w:r>
          </w:p>
        </w:tc>
        <w:tc>
          <w:tcPr>
            <w:tcW w:w="1360" w:type="dxa"/>
            <w:vAlign w:val="bottom"/>
          </w:tcPr>
          <w:p>
            <w:pPr>
              <w:jc w:val="center"/>
              <w:spacing w:after="0" w:line="155" w:lineRule="exact"/>
              <w:rPr>
                <w:sz w:val="20"/>
                <w:szCs w:val="20"/>
                <w:color w:val="auto"/>
              </w:rPr>
            </w:pPr>
            <w:r>
              <w:rPr>
                <w:rFonts w:ascii="Arial" w:cs="Arial" w:eastAsia="Arial" w:hAnsi="Arial"/>
                <w:sz w:val="14"/>
                <w:szCs w:val="14"/>
                <w:color w:val="auto"/>
                <w:w w:val="99"/>
              </w:rPr>
              <w:t>69%</w:t>
            </w:r>
          </w:p>
        </w:tc>
        <w:tc>
          <w:tcPr>
            <w:tcW w:w="1360" w:type="dxa"/>
            <w:vAlign w:val="bottom"/>
          </w:tcPr>
          <w:p>
            <w:pPr>
              <w:jc w:val="center"/>
              <w:spacing w:after="0" w:line="155" w:lineRule="exact"/>
              <w:rPr>
                <w:sz w:val="20"/>
                <w:szCs w:val="20"/>
                <w:color w:val="auto"/>
              </w:rPr>
            </w:pPr>
            <w:r>
              <w:rPr>
                <w:rFonts w:ascii="Arial" w:cs="Arial" w:eastAsia="Arial" w:hAnsi="Arial"/>
                <w:sz w:val="14"/>
                <w:szCs w:val="14"/>
                <w:color w:val="auto"/>
                <w:w w:val="92"/>
              </w:rPr>
              <w:t>68%</w:t>
            </w:r>
          </w:p>
        </w:tc>
      </w:tr>
      <w:tr>
        <w:trPr>
          <w:trHeight w:val="154"/>
        </w:trPr>
        <w:tc>
          <w:tcPr>
            <w:tcW w:w="4060" w:type="dxa"/>
            <w:vAlign w:val="bottom"/>
          </w:tcPr>
          <w:p>
            <w:pPr>
              <w:ind w:left="100"/>
              <w:spacing w:after="0" w:line="154" w:lineRule="exact"/>
              <w:rPr>
                <w:sz w:val="20"/>
                <w:szCs w:val="20"/>
                <w:color w:val="auto"/>
              </w:rPr>
            </w:pPr>
            <w:r>
              <w:rPr>
                <w:rFonts w:ascii="Arial" w:cs="Arial" w:eastAsia="Arial" w:hAnsi="Arial"/>
                <w:sz w:val="11"/>
                <w:szCs w:val="11"/>
                <w:color w:val="auto"/>
              </w:rPr>
              <w:t xml:space="preserve">Disbursements through Alternative Channels </w:t>
            </w:r>
            <w:r>
              <w:rPr>
                <w:rFonts w:ascii="Arial" w:cs="Arial" w:eastAsia="Arial" w:hAnsi="Arial"/>
                <w:sz w:val="17"/>
                <w:szCs w:val="17"/>
                <w:color w:val="auto"/>
                <w:vertAlign w:val="superscript"/>
              </w:rPr>
              <w:t>(4)</w:t>
            </w:r>
          </w:p>
        </w:tc>
        <w:tc>
          <w:tcPr>
            <w:tcW w:w="2320" w:type="dxa"/>
            <w:vAlign w:val="bottom"/>
          </w:tcPr>
          <w:p>
            <w:pPr>
              <w:ind w:left="1080"/>
              <w:spacing w:after="0" w:line="155" w:lineRule="exact"/>
              <w:rPr>
                <w:sz w:val="20"/>
                <w:szCs w:val="20"/>
                <w:color w:val="auto"/>
              </w:rPr>
            </w:pPr>
            <w:r>
              <w:rPr>
                <w:rFonts w:ascii="Arial" w:cs="Arial" w:eastAsia="Arial" w:hAnsi="Arial"/>
                <w:sz w:val="14"/>
                <w:szCs w:val="14"/>
                <w:i w:val="1"/>
                <w:iCs w:val="1"/>
                <w:color w:val="auto"/>
              </w:rPr>
              <w:t>Mibanco</w:t>
            </w:r>
          </w:p>
        </w:tc>
        <w:tc>
          <w:tcPr>
            <w:tcW w:w="1400" w:type="dxa"/>
            <w:vAlign w:val="bottom"/>
          </w:tcPr>
          <w:p>
            <w:pPr>
              <w:jc w:val="center"/>
              <w:spacing w:after="0" w:line="155" w:lineRule="exact"/>
              <w:rPr>
                <w:sz w:val="20"/>
                <w:szCs w:val="20"/>
                <w:color w:val="auto"/>
              </w:rPr>
            </w:pPr>
            <w:r>
              <w:rPr>
                <w:rFonts w:ascii="Arial" w:cs="Arial" w:eastAsia="Arial" w:hAnsi="Arial"/>
                <w:sz w:val="14"/>
                <w:szCs w:val="14"/>
                <w:color w:val="auto"/>
                <w:w w:val="99"/>
              </w:rPr>
              <w:t>17%</w:t>
            </w:r>
          </w:p>
        </w:tc>
        <w:tc>
          <w:tcPr>
            <w:tcW w:w="1360" w:type="dxa"/>
            <w:vAlign w:val="bottom"/>
          </w:tcPr>
          <w:p>
            <w:pPr>
              <w:jc w:val="center"/>
              <w:spacing w:after="0" w:line="155" w:lineRule="exact"/>
              <w:rPr>
                <w:sz w:val="20"/>
                <w:szCs w:val="20"/>
                <w:color w:val="auto"/>
              </w:rPr>
            </w:pPr>
            <w:r>
              <w:rPr>
                <w:rFonts w:ascii="Arial" w:cs="Arial" w:eastAsia="Arial" w:hAnsi="Arial"/>
                <w:sz w:val="14"/>
                <w:szCs w:val="14"/>
                <w:color w:val="auto"/>
                <w:w w:val="99"/>
              </w:rPr>
              <w:t>22%</w:t>
            </w:r>
          </w:p>
        </w:tc>
        <w:tc>
          <w:tcPr>
            <w:tcW w:w="1360" w:type="dxa"/>
            <w:vAlign w:val="bottom"/>
          </w:tcPr>
          <w:p>
            <w:pPr>
              <w:jc w:val="center"/>
              <w:spacing w:after="0" w:line="155" w:lineRule="exact"/>
              <w:rPr>
                <w:sz w:val="20"/>
                <w:szCs w:val="20"/>
                <w:color w:val="auto"/>
              </w:rPr>
            </w:pPr>
            <w:r>
              <w:rPr>
                <w:rFonts w:ascii="Arial" w:cs="Arial" w:eastAsia="Arial" w:hAnsi="Arial"/>
                <w:sz w:val="14"/>
                <w:szCs w:val="14"/>
                <w:color w:val="auto"/>
                <w:w w:val="92"/>
              </w:rPr>
              <w:t>23%</w:t>
            </w:r>
          </w:p>
        </w:tc>
      </w:tr>
      <w:tr>
        <w:trPr>
          <w:trHeight w:val="175"/>
        </w:trPr>
        <w:tc>
          <w:tcPr>
            <w:tcW w:w="4060" w:type="dxa"/>
            <w:vAlign w:val="bottom"/>
            <w:tcBorders>
              <w:bottom w:val="single" w:sz="8" w:color="auto"/>
            </w:tcBorders>
          </w:tcPr>
          <w:p>
            <w:pPr>
              <w:ind w:left="100"/>
              <w:spacing w:after="0" w:line="175" w:lineRule="exact"/>
              <w:rPr>
                <w:sz w:val="20"/>
                <w:szCs w:val="20"/>
                <w:color w:val="auto"/>
              </w:rPr>
            </w:pPr>
            <w:r>
              <w:rPr>
                <w:rFonts w:ascii="Arial" w:cs="Arial" w:eastAsia="Arial" w:hAnsi="Arial"/>
                <w:sz w:val="13"/>
                <w:szCs w:val="13"/>
                <w:color w:val="auto"/>
              </w:rPr>
              <w:t xml:space="preserve">Mibanco Productivity </w:t>
            </w:r>
            <w:r>
              <w:rPr>
                <w:rFonts w:ascii="Arial" w:cs="Arial" w:eastAsia="Arial" w:hAnsi="Arial"/>
                <w:sz w:val="20"/>
                <w:szCs w:val="20"/>
                <w:color w:val="auto"/>
                <w:vertAlign w:val="superscript"/>
              </w:rPr>
              <w:t>(5)</w:t>
            </w:r>
          </w:p>
        </w:tc>
        <w:tc>
          <w:tcPr>
            <w:tcW w:w="2320" w:type="dxa"/>
            <w:vAlign w:val="bottom"/>
            <w:tcBorders>
              <w:bottom w:val="single" w:sz="8" w:color="auto"/>
            </w:tcBorders>
          </w:tcPr>
          <w:p>
            <w:pPr>
              <w:ind w:left="1080"/>
              <w:spacing w:after="0"/>
              <w:rPr>
                <w:sz w:val="20"/>
                <w:szCs w:val="20"/>
                <w:color w:val="auto"/>
              </w:rPr>
            </w:pPr>
            <w:r>
              <w:rPr>
                <w:rFonts w:ascii="Arial" w:cs="Arial" w:eastAsia="Arial" w:hAnsi="Arial"/>
                <w:sz w:val="14"/>
                <w:szCs w:val="14"/>
                <w:i w:val="1"/>
                <w:iCs w:val="1"/>
                <w:color w:val="auto"/>
              </w:rPr>
              <w:t>Mibanco</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24.7</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25</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22</w:t>
            </w:r>
          </w:p>
        </w:tc>
      </w:tr>
      <w:tr>
        <w:trPr>
          <w:trHeight w:val="124"/>
        </w:trPr>
        <w:tc>
          <w:tcPr>
            <w:tcW w:w="4060" w:type="dxa"/>
            <w:vAlign w:val="bottom"/>
          </w:tcPr>
          <w:p>
            <w:pPr>
              <w:ind w:left="100"/>
              <w:spacing w:after="0" w:line="124" w:lineRule="exact"/>
              <w:rPr>
                <w:sz w:val="20"/>
                <w:szCs w:val="20"/>
                <w:color w:val="auto"/>
              </w:rPr>
            </w:pPr>
            <w:r>
              <w:rPr>
                <w:rFonts w:ascii="Arial" w:cs="Arial" w:eastAsia="Arial" w:hAnsi="Arial"/>
                <w:sz w:val="14"/>
                <w:szCs w:val="14"/>
                <w:b w:val="1"/>
                <w:bCs w:val="1"/>
                <w:i w:val="1"/>
                <w:iCs w:val="1"/>
                <w:color w:val="auto"/>
              </w:rPr>
              <w:t>Cashless</w:t>
            </w:r>
          </w:p>
        </w:tc>
        <w:tc>
          <w:tcPr>
            <w:tcW w:w="2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62"/>
        </w:trPr>
        <w:tc>
          <w:tcPr>
            <w:tcW w:w="4060" w:type="dxa"/>
            <w:vAlign w:val="bottom"/>
          </w:tcPr>
          <w:p>
            <w:pPr>
              <w:ind w:left="100"/>
              <w:spacing w:after="0" w:line="163" w:lineRule="exact"/>
              <w:rPr>
                <w:sz w:val="20"/>
                <w:szCs w:val="20"/>
                <w:color w:val="auto"/>
              </w:rPr>
            </w:pPr>
            <w:r>
              <w:rPr>
                <w:rFonts w:ascii="Arial" w:cs="Arial" w:eastAsia="Arial" w:hAnsi="Arial"/>
                <w:sz w:val="12"/>
                <w:szCs w:val="12"/>
                <w:color w:val="auto"/>
              </w:rPr>
              <w:t xml:space="preserve">Cashless Transactions </w:t>
            </w:r>
            <w:r>
              <w:rPr>
                <w:rFonts w:ascii="Arial" w:cs="Arial" w:eastAsia="Arial" w:hAnsi="Arial"/>
                <w:sz w:val="18"/>
                <w:szCs w:val="18"/>
                <w:color w:val="auto"/>
                <w:vertAlign w:val="superscript"/>
              </w:rPr>
              <w:t>(6)</w:t>
            </w:r>
          </w:p>
        </w:tc>
        <w:tc>
          <w:tcPr>
            <w:tcW w:w="2320" w:type="dxa"/>
            <w:vAlign w:val="bottom"/>
          </w:tcPr>
          <w:p>
            <w:pPr>
              <w:ind w:left="1080"/>
              <w:spacing w:after="0"/>
              <w:rPr>
                <w:sz w:val="20"/>
                <w:szCs w:val="20"/>
                <w:color w:val="auto"/>
              </w:rPr>
            </w:pPr>
            <w:r>
              <w:rPr>
                <w:rFonts w:ascii="Arial" w:cs="Arial" w:eastAsia="Arial" w:hAnsi="Arial"/>
                <w:sz w:val="14"/>
                <w:szCs w:val="14"/>
                <w:i w:val="1"/>
                <w:iCs w:val="1"/>
                <w:color w:val="auto"/>
              </w:rPr>
              <w:t>BCP</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53%</w:t>
            </w: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62%</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64%</w:t>
            </w:r>
          </w:p>
        </w:tc>
      </w:tr>
      <w:tr>
        <w:trPr>
          <w:trHeight w:val="154"/>
        </w:trPr>
        <w:tc>
          <w:tcPr>
            <w:tcW w:w="4060" w:type="dxa"/>
            <w:vAlign w:val="bottom"/>
          </w:tcPr>
          <w:p>
            <w:pPr>
              <w:ind w:left="100"/>
              <w:spacing w:after="0" w:line="155" w:lineRule="exact"/>
              <w:rPr>
                <w:sz w:val="20"/>
                <w:szCs w:val="20"/>
                <w:color w:val="auto"/>
              </w:rPr>
            </w:pPr>
            <w:r>
              <w:rPr>
                <w:rFonts w:ascii="Arial" w:cs="Arial" w:eastAsia="Arial" w:hAnsi="Arial"/>
                <w:sz w:val="14"/>
                <w:szCs w:val="14"/>
                <w:color w:val="auto"/>
              </w:rPr>
              <w:t>Mobile Banking rating iOs</w:t>
            </w:r>
          </w:p>
        </w:tc>
        <w:tc>
          <w:tcPr>
            <w:tcW w:w="2320" w:type="dxa"/>
            <w:vAlign w:val="bottom"/>
          </w:tcPr>
          <w:p>
            <w:pPr>
              <w:ind w:left="1080"/>
              <w:spacing w:after="0" w:line="155" w:lineRule="exact"/>
              <w:rPr>
                <w:sz w:val="20"/>
                <w:szCs w:val="20"/>
                <w:color w:val="auto"/>
              </w:rPr>
            </w:pPr>
            <w:r>
              <w:rPr>
                <w:rFonts w:ascii="Arial" w:cs="Arial" w:eastAsia="Arial" w:hAnsi="Arial"/>
                <w:sz w:val="14"/>
                <w:szCs w:val="14"/>
                <w:i w:val="1"/>
                <w:iCs w:val="1"/>
                <w:color w:val="auto"/>
              </w:rPr>
              <w:t>BCP</w:t>
            </w:r>
          </w:p>
        </w:tc>
        <w:tc>
          <w:tcPr>
            <w:tcW w:w="1400" w:type="dxa"/>
            <w:vAlign w:val="bottom"/>
          </w:tcPr>
          <w:p>
            <w:pPr>
              <w:jc w:val="center"/>
              <w:spacing w:after="0" w:line="155" w:lineRule="exact"/>
              <w:rPr>
                <w:sz w:val="20"/>
                <w:szCs w:val="20"/>
                <w:color w:val="auto"/>
              </w:rPr>
            </w:pPr>
            <w:r>
              <w:rPr>
                <w:rFonts w:ascii="Arial" w:cs="Arial" w:eastAsia="Arial" w:hAnsi="Arial"/>
                <w:sz w:val="14"/>
                <w:szCs w:val="14"/>
                <w:color w:val="auto"/>
              </w:rPr>
              <w:t>4.7</w:t>
            </w:r>
          </w:p>
        </w:tc>
        <w:tc>
          <w:tcPr>
            <w:tcW w:w="1360" w:type="dxa"/>
            <w:vAlign w:val="bottom"/>
          </w:tcPr>
          <w:p>
            <w:pPr>
              <w:jc w:val="center"/>
              <w:spacing w:after="0" w:line="155" w:lineRule="exact"/>
              <w:rPr>
                <w:sz w:val="20"/>
                <w:szCs w:val="20"/>
                <w:color w:val="auto"/>
              </w:rPr>
            </w:pPr>
            <w:r>
              <w:rPr>
                <w:rFonts w:ascii="Arial" w:cs="Arial" w:eastAsia="Arial" w:hAnsi="Arial"/>
                <w:sz w:val="14"/>
                <w:szCs w:val="14"/>
                <w:color w:val="auto"/>
                <w:w w:val="92"/>
              </w:rPr>
              <w:t>4.8</w:t>
            </w:r>
          </w:p>
        </w:tc>
        <w:tc>
          <w:tcPr>
            <w:tcW w:w="1360" w:type="dxa"/>
            <w:vAlign w:val="bottom"/>
          </w:tcPr>
          <w:p>
            <w:pPr>
              <w:jc w:val="center"/>
              <w:spacing w:after="0" w:line="155" w:lineRule="exact"/>
              <w:rPr>
                <w:sz w:val="20"/>
                <w:szCs w:val="20"/>
                <w:color w:val="auto"/>
              </w:rPr>
            </w:pPr>
            <w:r>
              <w:rPr>
                <w:rFonts w:ascii="Arial" w:cs="Arial" w:eastAsia="Arial" w:hAnsi="Arial"/>
                <w:sz w:val="14"/>
                <w:szCs w:val="14"/>
                <w:color w:val="auto"/>
                <w:w w:val="92"/>
              </w:rPr>
              <w:t>4.8</w:t>
            </w:r>
          </w:p>
        </w:tc>
      </w:tr>
      <w:tr>
        <w:trPr>
          <w:trHeight w:val="167"/>
        </w:trPr>
        <w:tc>
          <w:tcPr>
            <w:tcW w:w="40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Mobile Banking rating Android</w:t>
            </w:r>
          </w:p>
        </w:tc>
        <w:tc>
          <w:tcPr>
            <w:tcW w:w="2320" w:type="dxa"/>
            <w:vAlign w:val="bottom"/>
            <w:tcBorders>
              <w:bottom w:val="single" w:sz="8" w:color="auto"/>
            </w:tcBorders>
          </w:tcPr>
          <w:p>
            <w:pPr>
              <w:ind w:left="1080"/>
              <w:spacing w:after="0"/>
              <w:rPr>
                <w:sz w:val="20"/>
                <w:szCs w:val="20"/>
                <w:color w:val="auto"/>
              </w:rPr>
            </w:pPr>
            <w:r>
              <w:rPr>
                <w:rFonts w:ascii="Arial" w:cs="Arial" w:eastAsia="Arial" w:hAnsi="Arial"/>
                <w:sz w:val="14"/>
                <w:szCs w:val="14"/>
                <w:i w:val="1"/>
                <w:iCs w:val="1"/>
                <w:color w:val="auto"/>
              </w:rPr>
              <w:t>BCP</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4.6</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4.6</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4.7</w:t>
            </w:r>
          </w:p>
        </w:tc>
      </w:tr>
      <w:tr>
        <w:trPr>
          <w:trHeight w:val="124"/>
        </w:trPr>
        <w:tc>
          <w:tcPr>
            <w:tcW w:w="4060" w:type="dxa"/>
            <w:vAlign w:val="bottom"/>
          </w:tcPr>
          <w:p>
            <w:pPr>
              <w:ind w:left="100"/>
              <w:spacing w:after="0" w:line="124" w:lineRule="exact"/>
              <w:rPr>
                <w:sz w:val="20"/>
                <w:szCs w:val="20"/>
                <w:color w:val="auto"/>
              </w:rPr>
            </w:pPr>
            <w:r>
              <w:rPr>
                <w:rFonts w:ascii="Arial" w:cs="Arial" w:eastAsia="Arial" w:hAnsi="Arial"/>
                <w:sz w:val="14"/>
                <w:szCs w:val="14"/>
                <w:b w:val="1"/>
                <w:bCs w:val="1"/>
                <w:i w:val="1"/>
                <w:iCs w:val="1"/>
                <w:color w:val="auto"/>
              </w:rPr>
              <w:t>Digital Acquisition</w:t>
            </w:r>
          </w:p>
        </w:tc>
        <w:tc>
          <w:tcPr>
            <w:tcW w:w="2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81"/>
        </w:trPr>
        <w:tc>
          <w:tcPr>
            <w:tcW w:w="4060" w:type="dxa"/>
            <w:vAlign w:val="bottom"/>
          </w:tcPr>
          <w:p>
            <w:pPr>
              <w:ind w:left="100"/>
              <w:spacing w:after="0" w:line="181" w:lineRule="exact"/>
              <w:rPr>
                <w:sz w:val="20"/>
                <w:szCs w:val="20"/>
                <w:color w:val="auto"/>
              </w:rPr>
            </w:pPr>
            <w:r>
              <w:rPr>
                <w:rFonts w:ascii="Arial" w:cs="Arial" w:eastAsia="Arial" w:hAnsi="Arial"/>
                <w:sz w:val="13"/>
                <w:szCs w:val="13"/>
                <w:color w:val="auto"/>
              </w:rPr>
              <w:t xml:space="preserve">Digital Sales </w:t>
            </w:r>
            <w:r>
              <w:rPr>
                <w:rFonts w:ascii="Arial" w:cs="Arial" w:eastAsia="Arial" w:hAnsi="Arial"/>
                <w:sz w:val="20"/>
                <w:szCs w:val="20"/>
                <w:color w:val="auto"/>
                <w:vertAlign w:val="superscript"/>
              </w:rPr>
              <w:t>(7)</w:t>
            </w:r>
          </w:p>
        </w:tc>
        <w:tc>
          <w:tcPr>
            <w:tcW w:w="2320" w:type="dxa"/>
            <w:vAlign w:val="bottom"/>
          </w:tcPr>
          <w:p>
            <w:pPr>
              <w:ind w:left="1080"/>
              <w:spacing w:after="0"/>
              <w:rPr>
                <w:sz w:val="20"/>
                <w:szCs w:val="20"/>
                <w:color w:val="auto"/>
              </w:rPr>
            </w:pPr>
            <w:r>
              <w:rPr>
                <w:rFonts w:ascii="Arial" w:cs="Arial" w:eastAsia="Arial" w:hAnsi="Arial"/>
                <w:sz w:val="14"/>
                <w:szCs w:val="14"/>
                <w:i w:val="1"/>
                <w:iCs w:val="1"/>
                <w:color w:val="auto"/>
              </w:rPr>
              <w:t>BCP</w:t>
            </w:r>
          </w:p>
        </w:tc>
        <w:tc>
          <w:tcPr>
            <w:tcW w:w="1400" w:type="dxa"/>
            <w:vAlign w:val="bottom"/>
          </w:tcPr>
          <w:p>
            <w:pPr>
              <w:jc w:val="center"/>
              <w:spacing w:after="0"/>
              <w:rPr>
                <w:sz w:val="20"/>
                <w:szCs w:val="20"/>
                <w:color w:val="auto"/>
              </w:rPr>
            </w:pPr>
            <w:r>
              <w:rPr>
                <w:rFonts w:ascii="Arial" w:cs="Arial" w:eastAsia="Arial" w:hAnsi="Arial"/>
                <w:sz w:val="14"/>
                <w:szCs w:val="14"/>
                <w:color w:val="auto"/>
                <w:w w:val="99"/>
              </w:rPr>
              <w:t>53%</w:t>
            </w:r>
          </w:p>
        </w:tc>
        <w:tc>
          <w:tcPr>
            <w:tcW w:w="1360" w:type="dxa"/>
            <w:vAlign w:val="bottom"/>
          </w:tcPr>
          <w:p>
            <w:pPr>
              <w:jc w:val="center"/>
              <w:spacing w:after="0"/>
              <w:rPr>
                <w:sz w:val="20"/>
                <w:szCs w:val="20"/>
                <w:color w:val="auto"/>
              </w:rPr>
            </w:pPr>
            <w:r>
              <w:rPr>
                <w:rFonts w:ascii="Arial" w:cs="Arial" w:eastAsia="Arial" w:hAnsi="Arial"/>
                <w:sz w:val="14"/>
                <w:szCs w:val="14"/>
                <w:color w:val="auto"/>
                <w:w w:val="99"/>
              </w:rPr>
              <w:t>64%</w:t>
            </w: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-1400810</wp:posOffset>
            </wp:positionV>
            <wp:extent cx="6661785" cy="1403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61785" cy="1403985"/>
                    </a:xfrm>
                    <a:prstGeom prst="rect">
                      <a:avLst/>
                    </a:prstGeom>
                    <a:noFill/>
                  </pic:spPr>
                </pic:pic>
              </a:graphicData>
            </a:graphic>
          </wp:anchor>
        </w:drawing>
      </w:r>
    </w:p>
    <w:p>
      <w:pPr>
        <w:ind w:left="160" w:hanging="151"/>
        <w:spacing w:after="0" w:line="214" w:lineRule="auto"/>
        <w:tabs>
          <w:tab w:leader="none" w:pos="160" w:val="left"/>
        </w:tabs>
        <w:numPr>
          <w:ilvl w:val="0"/>
          <w:numId w:val="6"/>
        </w:numPr>
        <w:rPr>
          <w:rFonts w:ascii="Arial" w:cs="Arial" w:eastAsia="Arial" w:hAnsi="Arial"/>
          <w:sz w:val="10"/>
          <w:szCs w:val="10"/>
          <w:color w:val="auto"/>
        </w:rPr>
      </w:pPr>
      <w:r>
        <w:rPr>
          <w:rFonts w:ascii="Arial" w:cs="Arial" w:eastAsia="Arial" w:hAnsi="Arial"/>
          <w:sz w:val="10"/>
          <w:szCs w:val="10"/>
          <w:color w:val="auto"/>
        </w:rPr>
        <w:t>Figures for June 2023, March 2024, and June 2024</w:t>
      </w:r>
    </w:p>
    <w:p>
      <w:pPr>
        <w:ind w:left="160" w:hanging="151"/>
        <w:spacing w:after="0" w:line="214" w:lineRule="auto"/>
        <w:tabs>
          <w:tab w:leader="none" w:pos="160" w:val="left"/>
        </w:tabs>
        <w:numPr>
          <w:ilvl w:val="0"/>
          <w:numId w:val="6"/>
        </w:numPr>
        <w:rPr>
          <w:rFonts w:ascii="Arial" w:cs="Arial" w:eastAsia="Arial" w:hAnsi="Arial"/>
          <w:sz w:val="10"/>
          <w:szCs w:val="10"/>
          <w:color w:val="auto"/>
        </w:rPr>
      </w:pPr>
      <w:r>
        <w:rPr>
          <w:rFonts w:ascii="Arial" w:cs="Arial" w:eastAsia="Arial" w:hAnsi="Arial"/>
          <w:sz w:val="10"/>
          <w:szCs w:val="10"/>
          <w:color w:val="auto"/>
        </w:rPr>
        <w:t>Retail Monetary Transactions conducted through Retail Banking, Internet Banking, Yape and Telecredito/Total Retail Monetary Transactions in Retail Banking.</w:t>
      </w:r>
    </w:p>
    <w:p>
      <w:pPr>
        <w:ind w:left="160" w:hanging="151"/>
        <w:spacing w:after="0" w:line="214" w:lineRule="auto"/>
        <w:tabs>
          <w:tab w:leader="none" w:pos="160" w:val="left"/>
        </w:tabs>
        <w:numPr>
          <w:ilvl w:val="0"/>
          <w:numId w:val="6"/>
        </w:numPr>
        <w:rPr>
          <w:rFonts w:ascii="Arial" w:cs="Arial" w:eastAsia="Arial" w:hAnsi="Arial"/>
          <w:sz w:val="10"/>
          <w:szCs w:val="10"/>
          <w:color w:val="auto"/>
        </w:rPr>
      </w:pPr>
      <w:r>
        <w:rPr>
          <w:rFonts w:ascii="Arial" w:cs="Arial" w:eastAsia="Arial" w:hAnsi="Arial"/>
          <w:sz w:val="10"/>
          <w:szCs w:val="10"/>
          <w:color w:val="auto"/>
        </w:rPr>
        <w:t>Disbursements generated through leads/Total disbursements.</w:t>
      </w:r>
    </w:p>
    <w:p>
      <w:pPr>
        <w:ind w:left="160" w:hanging="151"/>
        <w:spacing w:after="0" w:line="214" w:lineRule="auto"/>
        <w:tabs>
          <w:tab w:leader="none" w:pos="160" w:val="left"/>
        </w:tabs>
        <w:numPr>
          <w:ilvl w:val="0"/>
          <w:numId w:val="6"/>
        </w:numPr>
        <w:rPr>
          <w:rFonts w:ascii="Arial" w:cs="Arial" w:eastAsia="Arial" w:hAnsi="Arial"/>
          <w:sz w:val="10"/>
          <w:szCs w:val="10"/>
          <w:color w:val="auto"/>
        </w:rPr>
      </w:pPr>
      <w:r>
        <w:rPr>
          <w:rFonts w:ascii="Arial" w:cs="Arial" w:eastAsia="Arial" w:hAnsi="Arial"/>
          <w:sz w:val="10"/>
          <w:szCs w:val="10"/>
          <w:color w:val="auto"/>
        </w:rPr>
        <w:t>Disbursements conducted through alternative channels/Total disbursements.</w:t>
      </w:r>
    </w:p>
    <w:p>
      <w:pPr>
        <w:ind w:left="160" w:hanging="151"/>
        <w:spacing w:after="0" w:line="214" w:lineRule="auto"/>
        <w:tabs>
          <w:tab w:leader="none" w:pos="160" w:val="left"/>
        </w:tabs>
        <w:numPr>
          <w:ilvl w:val="0"/>
          <w:numId w:val="6"/>
        </w:numPr>
        <w:rPr>
          <w:rFonts w:ascii="Arial" w:cs="Arial" w:eastAsia="Arial" w:hAnsi="Arial"/>
          <w:sz w:val="10"/>
          <w:szCs w:val="10"/>
          <w:color w:val="auto"/>
        </w:rPr>
      </w:pPr>
      <w:r>
        <w:rPr>
          <w:rFonts w:ascii="Arial" w:cs="Arial" w:eastAsia="Arial" w:hAnsi="Arial"/>
          <w:sz w:val="10"/>
          <w:szCs w:val="10"/>
          <w:color w:val="auto"/>
        </w:rPr>
        <w:t>Number of loans disbursed/ Total relationship managers.</w:t>
      </w:r>
    </w:p>
    <w:p>
      <w:pPr>
        <w:ind w:left="160" w:hanging="151"/>
        <w:spacing w:after="0" w:line="214" w:lineRule="auto"/>
        <w:tabs>
          <w:tab w:leader="none" w:pos="160" w:val="left"/>
        </w:tabs>
        <w:numPr>
          <w:ilvl w:val="0"/>
          <w:numId w:val="6"/>
        </w:numPr>
        <w:rPr>
          <w:rFonts w:ascii="Arial" w:cs="Arial" w:eastAsia="Arial" w:hAnsi="Arial"/>
          <w:sz w:val="10"/>
          <w:szCs w:val="10"/>
          <w:color w:val="auto"/>
        </w:rPr>
      </w:pPr>
      <w:r>
        <w:rPr>
          <w:rFonts w:ascii="Arial" w:cs="Arial" w:eastAsia="Arial" w:hAnsi="Arial"/>
          <w:sz w:val="10"/>
          <w:szCs w:val="10"/>
          <w:color w:val="auto"/>
        </w:rPr>
        <w:t>Amount transacted through Mobile Banking, Internet Banking, Yape y POS/ Total amount transacted through Retail Banking.</w:t>
      </w:r>
    </w:p>
    <w:p>
      <w:pPr>
        <w:ind w:left="160" w:hanging="151"/>
        <w:spacing w:after="0"/>
        <w:tabs>
          <w:tab w:leader="none" w:pos="160" w:val="left"/>
        </w:tabs>
        <w:numPr>
          <w:ilvl w:val="0"/>
          <w:numId w:val="6"/>
        </w:numPr>
        <w:rPr>
          <w:rFonts w:ascii="Arial" w:cs="Arial" w:eastAsia="Arial" w:hAnsi="Arial"/>
          <w:sz w:val="10"/>
          <w:szCs w:val="10"/>
          <w:color w:val="auto"/>
        </w:rPr>
      </w:pPr>
      <w:r>
        <w:rPr>
          <w:rFonts w:ascii="Arial" w:cs="Arial" w:eastAsia="Arial" w:hAnsi="Arial"/>
          <w:sz w:val="10"/>
          <w:szCs w:val="10"/>
          <w:color w:val="auto"/>
        </w:rPr>
        <w:t>Units sold by Retail Banking through digital channels/ Total number of units sold by Retail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753110</wp:posOffset>
            </wp:positionV>
            <wp:extent cx="7164705" cy="133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93345</wp:posOffset>
            </wp:positionV>
            <wp:extent cx="1502410" cy="4438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5812155</wp:posOffset>
            </wp:positionH>
            <wp:positionV relativeFrom="paragraph">
              <wp:posOffset>250190</wp:posOffset>
            </wp:positionV>
            <wp:extent cx="1202055" cy="2876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2055" cy="287655"/>
                    </a:xfrm>
                    <a:prstGeom prst="rect">
                      <a:avLst/>
                    </a:prstGeom>
                    <a:noFill/>
                  </pic:spPr>
                </pic:pic>
              </a:graphicData>
            </a:graphic>
          </wp:anchor>
        </w:drawing>
      </w:r>
    </w:p>
    <w:p>
      <w:pPr>
        <w:sectPr>
          <w:pgSz w:w="11900" w:h="16838" w:orient="portrait"/>
          <w:cols w:equalWidth="0" w:num="1">
            <w:col w:w="10800"/>
          </w:cols>
          <w:pgMar w:left="540" w:top="298" w:right="559" w:bottom="1440" w:gutter="0" w:footer="0" w:header="0"/>
        </w:sectPr>
      </w:pPr>
    </w:p>
    <w:bookmarkStart w:id="16" w:name="page17"/>
    <w:bookmarkEnd w:id="16"/>
    <w:p>
      <w:pPr>
        <w:ind w:left="2480"/>
        <w:spacing w:after="0"/>
        <w:tabs>
          <w:tab w:leader="none" w:pos="2680" w:val="left"/>
        </w:tabs>
        <w:rPr>
          <w:sz w:val="20"/>
          <w:szCs w:val="20"/>
          <w:color w:val="auto"/>
        </w:rPr>
      </w:pPr>
      <w:r>
        <w:rPr>
          <w:rFonts w:ascii="Arial" w:cs="Arial" w:eastAsia="Arial" w:hAnsi="Arial"/>
          <w:sz w:val="15"/>
          <w:szCs w:val="15"/>
          <w:color w:val="A6A6A6"/>
        </w:rPr>
        <w:t>|</w:t>
      </w:r>
      <w:r>
        <w:rPr>
          <w:sz w:val="20"/>
          <w:szCs w:val="20"/>
          <w:color w:val="auto"/>
        </w:rPr>
        <w:tab/>
      </w:r>
      <w:r>
        <w:rPr>
          <w:rFonts w:ascii="Arial" w:cs="Arial" w:eastAsia="Arial" w:hAnsi="Arial"/>
          <w:sz w:val="14"/>
          <w:szCs w:val="14"/>
          <w:b w:val="1"/>
          <w:bCs w:val="1"/>
          <w:color w:val="A6A6A6"/>
        </w:rPr>
        <w:t>Earnings Release 2Q / 2024</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Credicorp’s Strategy Update</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Disruptive Initiatives: Yape</w:t>
      </w:r>
    </w:p>
    <w:p>
      <w:pPr>
        <w:spacing w:after="0" w:line="150" w:lineRule="exact"/>
        <w:rPr>
          <w:sz w:val="20"/>
          <w:szCs w:val="20"/>
          <w:color w:val="auto"/>
        </w:rPr>
      </w:pPr>
    </w:p>
    <w:p>
      <w:pPr>
        <w:jc w:val="both"/>
        <w:ind w:right="220"/>
        <w:spacing w:after="0" w:line="234" w:lineRule="auto"/>
        <w:rPr>
          <w:sz w:val="20"/>
          <w:szCs w:val="20"/>
          <w:color w:val="auto"/>
        </w:rPr>
      </w:pPr>
      <w:r>
        <w:rPr>
          <w:rFonts w:ascii="Arial" w:cs="Arial" w:eastAsia="Arial" w:hAnsi="Arial"/>
          <w:sz w:val="14"/>
          <w:szCs w:val="14"/>
          <w:color w:val="auto"/>
        </w:rPr>
        <w:t>Yape hit break-even thanks to its 9.5 million active users who generate income. At the end of June, monthly income per active yapero stood at S/4.1, while expenses per active yapero totaled S/4.0. As of 2Q24, Yape had reached more than 12.3 monthly active users (MAU), registering an NPS of 76. Fidelity levels are reflected in the 1,400 million transactions conducted in 2Q24 (+24.2% QoQ y 127.7% YoY); 40 transactions on average per month per MAU (+11.1% QoQ + 60% YoY); and an average use of 2.27 functionalities a month by MAU (2.7% QoQ y 29.0% YoY).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jc w:val="right"/>
        <w:ind w:right="560"/>
        <w:spacing w:after="0"/>
        <w:rPr>
          <w:sz w:val="20"/>
          <w:szCs w:val="20"/>
          <w:color w:val="auto"/>
        </w:rPr>
      </w:pPr>
      <w:r>
        <w:rPr>
          <w:rFonts w:ascii="Arial" w:cs="Arial" w:eastAsia="Arial" w:hAnsi="Arial"/>
          <w:sz w:val="14"/>
          <w:szCs w:val="14"/>
          <w:b w:val="1"/>
          <w:bCs w:val="1"/>
          <w:color w:val="E93BAC"/>
        </w:rPr>
        <w:t>Analysis of 2Q24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-3884295</wp:posOffset>
            </wp:positionH>
            <wp:positionV relativeFrom="paragraph">
              <wp:posOffset>-222885</wp:posOffset>
            </wp:positionV>
            <wp:extent cx="7164705" cy="5880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705" cy="588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 xml:space="preserve">Evolution of monthly revenues and expenses / MAU </w:t>
      </w:r>
      <w:r>
        <w:rPr>
          <w:rFonts w:ascii="Arial" w:cs="Arial" w:eastAsia="Arial" w:hAnsi="Arial"/>
          <w:sz w:val="22"/>
          <w:szCs w:val="2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48260</wp:posOffset>
            </wp:positionV>
            <wp:extent cx="2286000" cy="8750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28600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0"/>
          <w:szCs w:val="10"/>
          <w:color w:val="auto"/>
        </w:rPr>
        <w:t>(1) Management Figures</w:t>
      </w:r>
    </w:p>
    <w:p>
      <w:pPr>
        <w:spacing w:after="0" w:line="140" w:lineRule="exact"/>
        <w:rPr>
          <w:sz w:val="20"/>
          <w:szCs w:val="20"/>
          <w:color w:val="auto"/>
        </w:rPr>
      </w:pPr>
    </w:p>
    <w:p>
      <w:pPr>
        <w:sectPr>
          <w:pgSz w:w="11900" w:h="16838" w:orient="portrait"/>
          <w:cols w:equalWidth="0" w:num="2">
            <w:col w:w="5160" w:space="720"/>
            <w:col w:w="4920"/>
          </w:cols>
          <w:pgMar w:left="540" w:top="298" w:right="559" w:bottom="1440" w:gutter="0" w:footer="0" w:header="0"/>
        </w:sectPr>
      </w:pPr>
    </w:p>
    <w:p>
      <w:pPr>
        <w:spacing w:after="0"/>
        <w:rPr>
          <w:sz w:val="20"/>
          <w:szCs w:val="20"/>
          <w:color w:val="auto"/>
        </w:rPr>
      </w:pPr>
      <w:r>
        <w:rPr>
          <w:rFonts w:ascii="Arial" w:cs="Arial" w:eastAsia="Arial" w:hAnsi="Arial"/>
          <w:sz w:val="14"/>
          <w:szCs w:val="14"/>
          <w:b w:val="1"/>
          <w:bCs w:val="1"/>
          <w:color w:val="auto"/>
        </w:rPr>
        <w:t>Main KPIs for Yape’s managment</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101"/>
        </w:trPr>
        <w:tc>
          <w:tcPr>
            <w:tcW w:w="3740" w:type="dxa"/>
            <w:vAlign w:val="bottom"/>
            <w:tcBorders>
              <w:top w:val="single" w:sz="8" w:color="auto"/>
              <w:left w:val="single" w:sz="8" w:color="auto"/>
              <w:right w:val="single" w:sz="8" w:color="auto"/>
            </w:tcBorders>
            <w:vMerge w:val="restart"/>
            <w:shd w:val="clear" w:color="auto" w:fill="2AD2C9"/>
          </w:tcPr>
          <w:p>
            <w:pPr>
              <w:ind w:left="100"/>
              <w:spacing w:after="0"/>
              <w:rPr>
                <w:sz w:val="20"/>
                <w:szCs w:val="20"/>
                <w:color w:val="auto"/>
              </w:rPr>
            </w:pPr>
            <w:r>
              <w:rPr>
                <w:rFonts w:ascii="Arial" w:cs="Arial" w:eastAsia="Arial" w:hAnsi="Arial"/>
                <w:sz w:val="10"/>
                <w:szCs w:val="10"/>
                <w:b w:val="1"/>
                <w:bCs w:val="1"/>
                <w:i w:val="1"/>
                <w:iCs w:val="1"/>
                <w:color w:val="FFFFFF"/>
              </w:rPr>
              <w:t>Management KPIs</w:t>
            </w:r>
          </w:p>
        </w:tc>
        <w:tc>
          <w:tcPr>
            <w:tcW w:w="820" w:type="dxa"/>
            <w:vAlign w:val="bottom"/>
            <w:tcBorders>
              <w:top w:val="single" w:sz="8" w:color="auto"/>
            </w:tcBorders>
            <w:shd w:val="clear" w:color="auto" w:fill="2AD2C9"/>
          </w:tcPr>
          <w:p>
            <w:pPr>
              <w:spacing w:after="0"/>
              <w:rPr>
                <w:sz w:val="8"/>
                <w:szCs w:val="8"/>
                <w:color w:val="auto"/>
              </w:rPr>
            </w:pPr>
          </w:p>
        </w:tc>
        <w:tc>
          <w:tcPr>
            <w:tcW w:w="880" w:type="dxa"/>
            <w:vAlign w:val="bottom"/>
            <w:tcBorders>
              <w:top w:val="single" w:sz="8" w:color="auto"/>
            </w:tcBorders>
            <w:shd w:val="clear" w:color="auto" w:fill="2AD2C9"/>
          </w:tcPr>
          <w:p>
            <w:pPr>
              <w:ind w:left="260"/>
              <w:spacing w:after="0" w:line="101" w:lineRule="exact"/>
              <w:rPr>
                <w:sz w:val="20"/>
                <w:szCs w:val="20"/>
                <w:color w:val="auto"/>
              </w:rPr>
            </w:pPr>
            <w:r>
              <w:rPr>
                <w:rFonts w:ascii="Arial" w:cs="Arial" w:eastAsia="Arial" w:hAnsi="Arial"/>
                <w:sz w:val="10"/>
                <w:szCs w:val="10"/>
                <w:b w:val="1"/>
                <w:bCs w:val="1"/>
                <w:color w:val="FFFFFF"/>
              </w:rPr>
              <w:t>Quarter</w:t>
            </w:r>
          </w:p>
        </w:tc>
        <w:tc>
          <w:tcPr>
            <w:tcW w:w="860" w:type="dxa"/>
            <w:vAlign w:val="bottom"/>
            <w:tcBorders>
              <w:top w:val="single" w:sz="8" w:color="auto"/>
              <w:right w:val="single" w:sz="8" w:color="auto"/>
            </w:tcBorders>
            <w:shd w:val="clear" w:color="auto" w:fill="2AD2C9"/>
          </w:tcPr>
          <w:p>
            <w:pPr>
              <w:spacing w:after="0"/>
              <w:rPr>
                <w:sz w:val="8"/>
                <w:szCs w:val="8"/>
                <w:color w:val="auto"/>
              </w:rPr>
            </w:pPr>
          </w:p>
        </w:tc>
        <w:tc>
          <w:tcPr>
            <w:tcW w:w="520" w:type="dxa"/>
            <w:vAlign w:val="bottom"/>
            <w:tcBorders>
              <w:top w:val="single" w:sz="8" w:color="auto"/>
            </w:tcBorders>
            <w:shd w:val="clear" w:color="auto" w:fill="2AD2C9"/>
          </w:tcPr>
          <w:p>
            <w:pPr>
              <w:spacing w:after="0"/>
              <w:rPr>
                <w:sz w:val="8"/>
                <w:szCs w:val="8"/>
                <w:color w:val="auto"/>
              </w:rPr>
            </w:pPr>
          </w:p>
        </w:tc>
        <w:tc>
          <w:tcPr>
            <w:tcW w:w="1060" w:type="dxa"/>
            <w:vAlign w:val="bottom"/>
            <w:tcBorders>
              <w:top w:val="single" w:sz="8" w:color="auto"/>
              <w:right w:val="single" w:sz="8" w:color="auto"/>
            </w:tcBorders>
            <w:shd w:val="clear" w:color="auto" w:fill="2AD2C9"/>
          </w:tcPr>
          <w:p>
            <w:pPr>
              <w:ind w:left="20"/>
              <w:spacing w:after="0" w:line="101" w:lineRule="exact"/>
              <w:rPr>
                <w:sz w:val="20"/>
                <w:szCs w:val="20"/>
                <w:color w:val="auto"/>
              </w:rPr>
            </w:pPr>
            <w:r>
              <w:rPr>
                <w:rFonts w:ascii="Arial" w:cs="Arial" w:eastAsia="Arial" w:hAnsi="Arial"/>
                <w:sz w:val="10"/>
                <w:szCs w:val="10"/>
                <w:b w:val="1"/>
                <w:bCs w:val="1"/>
                <w:color w:val="FFFFFF"/>
              </w:rPr>
              <w:t>Change %</w:t>
            </w:r>
          </w:p>
        </w:tc>
        <w:tc>
          <w:tcPr>
            <w:tcW w:w="640" w:type="dxa"/>
            <w:vAlign w:val="bottom"/>
            <w:tcBorders>
              <w:top w:val="single" w:sz="8" w:color="auto"/>
            </w:tcBorders>
            <w:shd w:val="clear" w:color="auto" w:fill="2AD2C9"/>
          </w:tcPr>
          <w:p>
            <w:pPr>
              <w:spacing w:after="0"/>
              <w:rPr>
                <w:sz w:val="8"/>
                <w:szCs w:val="8"/>
                <w:color w:val="auto"/>
              </w:rPr>
            </w:pPr>
          </w:p>
        </w:tc>
        <w:tc>
          <w:tcPr>
            <w:tcW w:w="1040" w:type="dxa"/>
            <w:vAlign w:val="bottom"/>
            <w:tcBorders>
              <w:top w:val="single" w:sz="8" w:color="auto"/>
              <w:right w:val="single" w:sz="8" w:color="auto"/>
            </w:tcBorders>
            <w:shd w:val="clear" w:color="auto" w:fill="2AD2C9"/>
          </w:tcPr>
          <w:p>
            <w:pPr>
              <w:ind w:left="60"/>
              <w:spacing w:after="0" w:line="101" w:lineRule="exact"/>
              <w:rPr>
                <w:sz w:val="20"/>
                <w:szCs w:val="20"/>
                <w:color w:val="auto"/>
              </w:rPr>
            </w:pPr>
            <w:r>
              <w:rPr>
                <w:rFonts w:ascii="Arial" w:cs="Arial" w:eastAsia="Arial" w:hAnsi="Arial"/>
                <w:sz w:val="10"/>
                <w:szCs w:val="10"/>
                <w:b w:val="1"/>
                <w:bCs w:val="1"/>
                <w:color w:val="FFFFFF"/>
              </w:rPr>
              <w:t>Up to</w:t>
            </w:r>
          </w:p>
        </w:tc>
        <w:tc>
          <w:tcPr>
            <w:tcW w:w="1060" w:type="dxa"/>
            <w:vAlign w:val="bottom"/>
            <w:tcBorders>
              <w:top w:val="single" w:sz="8" w:color="auto"/>
              <w:right w:val="single" w:sz="8" w:color="auto"/>
            </w:tcBorders>
            <w:shd w:val="clear" w:color="auto" w:fill="2AD2C9"/>
          </w:tcPr>
          <w:p>
            <w:pPr>
              <w:ind w:left="280"/>
              <w:spacing w:after="0" w:line="101" w:lineRule="exact"/>
              <w:rPr>
                <w:sz w:val="20"/>
                <w:szCs w:val="20"/>
                <w:color w:val="auto"/>
              </w:rPr>
            </w:pPr>
            <w:r>
              <w:rPr>
                <w:rFonts w:ascii="Arial" w:cs="Arial" w:eastAsia="Arial" w:hAnsi="Arial"/>
                <w:sz w:val="10"/>
                <w:szCs w:val="10"/>
                <w:b w:val="1"/>
                <w:bCs w:val="1"/>
                <w:color w:val="FFFFFF"/>
              </w:rPr>
              <w:t>Change %</w:t>
            </w:r>
          </w:p>
        </w:tc>
        <w:tc>
          <w:tcPr>
            <w:tcW w:w="0" w:type="dxa"/>
            <w:vAlign w:val="bottom"/>
          </w:tcPr>
          <w:p>
            <w:pPr>
              <w:spacing w:after="0"/>
              <w:rPr>
                <w:sz w:val="1"/>
                <w:szCs w:val="1"/>
                <w:color w:val="auto"/>
              </w:rPr>
            </w:pPr>
          </w:p>
        </w:tc>
      </w:tr>
      <w:tr>
        <w:trPr>
          <w:trHeight w:val="115"/>
        </w:trPr>
        <w:tc>
          <w:tcPr>
            <w:tcW w:w="3740" w:type="dxa"/>
            <w:vAlign w:val="bottom"/>
            <w:tcBorders>
              <w:left w:val="single" w:sz="8" w:color="auto"/>
              <w:bottom w:val="single" w:sz="8" w:color="2AD2C9"/>
              <w:right w:val="single" w:sz="8" w:color="auto"/>
            </w:tcBorders>
            <w:vMerge w:val="continue"/>
            <w:shd w:val="clear" w:color="auto" w:fill="2AD2C9"/>
          </w:tcPr>
          <w:p>
            <w:pPr>
              <w:spacing w:after="0"/>
              <w:rPr>
                <w:sz w:val="10"/>
                <w:szCs w:val="10"/>
                <w:color w:val="auto"/>
              </w:rPr>
            </w:pPr>
          </w:p>
        </w:tc>
        <w:tc>
          <w:tcPr>
            <w:tcW w:w="820" w:type="dxa"/>
            <w:vAlign w:val="bottom"/>
            <w:tcBorders>
              <w:bottom w:val="single" w:sz="8" w:color="2AD2C9"/>
            </w:tcBorders>
            <w:shd w:val="clear" w:color="auto" w:fill="2AD2C9"/>
          </w:tcPr>
          <w:p>
            <w:pPr>
              <w:jc w:val="center"/>
              <w:spacing w:after="0"/>
              <w:rPr>
                <w:sz w:val="20"/>
                <w:szCs w:val="20"/>
                <w:color w:val="auto"/>
              </w:rPr>
            </w:pPr>
            <w:r>
              <w:rPr>
                <w:rFonts w:ascii="Arial" w:cs="Arial" w:eastAsia="Arial" w:hAnsi="Arial"/>
                <w:sz w:val="10"/>
                <w:szCs w:val="10"/>
                <w:b w:val="1"/>
                <w:bCs w:val="1"/>
                <w:i w:val="1"/>
                <w:iCs w:val="1"/>
                <w:color w:val="FFFFFF"/>
                <w:w w:val="97"/>
              </w:rPr>
              <w:t>2Q23</w:t>
            </w:r>
          </w:p>
        </w:tc>
        <w:tc>
          <w:tcPr>
            <w:tcW w:w="880" w:type="dxa"/>
            <w:vAlign w:val="bottom"/>
            <w:tcBorders>
              <w:bottom w:val="single" w:sz="8" w:color="2AD2C9"/>
            </w:tcBorders>
            <w:shd w:val="clear" w:color="auto" w:fill="2AD2C9"/>
          </w:tcPr>
          <w:p>
            <w:pPr>
              <w:jc w:val="center"/>
              <w:spacing w:after="0"/>
              <w:rPr>
                <w:sz w:val="20"/>
                <w:szCs w:val="20"/>
                <w:color w:val="auto"/>
              </w:rPr>
            </w:pPr>
            <w:r>
              <w:rPr>
                <w:rFonts w:ascii="Arial" w:cs="Arial" w:eastAsia="Arial" w:hAnsi="Arial"/>
                <w:sz w:val="10"/>
                <w:szCs w:val="10"/>
                <w:b w:val="1"/>
                <w:bCs w:val="1"/>
                <w:i w:val="1"/>
                <w:iCs w:val="1"/>
                <w:color w:val="FFFFFF"/>
                <w:w w:val="97"/>
              </w:rPr>
              <w:t>1Q24</w:t>
            </w:r>
          </w:p>
        </w:tc>
        <w:tc>
          <w:tcPr>
            <w:tcW w:w="860" w:type="dxa"/>
            <w:vAlign w:val="bottom"/>
            <w:tcBorders>
              <w:bottom w:val="single" w:sz="8" w:color="2AD2C9"/>
              <w:right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i w:val="1"/>
                <w:iCs w:val="1"/>
                <w:color w:val="FFFFFF"/>
                <w:w w:val="89"/>
              </w:rPr>
              <w:t>2Q24</w:t>
            </w:r>
          </w:p>
        </w:tc>
        <w:tc>
          <w:tcPr>
            <w:tcW w:w="520" w:type="dxa"/>
            <w:vAlign w:val="bottom"/>
            <w:tcBorders>
              <w:bottom w:val="single" w:sz="8" w:color="2AD2C9"/>
            </w:tcBorders>
            <w:shd w:val="clear" w:color="auto" w:fill="2AD2C9"/>
          </w:tcPr>
          <w:p>
            <w:pPr>
              <w:ind w:left="240"/>
              <w:spacing w:after="0"/>
              <w:rPr>
                <w:sz w:val="20"/>
                <w:szCs w:val="20"/>
                <w:color w:val="auto"/>
              </w:rPr>
            </w:pPr>
            <w:r>
              <w:rPr>
                <w:rFonts w:ascii="Arial" w:cs="Arial" w:eastAsia="Arial" w:hAnsi="Arial"/>
                <w:sz w:val="10"/>
                <w:szCs w:val="10"/>
                <w:b w:val="1"/>
                <w:bCs w:val="1"/>
                <w:i w:val="1"/>
                <w:iCs w:val="1"/>
                <w:color w:val="FFFFFF"/>
              </w:rPr>
              <w:t>QoQ</w:t>
            </w:r>
          </w:p>
        </w:tc>
        <w:tc>
          <w:tcPr>
            <w:tcW w:w="1060" w:type="dxa"/>
            <w:vAlign w:val="bottom"/>
            <w:tcBorders>
              <w:bottom w:val="single" w:sz="8" w:color="2AD2C9"/>
              <w:right w:val="single" w:sz="8" w:color="auto"/>
            </w:tcBorders>
            <w:shd w:val="clear" w:color="auto" w:fill="2AD2C9"/>
          </w:tcPr>
          <w:p>
            <w:pPr>
              <w:ind w:left="520"/>
              <w:spacing w:after="0"/>
              <w:rPr>
                <w:sz w:val="20"/>
                <w:szCs w:val="20"/>
                <w:color w:val="auto"/>
              </w:rPr>
            </w:pPr>
            <w:r>
              <w:rPr>
                <w:rFonts w:ascii="Arial" w:cs="Arial" w:eastAsia="Arial" w:hAnsi="Arial"/>
                <w:sz w:val="10"/>
                <w:szCs w:val="10"/>
                <w:b w:val="1"/>
                <w:bCs w:val="1"/>
                <w:i w:val="1"/>
                <w:iCs w:val="1"/>
                <w:color w:val="FFFFFF"/>
              </w:rPr>
              <w:t>YoY</w:t>
            </w:r>
          </w:p>
        </w:tc>
        <w:tc>
          <w:tcPr>
            <w:tcW w:w="640" w:type="dxa"/>
            <w:vAlign w:val="bottom"/>
            <w:tcBorders>
              <w:bottom w:val="single" w:sz="8" w:color="2AD2C9"/>
            </w:tcBorders>
            <w:shd w:val="clear" w:color="auto" w:fill="2AD2C9"/>
          </w:tcPr>
          <w:p>
            <w:pPr>
              <w:jc w:val="center"/>
              <w:ind w:left="112"/>
              <w:spacing w:after="0"/>
              <w:rPr>
                <w:sz w:val="20"/>
                <w:szCs w:val="20"/>
                <w:color w:val="auto"/>
              </w:rPr>
            </w:pPr>
            <w:r>
              <w:rPr>
                <w:rFonts w:ascii="Arial" w:cs="Arial" w:eastAsia="Arial" w:hAnsi="Arial"/>
                <w:sz w:val="10"/>
                <w:szCs w:val="10"/>
                <w:b w:val="1"/>
                <w:bCs w:val="1"/>
                <w:i w:val="1"/>
                <w:iCs w:val="1"/>
                <w:color w:val="FFFFFF"/>
              </w:rPr>
              <w:t>1H23</w:t>
            </w:r>
          </w:p>
        </w:tc>
        <w:tc>
          <w:tcPr>
            <w:tcW w:w="1040" w:type="dxa"/>
            <w:vAlign w:val="bottom"/>
            <w:tcBorders>
              <w:bottom w:val="single" w:sz="8" w:color="2AD2C9"/>
              <w:right w:val="single" w:sz="8" w:color="auto"/>
            </w:tcBorders>
            <w:shd w:val="clear" w:color="auto" w:fill="2AD2C9"/>
          </w:tcPr>
          <w:p>
            <w:pPr>
              <w:jc w:val="center"/>
              <w:ind w:left="112"/>
              <w:spacing w:after="0"/>
              <w:rPr>
                <w:sz w:val="20"/>
                <w:szCs w:val="20"/>
                <w:color w:val="auto"/>
              </w:rPr>
            </w:pPr>
            <w:r>
              <w:rPr>
                <w:rFonts w:ascii="Arial" w:cs="Arial" w:eastAsia="Arial" w:hAnsi="Arial"/>
                <w:sz w:val="10"/>
                <w:szCs w:val="10"/>
                <w:b w:val="1"/>
                <w:bCs w:val="1"/>
                <w:i w:val="1"/>
                <w:iCs w:val="1"/>
                <w:color w:val="FFFFFF"/>
              </w:rPr>
              <w:t>1H24</w:t>
            </w:r>
          </w:p>
        </w:tc>
        <w:tc>
          <w:tcPr>
            <w:tcW w:w="1060" w:type="dxa"/>
            <w:vAlign w:val="bottom"/>
            <w:tcBorders>
              <w:bottom w:val="single" w:sz="8" w:color="2AD2C9"/>
              <w:right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i w:val="1"/>
                <w:iCs w:val="1"/>
                <w:color w:val="FFFFFF"/>
                <w:w w:val="96"/>
              </w:rPr>
              <w:t>1H24 / 1H23</w:t>
            </w:r>
          </w:p>
        </w:tc>
        <w:tc>
          <w:tcPr>
            <w:tcW w:w="0" w:type="dxa"/>
            <w:vAlign w:val="bottom"/>
          </w:tcPr>
          <w:p>
            <w:pPr>
              <w:spacing w:after="0"/>
              <w:rPr>
                <w:sz w:val="1"/>
                <w:szCs w:val="1"/>
                <w:color w:val="auto"/>
              </w:rPr>
            </w:pPr>
          </w:p>
        </w:tc>
      </w:tr>
      <w:tr>
        <w:trPr>
          <w:trHeight w:val="81"/>
        </w:trPr>
        <w:tc>
          <w:tcPr>
            <w:tcW w:w="3740" w:type="dxa"/>
            <w:vAlign w:val="bottom"/>
            <w:tcBorders>
              <w:top w:val="single" w:sz="8" w:color="auto"/>
              <w:left w:val="single" w:sz="8" w:color="auto"/>
              <w:right w:val="single" w:sz="8" w:color="auto"/>
            </w:tcBorders>
          </w:tcPr>
          <w:p>
            <w:pPr>
              <w:ind w:left="100"/>
              <w:spacing w:after="0" w:line="81" w:lineRule="exact"/>
              <w:rPr>
                <w:sz w:val="20"/>
                <w:szCs w:val="20"/>
                <w:color w:val="auto"/>
              </w:rPr>
            </w:pPr>
            <w:r>
              <w:rPr>
                <w:rFonts w:ascii="Arial" w:cs="Arial" w:eastAsia="Arial" w:hAnsi="Arial"/>
                <w:sz w:val="8"/>
                <w:szCs w:val="8"/>
                <w:b w:val="1"/>
                <w:bCs w:val="1"/>
                <w:i w:val="1"/>
                <w:iCs w:val="1"/>
                <w:color w:val="auto"/>
              </w:rPr>
              <w:t>Users</w:t>
            </w:r>
          </w:p>
        </w:tc>
        <w:tc>
          <w:tcPr>
            <w:tcW w:w="8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860" w:type="dxa"/>
            <w:vAlign w:val="bottom"/>
            <w:tcBorders>
              <w:top w:val="single" w:sz="8" w:color="auto"/>
              <w:right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60" w:type="dxa"/>
            <w:vAlign w:val="bottom"/>
            <w:tcBorders>
              <w:top w:val="single" w:sz="8" w:color="auto"/>
              <w:right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040" w:type="dxa"/>
            <w:vAlign w:val="bottom"/>
            <w:tcBorders>
              <w:top w:val="single" w:sz="8" w:color="auto"/>
              <w:right w:val="single" w:sz="8" w:color="auto"/>
            </w:tcBorders>
          </w:tcPr>
          <w:p>
            <w:pPr>
              <w:spacing w:after="0"/>
              <w:rPr>
                <w:sz w:val="7"/>
                <w:szCs w:val="7"/>
                <w:color w:val="auto"/>
              </w:rPr>
            </w:pPr>
          </w:p>
        </w:tc>
        <w:tc>
          <w:tcPr>
            <w:tcW w:w="1060" w:type="dxa"/>
            <w:vAlign w:val="bottom"/>
            <w:tcBorders>
              <w:top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3740" w:type="dxa"/>
            <w:vAlign w:val="bottom"/>
            <w:tcBorders>
              <w:left w:val="single" w:sz="8" w:color="auto"/>
              <w:right w:val="single" w:sz="8" w:color="auto"/>
            </w:tcBorders>
          </w:tcPr>
          <w:p>
            <w:pPr>
              <w:ind w:left="100"/>
              <w:spacing w:after="0" w:line="97" w:lineRule="exact"/>
              <w:rPr>
                <w:sz w:val="20"/>
                <w:szCs w:val="20"/>
                <w:color w:val="auto"/>
              </w:rPr>
            </w:pPr>
            <w:r>
              <w:rPr>
                <w:rFonts w:ascii="Arial" w:cs="Arial" w:eastAsia="Arial" w:hAnsi="Arial"/>
                <w:sz w:val="10"/>
                <w:szCs w:val="10"/>
                <w:color w:val="auto"/>
              </w:rPr>
              <w:t>Users (millions)</w:t>
            </w:r>
          </w:p>
        </w:tc>
        <w:tc>
          <w:tcPr>
            <w:tcW w:w="820" w:type="dxa"/>
            <w:vAlign w:val="bottom"/>
          </w:tcPr>
          <w:p>
            <w:pPr>
              <w:jc w:val="center"/>
              <w:spacing w:after="0" w:line="97" w:lineRule="exact"/>
              <w:rPr>
                <w:sz w:val="20"/>
                <w:szCs w:val="20"/>
                <w:color w:val="auto"/>
              </w:rPr>
            </w:pPr>
            <w:r>
              <w:rPr>
                <w:rFonts w:ascii="Arial" w:cs="Arial" w:eastAsia="Arial" w:hAnsi="Arial"/>
                <w:sz w:val="10"/>
                <w:szCs w:val="10"/>
                <w:color w:val="auto"/>
                <w:w w:val="92"/>
              </w:rPr>
              <w:t>12.6</w:t>
            </w:r>
          </w:p>
        </w:tc>
        <w:tc>
          <w:tcPr>
            <w:tcW w:w="880" w:type="dxa"/>
            <w:vAlign w:val="bottom"/>
          </w:tcPr>
          <w:p>
            <w:pPr>
              <w:jc w:val="center"/>
              <w:spacing w:after="0" w:line="97" w:lineRule="exact"/>
              <w:rPr>
                <w:sz w:val="20"/>
                <w:szCs w:val="20"/>
                <w:color w:val="auto"/>
              </w:rPr>
            </w:pPr>
            <w:r>
              <w:rPr>
                <w:rFonts w:ascii="Arial" w:cs="Arial" w:eastAsia="Arial" w:hAnsi="Arial"/>
                <w:sz w:val="10"/>
                <w:szCs w:val="10"/>
                <w:color w:val="auto"/>
              </w:rPr>
              <w:t>15.1</w:t>
            </w:r>
          </w:p>
        </w:tc>
        <w:tc>
          <w:tcPr>
            <w:tcW w:w="86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0"/>
                <w:szCs w:val="10"/>
                <w:color w:val="auto"/>
                <w:w w:val="92"/>
              </w:rPr>
              <w:t>15.9</w:t>
            </w:r>
          </w:p>
        </w:tc>
        <w:tc>
          <w:tcPr>
            <w:tcW w:w="520" w:type="dxa"/>
            <w:vAlign w:val="bottom"/>
          </w:tcPr>
          <w:p>
            <w:pPr>
              <w:jc w:val="center"/>
              <w:ind w:left="132"/>
              <w:spacing w:after="0" w:line="97" w:lineRule="exact"/>
              <w:rPr>
                <w:sz w:val="20"/>
                <w:szCs w:val="20"/>
                <w:color w:val="auto"/>
              </w:rPr>
            </w:pPr>
            <w:r>
              <w:rPr>
                <w:rFonts w:ascii="Arial" w:cs="Arial" w:eastAsia="Arial" w:hAnsi="Arial"/>
                <w:sz w:val="10"/>
                <w:szCs w:val="10"/>
                <w:color w:val="auto"/>
                <w:w w:val="96"/>
              </w:rPr>
              <w:t>5.3%</w:t>
            </w:r>
          </w:p>
        </w:tc>
        <w:tc>
          <w:tcPr>
            <w:tcW w:w="1060" w:type="dxa"/>
            <w:vAlign w:val="bottom"/>
            <w:tcBorders>
              <w:right w:val="single" w:sz="8" w:color="auto"/>
            </w:tcBorders>
          </w:tcPr>
          <w:p>
            <w:pPr>
              <w:jc w:val="center"/>
              <w:ind w:left="132"/>
              <w:spacing w:after="0" w:line="97" w:lineRule="exact"/>
              <w:rPr>
                <w:sz w:val="20"/>
                <w:szCs w:val="20"/>
                <w:color w:val="auto"/>
              </w:rPr>
            </w:pPr>
            <w:r>
              <w:rPr>
                <w:rFonts w:ascii="Arial" w:cs="Arial" w:eastAsia="Arial" w:hAnsi="Arial"/>
                <w:sz w:val="10"/>
                <w:szCs w:val="10"/>
                <w:color w:val="auto"/>
                <w:w w:val="98"/>
              </w:rPr>
              <w:t>26.2%</w:t>
            </w:r>
          </w:p>
        </w:tc>
        <w:tc>
          <w:tcPr>
            <w:tcW w:w="640" w:type="dxa"/>
            <w:vAlign w:val="bottom"/>
          </w:tcPr>
          <w:p>
            <w:pPr>
              <w:jc w:val="center"/>
              <w:ind w:left="132"/>
              <w:spacing w:after="0" w:line="97" w:lineRule="exact"/>
              <w:rPr>
                <w:sz w:val="20"/>
                <w:szCs w:val="20"/>
                <w:color w:val="auto"/>
              </w:rPr>
            </w:pPr>
            <w:r>
              <w:rPr>
                <w:rFonts w:ascii="Arial" w:cs="Arial" w:eastAsia="Arial" w:hAnsi="Arial"/>
                <w:sz w:val="10"/>
                <w:szCs w:val="10"/>
                <w:color w:val="auto"/>
                <w:w w:val="92"/>
              </w:rPr>
              <w:t>12.6</w:t>
            </w:r>
          </w:p>
        </w:tc>
        <w:tc>
          <w:tcPr>
            <w:tcW w:w="1040" w:type="dxa"/>
            <w:vAlign w:val="bottom"/>
            <w:tcBorders>
              <w:right w:val="single" w:sz="8" w:color="auto"/>
            </w:tcBorders>
          </w:tcPr>
          <w:p>
            <w:pPr>
              <w:jc w:val="center"/>
              <w:ind w:left="112"/>
              <w:spacing w:after="0" w:line="97" w:lineRule="exact"/>
              <w:rPr>
                <w:sz w:val="20"/>
                <w:szCs w:val="20"/>
                <w:color w:val="auto"/>
              </w:rPr>
            </w:pPr>
            <w:r>
              <w:rPr>
                <w:rFonts w:ascii="Arial" w:cs="Arial" w:eastAsia="Arial" w:hAnsi="Arial"/>
                <w:sz w:val="10"/>
                <w:szCs w:val="10"/>
                <w:color w:val="auto"/>
              </w:rPr>
              <w:t>15.9</w:t>
            </w:r>
          </w:p>
        </w:tc>
        <w:tc>
          <w:tcPr>
            <w:tcW w:w="106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0"/>
                <w:szCs w:val="10"/>
                <w:color w:val="auto"/>
                <w:w w:val="98"/>
              </w:rPr>
              <w:t>26.2%</w:t>
            </w:r>
          </w:p>
        </w:tc>
        <w:tc>
          <w:tcPr>
            <w:tcW w:w="0" w:type="dxa"/>
            <w:vAlign w:val="bottom"/>
          </w:tcPr>
          <w:p>
            <w:pPr>
              <w:spacing w:after="0"/>
              <w:rPr>
                <w:sz w:val="1"/>
                <w:szCs w:val="1"/>
                <w:color w:val="auto"/>
              </w:rPr>
            </w:pPr>
          </w:p>
        </w:tc>
      </w:tr>
      <w:tr>
        <w:trPr>
          <w:trHeight w:val="109"/>
        </w:trPr>
        <w:tc>
          <w:tcPr>
            <w:tcW w:w="3740" w:type="dxa"/>
            <w:vAlign w:val="bottom"/>
            <w:tcBorders>
              <w:left w:val="single" w:sz="8" w:color="auto"/>
              <w:right w:val="single" w:sz="8" w:color="auto"/>
            </w:tcBorders>
          </w:tcPr>
          <w:p>
            <w:pPr>
              <w:ind w:left="100"/>
              <w:spacing w:after="0" w:line="109" w:lineRule="exact"/>
              <w:rPr>
                <w:sz w:val="20"/>
                <w:szCs w:val="20"/>
                <w:color w:val="auto"/>
              </w:rPr>
            </w:pPr>
            <w:r>
              <w:rPr>
                <w:rFonts w:ascii="Arial" w:cs="Arial" w:eastAsia="Arial" w:hAnsi="Arial"/>
                <w:sz w:val="8"/>
                <w:szCs w:val="8"/>
                <w:color w:val="auto"/>
              </w:rPr>
              <w:t xml:space="preserve">Monthly Active Users (MAU) (millions) </w:t>
            </w:r>
            <w:r>
              <w:rPr>
                <w:rFonts w:ascii="Arial" w:cs="Arial" w:eastAsia="Arial" w:hAnsi="Arial"/>
                <w:sz w:val="12"/>
                <w:szCs w:val="12"/>
                <w:color w:val="auto"/>
                <w:vertAlign w:val="superscript"/>
              </w:rPr>
              <w:t>(1)</w:t>
            </w:r>
          </w:p>
        </w:tc>
        <w:tc>
          <w:tcPr>
            <w:tcW w:w="820" w:type="dxa"/>
            <w:vAlign w:val="bottom"/>
          </w:tcPr>
          <w:p>
            <w:pPr>
              <w:jc w:val="center"/>
              <w:spacing w:after="0" w:line="109" w:lineRule="exact"/>
              <w:rPr>
                <w:sz w:val="20"/>
                <w:szCs w:val="20"/>
                <w:color w:val="auto"/>
              </w:rPr>
            </w:pPr>
            <w:r>
              <w:rPr>
                <w:rFonts w:ascii="Arial" w:cs="Arial" w:eastAsia="Arial" w:hAnsi="Arial"/>
                <w:sz w:val="10"/>
                <w:szCs w:val="10"/>
                <w:color w:val="auto"/>
              </w:rPr>
              <w:t>9</w:t>
            </w:r>
          </w:p>
        </w:tc>
        <w:tc>
          <w:tcPr>
            <w:tcW w:w="880" w:type="dxa"/>
            <w:vAlign w:val="bottom"/>
          </w:tcPr>
          <w:p>
            <w:pPr>
              <w:jc w:val="center"/>
              <w:spacing w:after="0" w:line="109" w:lineRule="exact"/>
              <w:rPr>
                <w:sz w:val="20"/>
                <w:szCs w:val="20"/>
                <w:color w:val="auto"/>
              </w:rPr>
            </w:pPr>
            <w:r>
              <w:rPr>
                <w:rFonts w:ascii="Arial" w:cs="Arial" w:eastAsia="Arial" w:hAnsi="Arial"/>
                <w:sz w:val="10"/>
                <w:szCs w:val="10"/>
                <w:color w:val="auto"/>
                <w:w w:val="92"/>
              </w:rPr>
              <w:t>11.5</w:t>
            </w:r>
          </w:p>
        </w:tc>
        <w:tc>
          <w:tcPr>
            <w:tcW w:w="86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0"/>
                <w:szCs w:val="10"/>
                <w:color w:val="auto"/>
                <w:w w:val="92"/>
              </w:rPr>
              <w:t>12.3</w:t>
            </w:r>
          </w:p>
        </w:tc>
        <w:tc>
          <w:tcPr>
            <w:tcW w:w="520" w:type="dxa"/>
            <w:vAlign w:val="bottom"/>
          </w:tcPr>
          <w:p>
            <w:pPr>
              <w:jc w:val="center"/>
              <w:ind w:left="132"/>
              <w:spacing w:after="0" w:line="109" w:lineRule="exact"/>
              <w:rPr>
                <w:sz w:val="20"/>
                <w:szCs w:val="20"/>
                <w:color w:val="auto"/>
              </w:rPr>
            </w:pPr>
            <w:r>
              <w:rPr>
                <w:rFonts w:ascii="Arial" w:cs="Arial" w:eastAsia="Arial" w:hAnsi="Arial"/>
                <w:sz w:val="10"/>
                <w:szCs w:val="10"/>
                <w:color w:val="auto"/>
                <w:w w:val="96"/>
              </w:rPr>
              <w:t>7.0%</w:t>
            </w:r>
          </w:p>
        </w:tc>
        <w:tc>
          <w:tcPr>
            <w:tcW w:w="1060" w:type="dxa"/>
            <w:vAlign w:val="bottom"/>
            <w:tcBorders>
              <w:right w:val="single" w:sz="8" w:color="auto"/>
            </w:tcBorders>
          </w:tcPr>
          <w:p>
            <w:pPr>
              <w:jc w:val="center"/>
              <w:ind w:left="132"/>
              <w:spacing w:after="0" w:line="109" w:lineRule="exact"/>
              <w:rPr>
                <w:sz w:val="20"/>
                <w:szCs w:val="20"/>
                <w:color w:val="auto"/>
              </w:rPr>
            </w:pPr>
            <w:r>
              <w:rPr>
                <w:rFonts w:ascii="Arial" w:cs="Arial" w:eastAsia="Arial" w:hAnsi="Arial"/>
                <w:sz w:val="10"/>
                <w:szCs w:val="10"/>
                <w:color w:val="auto"/>
                <w:w w:val="98"/>
              </w:rPr>
              <w:t>36.7%</w:t>
            </w:r>
          </w:p>
        </w:tc>
        <w:tc>
          <w:tcPr>
            <w:tcW w:w="640" w:type="dxa"/>
            <w:vAlign w:val="bottom"/>
          </w:tcPr>
          <w:p>
            <w:pPr>
              <w:jc w:val="center"/>
              <w:ind w:left="132"/>
              <w:spacing w:after="0" w:line="109" w:lineRule="exact"/>
              <w:rPr>
                <w:sz w:val="20"/>
                <w:szCs w:val="20"/>
                <w:color w:val="auto"/>
              </w:rPr>
            </w:pPr>
            <w:r>
              <w:rPr>
                <w:rFonts w:ascii="Arial" w:cs="Arial" w:eastAsia="Arial" w:hAnsi="Arial"/>
                <w:sz w:val="10"/>
                <w:szCs w:val="10"/>
                <w:color w:val="auto"/>
              </w:rPr>
              <w:t>9.0</w:t>
            </w:r>
          </w:p>
        </w:tc>
        <w:tc>
          <w:tcPr>
            <w:tcW w:w="1040" w:type="dxa"/>
            <w:vAlign w:val="bottom"/>
            <w:tcBorders>
              <w:right w:val="single" w:sz="8" w:color="auto"/>
            </w:tcBorders>
          </w:tcPr>
          <w:p>
            <w:pPr>
              <w:jc w:val="center"/>
              <w:ind w:left="112"/>
              <w:spacing w:after="0" w:line="109" w:lineRule="exact"/>
              <w:rPr>
                <w:sz w:val="20"/>
                <w:szCs w:val="20"/>
                <w:color w:val="auto"/>
              </w:rPr>
            </w:pPr>
            <w:r>
              <w:rPr>
                <w:rFonts w:ascii="Arial" w:cs="Arial" w:eastAsia="Arial" w:hAnsi="Arial"/>
                <w:sz w:val="10"/>
                <w:szCs w:val="10"/>
                <w:color w:val="auto"/>
              </w:rPr>
              <w:t>12.3</w:t>
            </w:r>
          </w:p>
        </w:tc>
        <w:tc>
          <w:tcPr>
            <w:tcW w:w="106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0"/>
                <w:szCs w:val="10"/>
                <w:color w:val="auto"/>
                <w:w w:val="98"/>
              </w:rPr>
              <w:t>36.7%</w:t>
            </w:r>
          </w:p>
        </w:tc>
        <w:tc>
          <w:tcPr>
            <w:tcW w:w="0" w:type="dxa"/>
            <w:vAlign w:val="bottom"/>
          </w:tcPr>
          <w:p>
            <w:pPr>
              <w:spacing w:after="0"/>
              <w:rPr>
                <w:sz w:val="1"/>
                <w:szCs w:val="1"/>
                <w:color w:val="auto"/>
              </w:rPr>
            </w:pPr>
          </w:p>
        </w:tc>
      </w:tr>
      <w:tr>
        <w:trPr>
          <w:trHeight w:val="115"/>
        </w:trPr>
        <w:tc>
          <w:tcPr>
            <w:tcW w:w="37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0"/>
                <w:szCs w:val="10"/>
                <w:color w:val="auto"/>
              </w:rPr>
              <w:t>Fee Income Generating MAU (millions)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5.2</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5"/>
              </w:rPr>
              <w:t>8.6</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rPr>
              <w:t>9.5</w:t>
            </w:r>
          </w:p>
        </w:tc>
        <w:tc>
          <w:tcPr>
            <w:tcW w:w="520" w:type="dxa"/>
            <w:vAlign w:val="bottom"/>
            <w:tcBorders>
              <w:bottom w:val="single" w:sz="8" w:color="auto"/>
            </w:tcBorders>
          </w:tcPr>
          <w:p>
            <w:pPr>
              <w:jc w:val="center"/>
              <w:ind w:left="132"/>
              <w:spacing w:after="0"/>
              <w:rPr>
                <w:sz w:val="20"/>
                <w:szCs w:val="20"/>
                <w:color w:val="auto"/>
              </w:rPr>
            </w:pPr>
            <w:r>
              <w:rPr>
                <w:rFonts w:ascii="Arial" w:cs="Arial" w:eastAsia="Arial" w:hAnsi="Arial"/>
                <w:sz w:val="10"/>
                <w:szCs w:val="10"/>
                <w:color w:val="auto"/>
                <w:w w:val="91"/>
              </w:rPr>
              <w:t>10.5%</w:t>
            </w:r>
          </w:p>
        </w:tc>
        <w:tc>
          <w:tcPr>
            <w:tcW w:w="1060" w:type="dxa"/>
            <w:vAlign w:val="bottom"/>
            <w:tcBorders>
              <w:bottom w:val="single" w:sz="8" w:color="auto"/>
              <w:right w:val="single" w:sz="8" w:color="auto"/>
            </w:tcBorders>
          </w:tcPr>
          <w:p>
            <w:pPr>
              <w:jc w:val="center"/>
              <w:ind w:left="132"/>
              <w:spacing w:after="0"/>
              <w:rPr>
                <w:sz w:val="20"/>
                <w:szCs w:val="20"/>
                <w:color w:val="auto"/>
              </w:rPr>
            </w:pPr>
            <w:r>
              <w:rPr>
                <w:rFonts w:ascii="Arial" w:cs="Arial" w:eastAsia="Arial" w:hAnsi="Arial"/>
                <w:sz w:val="10"/>
                <w:szCs w:val="10"/>
                <w:color w:val="auto"/>
                <w:w w:val="98"/>
              </w:rPr>
              <w:t>82.7%</w:t>
            </w:r>
          </w:p>
        </w:tc>
        <w:tc>
          <w:tcPr>
            <w:tcW w:w="640" w:type="dxa"/>
            <w:vAlign w:val="bottom"/>
            <w:tcBorders>
              <w:bottom w:val="single" w:sz="8" w:color="auto"/>
            </w:tcBorders>
          </w:tcPr>
          <w:p>
            <w:pPr>
              <w:jc w:val="center"/>
              <w:ind w:left="132"/>
              <w:spacing w:after="0"/>
              <w:rPr>
                <w:sz w:val="20"/>
                <w:szCs w:val="20"/>
                <w:color w:val="auto"/>
              </w:rPr>
            </w:pPr>
            <w:r>
              <w:rPr>
                <w:rFonts w:ascii="Arial" w:cs="Arial" w:eastAsia="Arial" w:hAnsi="Arial"/>
                <w:sz w:val="10"/>
                <w:szCs w:val="10"/>
                <w:color w:val="auto"/>
              </w:rPr>
              <w:t>5.2</w:t>
            </w:r>
          </w:p>
        </w:tc>
        <w:tc>
          <w:tcPr>
            <w:tcW w:w="1040" w:type="dxa"/>
            <w:vAlign w:val="bottom"/>
            <w:tcBorders>
              <w:bottom w:val="single" w:sz="8" w:color="auto"/>
              <w:right w:val="single" w:sz="8" w:color="auto"/>
            </w:tcBorders>
          </w:tcPr>
          <w:p>
            <w:pPr>
              <w:jc w:val="center"/>
              <w:ind w:left="112"/>
              <w:spacing w:after="0"/>
              <w:rPr>
                <w:sz w:val="20"/>
                <w:szCs w:val="20"/>
                <w:color w:val="auto"/>
              </w:rPr>
            </w:pPr>
            <w:r>
              <w:rPr>
                <w:rFonts w:ascii="Arial" w:cs="Arial" w:eastAsia="Arial" w:hAnsi="Arial"/>
                <w:sz w:val="10"/>
                <w:szCs w:val="10"/>
                <w:color w:val="auto"/>
                <w:w w:val="85"/>
              </w:rPr>
              <w:t>9.5</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82.7%</w:t>
            </w:r>
          </w:p>
        </w:tc>
        <w:tc>
          <w:tcPr>
            <w:tcW w:w="0" w:type="dxa"/>
            <w:vAlign w:val="bottom"/>
          </w:tcPr>
          <w:p>
            <w:pPr>
              <w:spacing w:after="0"/>
              <w:rPr>
                <w:sz w:val="1"/>
                <w:szCs w:val="1"/>
                <w:color w:val="auto"/>
              </w:rPr>
            </w:pPr>
          </w:p>
        </w:tc>
      </w:tr>
      <w:tr>
        <w:trPr>
          <w:trHeight w:val="81"/>
        </w:trPr>
        <w:tc>
          <w:tcPr>
            <w:tcW w:w="3740" w:type="dxa"/>
            <w:vAlign w:val="bottom"/>
            <w:tcBorders>
              <w:left w:val="single" w:sz="8" w:color="auto"/>
              <w:right w:val="single" w:sz="8" w:color="auto"/>
            </w:tcBorders>
          </w:tcPr>
          <w:p>
            <w:pPr>
              <w:ind w:left="100"/>
              <w:spacing w:after="0" w:line="81" w:lineRule="exact"/>
              <w:rPr>
                <w:sz w:val="20"/>
                <w:szCs w:val="20"/>
                <w:color w:val="auto"/>
              </w:rPr>
            </w:pPr>
            <w:r>
              <w:rPr>
                <w:rFonts w:ascii="Arial" w:cs="Arial" w:eastAsia="Arial" w:hAnsi="Arial"/>
                <w:sz w:val="8"/>
                <w:szCs w:val="8"/>
                <w:b w:val="1"/>
                <w:bCs w:val="1"/>
                <w:color w:val="auto"/>
              </w:rPr>
              <w:t>Engagement</w:t>
            </w:r>
          </w:p>
        </w:tc>
        <w:tc>
          <w:tcPr>
            <w:tcW w:w="8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7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0"/>
                <w:szCs w:val="10"/>
                <w:color w:val="auto"/>
              </w:rPr>
              <w:t># Transactions (millions)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615.1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1,127.7</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5"/>
              </w:rPr>
              <w:t>1,400.7</w:t>
            </w:r>
          </w:p>
        </w:tc>
        <w:tc>
          <w:tcPr>
            <w:tcW w:w="520" w:type="dxa"/>
            <w:vAlign w:val="bottom"/>
            <w:tcBorders>
              <w:bottom w:val="single" w:sz="8" w:color="auto"/>
            </w:tcBorders>
          </w:tcPr>
          <w:p>
            <w:pPr>
              <w:jc w:val="center"/>
              <w:ind w:left="132"/>
              <w:spacing w:after="0"/>
              <w:rPr>
                <w:sz w:val="20"/>
                <w:szCs w:val="20"/>
                <w:color w:val="auto"/>
              </w:rPr>
            </w:pPr>
            <w:r>
              <w:rPr>
                <w:rFonts w:ascii="Arial" w:cs="Arial" w:eastAsia="Arial" w:hAnsi="Arial"/>
                <w:sz w:val="10"/>
                <w:szCs w:val="10"/>
                <w:color w:val="auto"/>
                <w:w w:val="91"/>
              </w:rPr>
              <w:t>24.2%</w:t>
            </w:r>
          </w:p>
        </w:tc>
        <w:tc>
          <w:tcPr>
            <w:tcW w:w="1060" w:type="dxa"/>
            <w:vAlign w:val="bottom"/>
            <w:tcBorders>
              <w:bottom w:val="single" w:sz="8" w:color="auto"/>
              <w:right w:val="single" w:sz="8" w:color="auto"/>
            </w:tcBorders>
          </w:tcPr>
          <w:p>
            <w:pPr>
              <w:jc w:val="center"/>
              <w:ind w:left="132"/>
              <w:spacing w:after="0"/>
              <w:rPr>
                <w:sz w:val="20"/>
                <w:szCs w:val="20"/>
                <w:color w:val="auto"/>
              </w:rPr>
            </w:pPr>
            <w:r>
              <w:rPr>
                <w:rFonts w:ascii="Arial" w:cs="Arial" w:eastAsia="Arial" w:hAnsi="Arial"/>
                <w:sz w:val="10"/>
                <w:szCs w:val="10"/>
                <w:color w:val="auto"/>
                <w:w w:val="94"/>
              </w:rPr>
              <w:t>127.7%</w:t>
            </w:r>
          </w:p>
        </w:tc>
        <w:tc>
          <w:tcPr>
            <w:tcW w:w="640" w:type="dxa"/>
            <w:vAlign w:val="bottom"/>
            <w:tcBorders>
              <w:bottom w:val="single" w:sz="8" w:color="auto"/>
            </w:tcBorders>
          </w:tcPr>
          <w:p>
            <w:pPr>
              <w:jc w:val="center"/>
              <w:ind w:left="112"/>
              <w:spacing w:after="0"/>
              <w:rPr>
                <w:sz w:val="20"/>
                <w:szCs w:val="20"/>
                <w:color w:val="auto"/>
              </w:rPr>
            </w:pPr>
            <w:r>
              <w:rPr>
                <w:rFonts w:ascii="Arial" w:cs="Arial" w:eastAsia="Arial" w:hAnsi="Arial"/>
                <w:sz w:val="10"/>
                <w:szCs w:val="10"/>
                <w:color w:val="auto"/>
                <w:w w:val="95"/>
              </w:rPr>
              <w:t>1,095.4</w:t>
            </w:r>
          </w:p>
        </w:tc>
        <w:tc>
          <w:tcPr>
            <w:tcW w:w="1040" w:type="dxa"/>
            <w:vAlign w:val="bottom"/>
            <w:tcBorders>
              <w:bottom w:val="single" w:sz="8" w:color="auto"/>
              <w:right w:val="single" w:sz="8" w:color="auto"/>
            </w:tcBorders>
          </w:tcPr>
          <w:p>
            <w:pPr>
              <w:jc w:val="center"/>
              <w:ind w:left="112"/>
              <w:spacing w:after="0"/>
              <w:rPr>
                <w:sz w:val="20"/>
                <w:szCs w:val="20"/>
                <w:color w:val="auto"/>
              </w:rPr>
            </w:pPr>
            <w:r>
              <w:rPr>
                <w:rFonts w:ascii="Arial" w:cs="Arial" w:eastAsia="Arial" w:hAnsi="Arial"/>
                <w:sz w:val="10"/>
                <w:szCs w:val="10"/>
                <w:color w:val="auto"/>
                <w:w w:val="95"/>
              </w:rPr>
              <w:t>2,528.4</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4"/>
              </w:rPr>
              <w:t>130.8%</w:t>
            </w:r>
          </w:p>
        </w:tc>
        <w:tc>
          <w:tcPr>
            <w:tcW w:w="0" w:type="dxa"/>
            <w:vAlign w:val="bottom"/>
          </w:tcPr>
          <w:p>
            <w:pPr>
              <w:spacing w:after="0"/>
              <w:rPr>
                <w:sz w:val="1"/>
                <w:szCs w:val="1"/>
                <w:color w:val="auto"/>
              </w:rPr>
            </w:pPr>
          </w:p>
        </w:tc>
      </w:tr>
      <w:tr>
        <w:trPr>
          <w:trHeight w:val="75"/>
        </w:trPr>
        <w:tc>
          <w:tcPr>
            <w:tcW w:w="3740" w:type="dxa"/>
            <w:vAlign w:val="bottom"/>
            <w:tcBorders>
              <w:left w:val="single" w:sz="8" w:color="auto"/>
              <w:right w:val="single" w:sz="8" w:color="auto"/>
            </w:tcBorders>
          </w:tcPr>
          <w:p>
            <w:pPr>
              <w:ind w:left="100"/>
              <w:spacing w:after="0" w:line="75" w:lineRule="exact"/>
              <w:rPr>
                <w:sz w:val="20"/>
                <w:szCs w:val="20"/>
                <w:color w:val="auto"/>
              </w:rPr>
            </w:pPr>
            <w:r>
              <w:rPr>
                <w:rFonts w:ascii="Arial" w:cs="Arial" w:eastAsia="Arial" w:hAnsi="Arial"/>
                <w:sz w:val="8"/>
                <w:szCs w:val="8"/>
                <w:b w:val="1"/>
                <w:bCs w:val="1"/>
                <w:i w:val="1"/>
                <w:iCs w:val="1"/>
                <w:color w:val="auto"/>
              </w:rPr>
              <w:t>Experience</w:t>
            </w:r>
          </w:p>
        </w:tc>
        <w:tc>
          <w:tcPr>
            <w:tcW w:w="8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3740" w:type="dxa"/>
            <w:vAlign w:val="bottom"/>
            <w:tcBorders>
              <w:left w:val="single" w:sz="8" w:color="auto"/>
              <w:bottom w:val="single" w:sz="8" w:color="auto"/>
              <w:right w:val="single" w:sz="8" w:color="auto"/>
            </w:tcBorders>
          </w:tcPr>
          <w:p>
            <w:pPr>
              <w:ind w:left="100"/>
              <w:spacing w:after="0" w:line="122" w:lineRule="exact"/>
              <w:rPr>
                <w:sz w:val="20"/>
                <w:szCs w:val="20"/>
                <w:color w:val="auto"/>
              </w:rPr>
            </w:pPr>
            <w:r>
              <w:rPr>
                <w:rFonts w:ascii="Arial" w:cs="Arial" w:eastAsia="Arial" w:hAnsi="Arial"/>
                <w:sz w:val="9"/>
                <w:szCs w:val="9"/>
                <w:color w:val="auto"/>
              </w:rPr>
              <w:t xml:space="preserve">NPS </w:t>
            </w:r>
            <w:r>
              <w:rPr>
                <w:rFonts w:ascii="Arial" w:cs="Arial" w:eastAsia="Arial" w:hAnsi="Arial"/>
                <w:sz w:val="14"/>
                <w:szCs w:val="14"/>
                <w:color w:val="auto"/>
                <w:vertAlign w:val="superscript"/>
              </w:rPr>
              <w:t>(2)</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9"/>
              </w:rPr>
              <w:t>78</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78</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89"/>
              </w:rPr>
              <w:t>76</w:t>
            </w:r>
          </w:p>
        </w:tc>
        <w:tc>
          <w:tcPr>
            <w:tcW w:w="520" w:type="dxa"/>
            <w:vAlign w:val="bottom"/>
            <w:tcBorders>
              <w:bottom w:val="single" w:sz="8" w:color="auto"/>
            </w:tcBorders>
          </w:tcPr>
          <w:p>
            <w:pPr>
              <w:jc w:val="center"/>
              <w:ind w:left="132"/>
              <w:spacing w:after="0"/>
              <w:rPr>
                <w:sz w:val="20"/>
                <w:szCs w:val="20"/>
                <w:color w:val="auto"/>
              </w:rPr>
            </w:pPr>
            <w:r>
              <w:rPr>
                <w:rFonts w:ascii="Arial" w:cs="Arial" w:eastAsia="Arial" w:hAnsi="Arial"/>
                <w:sz w:val="10"/>
                <w:szCs w:val="10"/>
                <w:color w:val="auto"/>
                <w:w w:val="99"/>
              </w:rPr>
              <w:t>-2.0%</w:t>
            </w:r>
          </w:p>
        </w:tc>
        <w:tc>
          <w:tcPr>
            <w:tcW w:w="1060" w:type="dxa"/>
            <w:vAlign w:val="bottom"/>
            <w:tcBorders>
              <w:bottom w:val="single" w:sz="8" w:color="auto"/>
              <w:right w:val="single" w:sz="8" w:color="auto"/>
            </w:tcBorders>
          </w:tcPr>
          <w:p>
            <w:pPr>
              <w:jc w:val="center"/>
              <w:ind w:left="132"/>
              <w:spacing w:after="0"/>
              <w:rPr>
                <w:sz w:val="20"/>
                <w:szCs w:val="20"/>
                <w:color w:val="auto"/>
              </w:rPr>
            </w:pPr>
            <w:r>
              <w:rPr>
                <w:rFonts w:ascii="Arial" w:cs="Arial" w:eastAsia="Arial" w:hAnsi="Arial"/>
                <w:sz w:val="10"/>
                <w:szCs w:val="10"/>
                <w:color w:val="auto"/>
                <w:w w:val="91"/>
              </w:rPr>
              <w:t>-2.0%</w:t>
            </w:r>
          </w:p>
        </w:tc>
        <w:tc>
          <w:tcPr>
            <w:tcW w:w="640" w:type="dxa"/>
            <w:vAlign w:val="bottom"/>
            <w:tcBorders>
              <w:bottom w:val="single" w:sz="8" w:color="auto"/>
            </w:tcBorders>
          </w:tcPr>
          <w:p>
            <w:pPr>
              <w:jc w:val="center"/>
              <w:ind w:left="132"/>
              <w:spacing w:after="0"/>
              <w:rPr>
                <w:sz w:val="20"/>
                <w:szCs w:val="20"/>
                <w:color w:val="auto"/>
              </w:rPr>
            </w:pPr>
            <w:r>
              <w:rPr>
                <w:rFonts w:ascii="Arial" w:cs="Arial" w:eastAsia="Arial" w:hAnsi="Arial"/>
                <w:sz w:val="10"/>
                <w:szCs w:val="10"/>
                <w:color w:val="auto"/>
                <w:w w:val="89"/>
              </w:rPr>
              <w:t>78</w:t>
            </w:r>
          </w:p>
        </w:tc>
        <w:tc>
          <w:tcPr>
            <w:tcW w:w="1040" w:type="dxa"/>
            <w:vAlign w:val="bottom"/>
            <w:tcBorders>
              <w:bottom w:val="single" w:sz="8" w:color="auto"/>
              <w:right w:val="single" w:sz="8" w:color="auto"/>
            </w:tcBorders>
          </w:tcPr>
          <w:p>
            <w:pPr>
              <w:jc w:val="center"/>
              <w:ind w:left="112"/>
              <w:spacing w:after="0"/>
              <w:rPr>
                <w:sz w:val="20"/>
                <w:szCs w:val="20"/>
                <w:color w:val="auto"/>
              </w:rPr>
            </w:pPr>
            <w:r>
              <w:rPr>
                <w:rFonts w:ascii="Arial" w:cs="Arial" w:eastAsia="Arial" w:hAnsi="Arial"/>
                <w:sz w:val="10"/>
                <w:szCs w:val="10"/>
                <w:color w:val="auto"/>
              </w:rPr>
              <w:t>76</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1"/>
              </w:rPr>
              <w:t>-2.0%</w:t>
            </w:r>
          </w:p>
        </w:tc>
        <w:tc>
          <w:tcPr>
            <w:tcW w:w="0" w:type="dxa"/>
            <w:vAlign w:val="bottom"/>
          </w:tcPr>
          <w:p>
            <w:pPr>
              <w:spacing w:after="0"/>
              <w:rPr>
                <w:sz w:val="1"/>
                <w:szCs w:val="1"/>
                <w:color w:val="auto"/>
              </w:rPr>
            </w:pPr>
          </w:p>
        </w:tc>
      </w:tr>
      <w:tr>
        <w:trPr>
          <w:trHeight w:val="81"/>
        </w:trPr>
        <w:tc>
          <w:tcPr>
            <w:tcW w:w="3740" w:type="dxa"/>
            <w:vAlign w:val="bottom"/>
            <w:tcBorders>
              <w:left w:val="single" w:sz="8" w:color="auto"/>
              <w:right w:val="single" w:sz="8" w:color="auto"/>
            </w:tcBorders>
          </w:tcPr>
          <w:p>
            <w:pPr>
              <w:ind w:left="100"/>
              <w:spacing w:after="0" w:line="81" w:lineRule="exact"/>
              <w:rPr>
                <w:sz w:val="20"/>
                <w:szCs w:val="20"/>
                <w:color w:val="auto"/>
              </w:rPr>
            </w:pPr>
            <w:r>
              <w:rPr>
                <w:rFonts w:ascii="Arial" w:cs="Arial" w:eastAsia="Arial" w:hAnsi="Arial"/>
                <w:sz w:val="8"/>
                <w:szCs w:val="8"/>
                <w:b w:val="1"/>
                <w:bCs w:val="1"/>
                <w:i w:val="1"/>
                <w:iCs w:val="1"/>
                <w:color w:val="auto"/>
              </w:rPr>
              <w:t>Metric per Monthly Active User (MAU)</w:t>
            </w:r>
          </w:p>
        </w:tc>
        <w:tc>
          <w:tcPr>
            <w:tcW w:w="8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60" w:type="dxa"/>
            <w:vAlign w:val="bottom"/>
            <w:tcBorders>
              <w:right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3740" w:type="dxa"/>
            <w:vAlign w:val="bottom"/>
            <w:tcBorders>
              <w:left w:val="single" w:sz="8" w:color="auto"/>
              <w:right w:val="single" w:sz="8" w:color="auto"/>
            </w:tcBorders>
          </w:tcPr>
          <w:p>
            <w:pPr>
              <w:ind w:left="100"/>
              <w:spacing w:after="0" w:line="103" w:lineRule="exact"/>
              <w:rPr>
                <w:sz w:val="20"/>
                <w:szCs w:val="20"/>
                <w:color w:val="auto"/>
              </w:rPr>
            </w:pPr>
            <w:r>
              <w:rPr>
                <w:rFonts w:ascii="Arial" w:cs="Arial" w:eastAsia="Arial" w:hAnsi="Arial"/>
                <w:sz w:val="10"/>
                <w:szCs w:val="10"/>
                <w:color w:val="auto"/>
              </w:rPr>
              <w:t># Monthly Transactions / MAU</w:t>
            </w:r>
          </w:p>
        </w:tc>
        <w:tc>
          <w:tcPr>
            <w:tcW w:w="820" w:type="dxa"/>
            <w:vAlign w:val="bottom"/>
          </w:tcPr>
          <w:p>
            <w:pPr>
              <w:jc w:val="center"/>
              <w:spacing w:after="0" w:line="103" w:lineRule="exact"/>
              <w:rPr>
                <w:sz w:val="20"/>
                <w:szCs w:val="20"/>
                <w:color w:val="auto"/>
              </w:rPr>
            </w:pPr>
            <w:r>
              <w:rPr>
                <w:rFonts w:ascii="Arial" w:cs="Arial" w:eastAsia="Arial" w:hAnsi="Arial"/>
                <w:sz w:val="10"/>
                <w:szCs w:val="10"/>
                <w:color w:val="auto"/>
                <w:w w:val="89"/>
              </w:rPr>
              <w:t>25</w:t>
            </w:r>
          </w:p>
        </w:tc>
        <w:tc>
          <w:tcPr>
            <w:tcW w:w="880" w:type="dxa"/>
            <w:vAlign w:val="bottom"/>
          </w:tcPr>
          <w:p>
            <w:pPr>
              <w:jc w:val="center"/>
              <w:spacing w:after="0" w:line="103" w:lineRule="exact"/>
              <w:rPr>
                <w:sz w:val="20"/>
                <w:szCs w:val="20"/>
                <w:color w:val="auto"/>
              </w:rPr>
            </w:pPr>
            <w:r>
              <w:rPr>
                <w:rFonts w:ascii="Arial" w:cs="Arial" w:eastAsia="Arial" w:hAnsi="Arial"/>
                <w:sz w:val="10"/>
                <w:szCs w:val="10"/>
                <w:color w:val="auto"/>
              </w:rPr>
              <w:t>36</w:t>
            </w:r>
          </w:p>
        </w:tc>
        <w:tc>
          <w:tcPr>
            <w:tcW w:w="8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89"/>
              </w:rPr>
              <w:t>40</w:t>
            </w:r>
          </w:p>
        </w:tc>
        <w:tc>
          <w:tcPr>
            <w:tcW w:w="520" w:type="dxa"/>
            <w:vAlign w:val="bottom"/>
          </w:tcPr>
          <w:p>
            <w:pPr>
              <w:jc w:val="center"/>
              <w:ind w:left="132"/>
              <w:spacing w:after="0" w:line="103" w:lineRule="exact"/>
              <w:rPr>
                <w:sz w:val="20"/>
                <w:szCs w:val="20"/>
                <w:color w:val="auto"/>
              </w:rPr>
            </w:pPr>
            <w:r>
              <w:rPr>
                <w:rFonts w:ascii="Arial" w:cs="Arial" w:eastAsia="Arial" w:hAnsi="Arial"/>
                <w:sz w:val="10"/>
                <w:szCs w:val="10"/>
                <w:color w:val="auto"/>
                <w:w w:val="91"/>
              </w:rPr>
              <w:t>11.1%</w:t>
            </w:r>
          </w:p>
        </w:tc>
        <w:tc>
          <w:tcPr>
            <w:tcW w:w="1060" w:type="dxa"/>
            <w:vAlign w:val="bottom"/>
            <w:tcBorders>
              <w:right w:val="single" w:sz="8" w:color="auto"/>
            </w:tcBorders>
          </w:tcPr>
          <w:p>
            <w:pPr>
              <w:jc w:val="center"/>
              <w:ind w:left="132"/>
              <w:spacing w:after="0" w:line="103" w:lineRule="exact"/>
              <w:rPr>
                <w:sz w:val="20"/>
                <w:szCs w:val="20"/>
                <w:color w:val="auto"/>
              </w:rPr>
            </w:pPr>
            <w:r>
              <w:rPr>
                <w:rFonts w:ascii="Arial" w:cs="Arial" w:eastAsia="Arial" w:hAnsi="Arial"/>
                <w:sz w:val="10"/>
                <w:szCs w:val="10"/>
                <w:color w:val="auto"/>
                <w:w w:val="98"/>
              </w:rPr>
              <w:t>60.0%</w:t>
            </w:r>
          </w:p>
        </w:tc>
        <w:tc>
          <w:tcPr>
            <w:tcW w:w="640" w:type="dxa"/>
            <w:vAlign w:val="bottom"/>
          </w:tcPr>
          <w:p>
            <w:pPr>
              <w:jc w:val="center"/>
              <w:ind w:left="132"/>
              <w:spacing w:after="0" w:line="103" w:lineRule="exact"/>
              <w:rPr>
                <w:sz w:val="20"/>
                <w:szCs w:val="20"/>
                <w:color w:val="auto"/>
              </w:rPr>
            </w:pPr>
            <w:r>
              <w:rPr>
                <w:rFonts w:ascii="Arial" w:cs="Arial" w:eastAsia="Arial" w:hAnsi="Arial"/>
                <w:sz w:val="10"/>
                <w:szCs w:val="10"/>
                <w:color w:val="auto"/>
                <w:w w:val="89"/>
              </w:rPr>
              <w:t>25</w:t>
            </w:r>
          </w:p>
        </w:tc>
        <w:tc>
          <w:tcPr>
            <w:tcW w:w="1040" w:type="dxa"/>
            <w:vAlign w:val="bottom"/>
            <w:tcBorders>
              <w:right w:val="single" w:sz="8" w:color="auto"/>
            </w:tcBorders>
          </w:tcPr>
          <w:p>
            <w:pPr>
              <w:jc w:val="center"/>
              <w:ind w:left="112"/>
              <w:spacing w:after="0" w:line="103" w:lineRule="exact"/>
              <w:rPr>
                <w:sz w:val="20"/>
                <w:szCs w:val="20"/>
                <w:color w:val="auto"/>
              </w:rPr>
            </w:pPr>
            <w:r>
              <w:rPr>
                <w:rFonts w:ascii="Arial" w:cs="Arial" w:eastAsia="Arial" w:hAnsi="Arial"/>
                <w:sz w:val="10"/>
                <w:szCs w:val="10"/>
                <w:color w:val="auto"/>
              </w:rPr>
              <w:t>40</w:t>
            </w:r>
          </w:p>
        </w:tc>
        <w:tc>
          <w:tcPr>
            <w:tcW w:w="10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8"/>
              </w:rPr>
              <w:t>60.0%</w:t>
            </w:r>
          </w:p>
        </w:tc>
        <w:tc>
          <w:tcPr>
            <w:tcW w:w="0" w:type="dxa"/>
            <w:vAlign w:val="bottom"/>
          </w:tcPr>
          <w:p>
            <w:pPr>
              <w:spacing w:after="0"/>
              <w:rPr>
                <w:sz w:val="1"/>
                <w:szCs w:val="1"/>
                <w:color w:val="auto"/>
              </w:rPr>
            </w:pPr>
          </w:p>
        </w:tc>
      </w:tr>
      <w:tr>
        <w:trPr>
          <w:trHeight w:val="103"/>
        </w:trPr>
        <w:tc>
          <w:tcPr>
            <w:tcW w:w="3740" w:type="dxa"/>
            <w:vAlign w:val="bottom"/>
            <w:tcBorders>
              <w:left w:val="single" w:sz="8" w:color="auto"/>
              <w:right w:val="single" w:sz="8" w:color="auto"/>
            </w:tcBorders>
          </w:tcPr>
          <w:p>
            <w:pPr>
              <w:ind w:left="100"/>
              <w:spacing w:after="0" w:line="103" w:lineRule="exact"/>
              <w:rPr>
                <w:sz w:val="20"/>
                <w:szCs w:val="20"/>
                <w:color w:val="auto"/>
              </w:rPr>
            </w:pPr>
            <w:r>
              <w:rPr>
                <w:rFonts w:ascii="Arial" w:cs="Arial" w:eastAsia="Arial" w:hAnsi="Arial"/>
                <w:sz w:val="10"/>
                <w:szCs w:val="10"/>
                <w:color w:val="auto"/>
              </w:rPr>
              <w:t># Average Functionalities / MAU</w:t>
            </w:r>
          </w:p>
        </w:tc>
        <w:tc>
          <w:tcPr>
            <w:tcW w:w="820" w:type="dxa"/>
            <w:vAlign w:val="bottom"/>
          </w:tcPr>
          <w:p>
            <w:pPr>
              <w:jc w:val="center"/>
              <w:spacing w:after="0" w:line="103" w:lineRule="exact"/>
              <w:rPr>
                <w:sz w:val="20"/>
                <w:szCs w:val="20"/>
                <w:color w:val="auto"/>
              </w:rPr>
            </w:pPr>
            <w:r>
              <w:rPr>
                <w:rFonts w:ascii="Arial" w:cs="Arial" w:eastAsia="Arial" w:hAnsi="Arial"/>
                <w:sz w:val="10"/>
                <w:szCs w:val="10"/>
                <w:color w:val="auto"/>
                <w:w w:val="92"/>
              </w:rPr>
              <w:t>1.76</w:t>
            </w:r>
          </w:p>
        </w:tc>
        <w:tc>
          <w:tcPr>
            <w:tcW w:w="880" w:type="dxa"/>
            <w:vAlign w:val="bottom"/>
          </w:tcPr>
          <w:p>
            <w:pPr>
              <w:jc w:val="center"/>
              <w:spacing w:after="0" w:line="103" w:lineRule="exact"/>
              <w:rPr>
                <w:sz w:val="20"/>
                <w:szCs w:val="20"/>
                <w:color w:val="auto"/>
              </w:rPr>
            </w:pPr>
            <w:r>
              <w:rPr>
                <w:rFonts w:ascii="Arial" w:cs="Arial" w:eastAsia="Arial" w:hAnsi="Arial"/>
                <w:sz w:val="10"/>
                <w:szCs w:val="10"/>
                <w:color w:val="auto"/>
              </w:rPr>
              <w:t>2.21</w:t>
            </w:r>
          </w:p>
        </w:tc>
        <w:tc>
          <w:tcPr>
            <w:tcW w:w="8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2"/>
              </w:rPr>
              <w:t>2.27</w:t>
            </w:r>
          </w:p>
        </w:tc>
        <w:tc>
          <w:tcPr>
            <w:tcW w:w="520" w:type="dxa"/>
            <w:vAlign w:val="bottom"/>
          </w:tcPr>
          <w:p>
            <w:pPr>
              <w:jc w:val="center"/>
              <w:ind w:left="132"/>
              <w:spacing w:after="0" w:line="103" w:lineRule="exact"/>
              <w:rPr>
                <w:sz w:val="20"/>
                <w:szCs w:val="20"/>
                <w:color w:val="auto"/>
              </w:rPr>
            </w:pPr>
            <w:r>
              <w:rPr>
                <w:rFonts w:ascii="Arial" w:cs="Arial" w:eastAsia="Arial" w:hAnsi="Arial"/>
                <w:sz w:val="10"/>
                <w:szCs w:val="10"/>
                <w:color w:val="auto"/>
                <w:w w:val="96"/>
              </w:rPr>
              <w:t>2.7%</w:t>
            </w:r>
          </w:p>
        </w:tc>
        <w:tc>
          <w:tcPr>
            <w:tcW w:w="1060" w:type="dxa"/>
            <w:vAlign w:val="bottom"/>
            <w:tcBorders>
              <w:right w:val="single" w:sz="8" w:color="auto"/>
            </w:tcBorders>
          </w:tcPr>
          <w:p>
            <w:pPr>
              <w:jc w:val="center"/>
              <w:ind w:left="132"/>
              <w:spacing w:after="0" w:line="103" w:lineRule="exact"/>
              <w:rPr>
                <w:sz w:val="20"/>
                <w:szCs w:val="20"/>
                <w:color w:val="auto"/>
              </w:rPr>
            </w:pPr>
            <w:r>
              <w:rPr>
                <w:rFonts w:ascii="Arial" w:cs="Arial" w:eastAsia="Arial" w:hAnsi="Arial"/>
                <w:sz w:val="10"/>
                <w:szCs w:val="10"/>
                <w:color w:val="auto"/>
                <w:w w:val="98"/>
              </w:rPr>
              <w:t>29.0%</w:t>
            </w:r>
          </w:p>
        </w:tc>
        <w:tc>
          <w:tcPr>
            <w:tcW w:w="640" w:type="dxa"/>
            <w:vAlign w:val="bottom"/>
          </w:tcPr>
          <w:p>
            <w:pPr>
              <w:jc w:val="center"/>
              <w:ind w:left="132"/>
              <w:spacing w:after="0" w:line="103" w:lineRule="exact"/>
              <w:rPr>
                <w:sz w:val="20"/>
                <w:szCs w:val="20"/>
                <w:color w:val="auto"/>
              </w:rPr>
            </w:pPr>
            <w:r>
              <w:rPr>
                <w:rFonts w:ascii="Arial" w:cs="Arial" w:eastAsia="Arial" w:hAnsi="Arial"/>
                <w:sz w:val="10"/>
                <w:szCs w:val="10"/>
                <w:color w:val="auto"/>
                <w:w w:val="92"/>
              </w:rPr>
              <w:t>1.76</w:t>
            </w:r>
          </w:p>
        </w:tc>
        <w:tc>
          <w:tcPr>
            <w:tcW w:w="1040" w:type="dxa"/>
            <w:vAlign w:val="bottom"/>
            <w:tcBorders>
              <w:right w:val="single" w:sz="8" w:color="auto"/>
            </w:tcBorders>
          </w:tcPr>
          <w:p>
            <w:pPr>
              <w:jc w:val="center"/>
              <w:ind w:left="112"/>
              <w:spacing w:after="0" w:line="103" w:lineRule="exact"/>
              <w:rPr>
                <w:sz w:val="20"/>
                <w:szCs w:val="20"/>
                <w:color w:val="auto"/>
              </w:rPr>
            </w:pPr>
            <w:r>
              <w:rPr>
                <w:rFonts w:ascii="Arial" w:cs="Arial" w:eastAsia="Arial" w:hAnsi="Arial"/>
                <w:sz w:val="10"/>
                <w:szCs w:val="10"/>
                <w:color w:val="auto"/>
              </w:rPr>
              <w:t>2.27</w:t>
            </w:r>
          </w:p>
        </w:tc>
        <w:tc>
          <w:tcPr>
            <w:tcW w:w="10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8"/>
              </w:rPr>
              <w:t>29.0%</w:t>
            </w:r>
          </w:p>
        </w:tc>
        <w:tc>
          <w:tcPr>
            <w:tcW w:w="0" w:type="dxa"/>
            <w:vAlign w:val="bottom"/>
          </w:tcPr>
          <w:p>
            <w:pPr>
              <w:spacing w:after="0"/>
              <w:rPr>
                <w:sz w:val="1"/>
                <w:szCs w:val="1"/>
                <w:color w:val="auto"/>
              </w:rPr>
            </w:pPr>
          </w:p>
        </w:tc>
      </w:tr>
      <w:tr>
        <w:trPr>
          <w:trHeight w:val="103"/>
        </w:trPr>
        <w:tc>
          <w:tcPr>
            <w:tcW w:w="3740" w:type="dxa"/>
            <w:vAlign w:val="bottom"/>
            <w:tcBorders>
              <w:left w:val="single" w:sz="8" w:color="auto"/>
              <w:right w:val="single" w:sz="8" w:color="auto"/>
            </w:tcBorders>
          </w:tcPr>
          <w:p>
            <w:pPr>
              <w:ind w:left="100"/>
              <w:spacing w:after="0" w:line="103" w:lineRule="exact"/>
              <w:rPr>
                <w:sz w:val="20"/>
                <w:szCs w:val="20"/>
                <w:color w:val="auto"/>
              </w:rPr>
            </w:pPr>
            <w:r>
              <w:rPr>
                <w:rFonts w:ascii="Arial" w:cs="Arial" w:eastAsia="Arial" w:hAnsi="Arial"/>
                <w:sz w:val="10"/>
                <w:szCs w:val="10"/>
                <w:color w:val="auto"/>
              </w:rPr>
              <w:t>Monthly Revenues / MAU</w:t>
            </w:r>
          </w:p>
        </w:tc>
        <w:tc>
          <w:tcPr>
            <w:tcW w:w="820" w:type="dxa"/>
            <w:vAlign w:val="bottom"/>
          </w:tcPr>
          <w:p>
            <w:pPr>
              <w:jc w:val="center"/>
              <w:spacing w:after="0" w:line="103" w:lineRule="exact"/>
              <w:rPr>
                <w:sz w:val="20"/>
                <w:szCs w:val="20"/>
                <w:color w:val="auto"/>
              </w:rPr>
            </w:pPr>
            <w:r>
              <w:rPr>
                <w:rFonts w:ascii="Arial" w:cs="Arial" w:eastAsia="Arial" w:hAnsi="Arial"/>
                <w:sz w:val="10"/>
                <w:szCs w:val="10"/>
                <w:color w:val="auto"/>
              </w:rPr>
              <w:t>2.3</w:t>
            </w:r>
          </w:p>
        </w:tc>
        <w:tc>
          <w:tcPr>
            <w:tcW w:w="880" w:type="dxa"/>
            <w:vAlign w:val="bottom"/>
          </w:tcPr>
          <w:p>
            <w:pPr>
              <w:jc w:val="center"/>
              <w:spacing w:after="0" w:line="103" w:lineRule="exact"/>
              <w:rPr>
                <w:sz w:val="20"/>
                <w:szCs w:val="20"/>
                <w:color w:val="auto"/>
              </w:rPr>
            </w:pPr>
            <w:r>
              <w:rPr>
                <w:rFonts w:ascii="Arial" w:cs="Arial" w:eastAsia="Arial" w:hAnsi="Arial"/>
                <w:sz w:val="10"/>
                <w:szCs w:val="10"/>
                <w:color w:val="auto"/>
                <w:w w:val="85"/>
              </w:rPr>
              <w:t>3.7</w:t>
            </w:r>
          </w:p>
        </w:tc>
        <w:tc>
          <w:tcPr>
            <w:tcW w:w="8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rPr>
              <w:t>4.1</w:t>
            </w:r>
          </w:p>
        </w:tc>
        <w:tc>
          <w:tcPr>
            <w:tcW w:w="520" w:type="dxa"/>
            <w:vAlign w:val="bottom"/>
          </w:tcPr>
          <w:p>
            <w:pPr>
              <w:jc w:val="center"/>
              <w:ind w:left="132"/>
              <w:spacing w:after="0" w:line="103" w:lineRule="exact"/>
              <w:rPr>
                <w:sz w:val="20"/>
                <w:szCs w:val="20"/>
                <w:color w:val="auto"/>
              </w:rPr>
            </w:pPr>
            <w:r>
              <w:rPr>
                <w:rFonts w:ascii="Arial" w:cs="Arial" w:eastAsia="Arial" w:hAnsi="Arial"/>
                <w:sz w:val="10"/>
                <w:szCs w:val="10"/>
                <w:color w:val="auto"/>
                <w:w w:val="91"/>
              </w:rPr>
              <w:t>10.8%</w:t>
            </w:r>
          </w:p>
        </w:tc>
        <w:tc>
          <w:tcPr>
            <w:tcW w:w="1060" w:type="dxa"/>
            <w:vAlign w:val="bottom"/>
            <w:tcBorders>
              <w:right w:val="single" w:sz="8" w:color="auto"/>
            </w:tcBorders>
          </w:tcPr>
          <w:p>
            <w:pPr>
              <w:jc w:val="center"/>
              <w:ind w:left="132"/>
              <w:spacing w:after="0" w:line="103" w:lineRule="exact"/>
              <w:rPr>
                <w:sz w:val="20"/>
                <w:szCs w:val="20"/>
                <w:color w:val="auto"/>
              </w:rPr>
            </w:pPr>
            <w:r>
              <w:rPr>
                <w:rFonts w:ascii="Arial" w:cs="Arial" w:eastAsia="Arial" w:hAnsi="Arial"/>
                <w:sz w:val="10"/>
                <w:szCs w:val="10"/>
                <w:color w:val="auto"/>
                <w:w w:val="98"/>
              </w:rPr>
              <w:t>78.3%</w:t>
            </w:r>
          </w:p>
        </w:tc>
        <w:tc>
          <w:tcPr>
            <w:tcW w:w="640" w:type="dxa"/>
            <w:vAlign w:val="bottom"/>
          </w:tcPr>
          <w:p>
            <w:pPr>
              <w:jc w:val="center"/>
              <w:ind w:left="132"/>
              <w:spacing w:after="0" w:line="103" w:lineRule="exact"/>
              <w:rPr>
                <w:sz w:val="20"/>
                <w:szCs w:val="20"/>
                <w:color w:val="auto"/>
              </w:rPr>
            </w:pPr>
            <w:r>
              <w:rPr>
                <w:rFonts w:ascii="Arial" w:cs="Arial" w:eastAsia="Arial" w:hAnsi="Arial"/>
                <w:sz w:val="10"/>
                <w:szCs w:val="10"/>
                <w:color w:val="auto"/>
              </w:rPr>
              <w:t>2.3</w:t>
            </w:r>
          </w:p>
        </w:tc>
        <w:tc>
          <w:tcPr>
            <w:tcW w:w="1040" w:type="dxa"/>
            <w:vAlign w:val="bottom"/>
            <w:tcBorders>
              <w:right w:val="single" w:sz="8" w:color="auto"/>
            </w:tcBorders>
          </w:tcPr>
          <w:p>
            <w:pPr>
              <w:jc w:val="center"/>
              <w:ind w:left="112"/>
              <w:spacing w:after="0" w:line="103" w:lineRule="exact"/>
              <w:rPr>
                <w:sz w:val="20"/>
                <w:szCs w:val="20"/>
                <w:color w:val="auto"/>
              </w:rPr>
            </w:pPr>
            <w:r>
              <w:rPr>
                <w:rFonts w:ascii="Arial" w:cs="Arial" w:eastAsia="Arial" w:hAnsi="Arial"/>
                <w:sz w:val="10"/>
                <w:szCs w:val="10"/>
                <w:color w:val="auto"/>
                <w:w w:val="85"/>
              </w:rPr>
              <w:t>4.1</w:t>
            </w:r>
          </w:p>
        </w:tc>
        <w:tc>
          <w:tcPr>
            <w:tcW w:w="10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8"/>
              </w:rPr>
              <w:t>78.3%</w:t>
            </w:r>
          </w:p>
        </w:tc>
        <w:tc>
          <w:tcPr>
            <w:tcW w:w="0" w:type="dxa"/>
            <w:vAlign w:val="bottom"/>
          </w:tcPr>
          <w:p>
            <w:pPr>
              <w:spacing w:after="0"/>
              <w:rPr>
                <w:sz w:val="1"/>
                <w:szCs w:val="1"/>
                <w:color w:val="auto"/>
              </w:rPr>
            </w:pPr>
          </w:p>
        </w:tc>
      </w:tr>
      <w:tr>
        <w:trPr>
          <w:trHeight w:val="103"/>
        </w:trPr>
        <w:tc>
          <w:tcPr>
            <w:tcW w:w="3740" w:type="dxa"/>
            <w:vAlign w:val="bottom"/>
            <w:tcBorders>
              <w:left w:val="single" w:sz="8" w:color="auto"/>
              <w:right w:val="single" w:sz="8" w:color="auto"/>
            </w:tcBorders>
          </w:tcPr>
          <w:p>
            <w:pPr>
              <w:ind w:left="100"/>
              <w:spacing w:after="0" w:line="103" w:lineRule="exact"/>
              <w:rPr>
                <w:sz w:val="20"/>
                <w:szCs w:val="20"/>
                <w:color w:val="auto"/>
              </w:rPr>
            </w:pPr>
            <w:r>
              <w:rPr>
                <w:rFonts w:ascii="Arial" w:cs="Arial" w:eastAsia="Arial" w:hAnsi="Arial"/>
                <w:sz w:val="10"/>
                <w:szCs w:val="10"/>
                <w:color w:val="auto"/>
              </w:rPr>
              <w:t>Monthly Expenses / MAU</w:t>
            </w:r>
          </w:p>
        </w:tc>
        <w:tc>
          <w:tcPr>
            <w:tcW w:w="820" w:type="dxa"/>
            <w:vAlign w:val="bottom"/>
          </w:tcPr>
          <w:p>
            <w:pPr>
              <w:jc w:val="center"/>
              <w:spacing w:after="0" w:line="103" w:lineRule="exact"/>
              <w:rPr>
                <w:sz w:val="20"/>
                <w:szCs w:val="20"/>
                <w:color w:val="auto"/>
              </w:rPr>
            </w:pPr>
            <w:r>
              <w:rPr>
                <w:rFonts w:ascii="Arial" w:cs="Arial" w:eastAsia="Arial" w:hAnsi="Arial"/>
                <w:sz w:val="10"/>
                <w:szCs w:val="10"/>
                <w:color w:val="auto"/>
              </w:rPr>
              <w:t>3.6</w:t>
            </w:r>
          </w:p>
        </w:tc>
        <w:tc>
          <w:tcPr>
            <w:tcW w:w="880" w:type="dxa"/>
            <w:vAlign w:val="bottom"/>
          </w:tcPr>
          <w:p>
            <w:pPr>
              <w:jc w:val="center"/>
              <w:spacing w:after="0" w:line="103" w:lineRule="exact"/>
              <w:rPr>
                <w:sz w:val="20"/>
                <w:szCs w:val="20"/>
                <w:color w:val="auto"/>
              </w:rPr>
            </w:pPr>
            <w:r>
              <w:rPr>
                <w:rFonts w:ascii="Arial" w:cs="Arial" w:eastAsia="Arial" w:hAnsi="Arial"/>
                <w:sz w:val="10"/>
                <w:szCs w:val="10"/>
                <w:color w:val="auto"/>
                <w:w w:val="85"/>
              </w:rPr>
              <w:t>3.9</w:t>
            </w:r>
          </w:p>
        </w:tc>
        <w:tc>
          <w:tcPr>
            <w:tcW w:w="8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rPr>
              <w:t>4.0</w:t>
            </w:r>
          </w:p>
        </w:tc>
        <w:tc>
          <w:tcPr>
            <w:tcW w:w="520" w:type="dxa"/>
            <w:vAlign w:val="bottom"/>
          </w:tcPr>
          <w:p>
            <w:pPr>
              <w:jc w:val="center"/>
              <w:ind w:left="132"/>
              <w:spacing w:after="0" w:line="103" w:lineRule="exact"/>
              <w:rPr>
                <w:sz w:val="20"/>
                <w:szCs w:val="20"/>
                <w:color w:val="auto"/>
              </w:rPr>
            </w:pPr>
            <w:r>
              <w:rPr>
                <w:rFonts w:ascii="Arial" w:cs="Arial" w:eastAsia="Arial" w:hAnsi="Arial"/>
                <w:sz w:val="10"/>
                <w:szCs w:val="10"/>
                <w:color w:val="auto"/>
                <w:w w:val="96"/>
              </w:rPr>
              <w:t>2.6%</w:t>
            </w:r>
          </w:p>
        </w:tc>
        <w:tc>
          <w:tcPr>
            <w:tcW w:w="1060" w:type="dxa"/>
            <w:vAlign w:val="bottom"/>
            <w:tcBorders>
              <w:right w:val="single" w:sz="8" w:color="auto"/>
            </w:tcBorders>
          </w:tcPr>
          <w:p>
            <w:pPr>
              <w:jc w:val="center"/>
              <w:ind w:left="112"/>
              <w:spacing w:after="0" w:line="103" w:lineRule="exact"/>
              <w:rPr>
                <w:sz w:val="20"/>
                <w:szCs w:val="20"/>
                <w:color w:val="auto"/>
              </w:rPr>
            </w:pPr>
            <w:r>
              <w:rPr>
                <w:rFonts w:ascii="Arial" w:cs="Arial" w:eastAsia="Arial" w:hAnsi="Arial"/>
                <w:sz w:val="10"/>
                <w:szCs w:val="10"/>
                <w:color w:val="auto"/>
                <w:w w:val="91"/>
              </w:rPr>
              <w:t>11.1%</w:t>
            </w:r>
          </w:p>
        </w:tc>
        <w:tc>
          <w:tcPr>
            <w:tcW w:w="640" w:type="dxa"/>
            <w:vAlign w:val="bottom"/>
          </w:tcPr>
          <w:p>
            <w:pPr>
              <w:jc w:val="center"/>
              <w:ind w:left="132"/>
              <w:spacing w:after="0" w:line="103" w:lineRule="exact"/>
              <w:rPr>
                <w:sz w:val="20"/>
                <w:szCs w:val="20"/>
                <w:color w:val="auto"/>
              </w:rPr>
            </w:pPr>
            <w:r>
              <w:rPr>
                <w:rFonts w:ascii="Arial" w:cs="Arial" w:eastAsia="Arial" w:hAnsi="Arial"/>
                <w:sz w:val="10"/>
                <w:szCs w:val="10"/>
                <w:color w:val="auto"/>
              </w:rPr>
              <w:t>3.6</w:t>
            </w:r>
          </w:p>
        </w:tc>
        <w:tc>
          <w:tcPr>
            <w:tcW w:w="1040" w:type="dxa"/>
            <w:vAlign w:val="bottom"/>
            <w:tcBorders>
              <w:right w:val="single" w:sz="8" w:color="auto"/>
            </w:tcBorders>
          </w:tcPr>
          <w:p>
            <w:pPr>
              <w:jc w:val="center"/>
              <w:ind w:left="112"/>
              <w:spacing w:after="0" w:line="103" w:lineRule="exact"/>
              <w:rPr>
                <w:sz w:val="20"/>
                <w:szCs w:val="20"/>
                <w:color w:val="auto"/>
              </w:rPr>
            </w:pPr>
            <w:r>
              <w:rPr>
                <w:rFonts w:ascii="Arial" w:cs="Arial" w:eastAsia="Arial" w:hAnsi="Arial"/>
                <w:sz w:val="10"/>
                <w:szCs w:val="10"/>
                <w:color w:val="auto"/>
                <w:w w:val="85"/>
              </w:rPr>
              <w:t>4.0</w:t>
            </w:r>
          </w:p>
        </w:tc>
        <w:tc>
          <w:tcPr>
            <w:tcW w:w="10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8"/>
              </w:rPr>
              <w:t>11.1%</w:t>
            </w:r>
          </w:p>
        </w:tc>
        <w:tc>
          <w:tcPr>
            <w:tcW w:w="0" w:type="dxa"/>
            <w:vAlign w:val="bottom"/>
          </w:tcPr>
          <w:p>
            <w:pPr>
              <w:spacing w:after="0"/>
              <w:rPr>
                <w:sz w:val="1"/>
                <w:szCs w:val="1"/>
                <w:color w:val="auto"/>
              </w:rPr>
            </w:pPr>
          </w:p>
        </w:tc>
      </w:tr>
      <w:tr>
        <w:trPr>
          <w:trHeight w:val="115"/>
        </w:trPr>
        <w:tc>
          <w:tcPr>
            <w:tcW w:w="37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0"/>
                <w:szCs w:val="10"/>
                <w:color w:val="auto"/>
              </w:rPr>
              <w:t>Monthly Cash Cost / MAU</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4.3</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5"/>
              </w:rPr>
              <w:t>4.2</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rPr>
              <w:t>4.3</w:t>
            </w:r>
          </w:p>
        </w:tc>
        <w:tc>
          <w:tcPr>
            <w:tcW w:w="520" w:type="dxa"/>
            <w:vAlign w:val="bottom"/>
            <w:tcBorders>
              <w:bottom w:val="single" w:sz="8" w:color="auto"/>
            </w:tcBorders>
          </w:tcPr>
          <w:p>
            <w:pPr>
              <w:jc w:val="center"/>
              <w:ind w:left="132"/>
              <w:spacing w:after="0"/>
              <w:rPr>
                <w:sz w:val="20"/>
                <w:szCs w:val="20"/>
                <w:color w:val="auto"/>
              </w:rPr>
            </w:pPr>
            <w:r>
              <w:rPr>
                <w:rFonts w:ascii="Arial" w:cs="Arial" w:eastAsia="Arial" w:hAnsi="Arial"/>
                <w:sz w:val="10"/>
                <w:szCs w:val="10"/>
                <w:color w:val="auto"/>
                <w:w w:val="96"/>
              </w:rPr>
              <w:t>2.4%</w:t>
            </w:r>
          </w:p>
        </w:tc>
        <w:tc>
          <w:tcPr>
            <w:tcW w:w="1060" w:type="dxa"/>
            <w:vAlign w:val="bottom"/>
            <w:tcBorders>
              <w:bottom w:val="single" w:sz="8" w:color="auto"/>
              <w:right w:val="single" w:sz="8" w:color="auto"/>
            </w:tcBorders>
          </w:tcPr>
          <w:p>
            <w:pPr>
              <w:jc w:val="center"/>
              <w:ind w:left="112"/>
              <w:spacing w:after="0"/>
              <w:rPr>
                <w:sz w:val="20"/>
                <w:szCs w:val="20"/>
                <w:color w:val="auto"/>
              </w:rPr>
            </w:pPr>
            <w:r>
              <w:rPr>
                <w:rFonts w:ascii="Arial" w:cs="Arial" w:eastAsia="Arial" w:hAnsi="Arial"/>
                <w:sz w:val="10"/>
                <w:szCs w:val="10"/>
                <w:color w:val="auto"/>
                <w:w w:val="96"/>
              </w:rPr>
              <w:t>0.0%</w:t>
            </w:r>
          </w:p>
        </w:tc>
        <w:tc>
          <w:tcPr>
            <w:tcW w:w="640" w:type="dxa"/>
            <w:vAlign w:val="bottom"/>
            <w:tcBorders>
              <w:bottom w:val="single" w:sz="8" w:color="auto"/>
            </w:tcBorders>
          </w:tcPr>
          <w:p>
            <w:pPr>
              <w:jc w:val="center"/>
              <w:ind w:left="132"/>
              <w:spacing w:after="0"/>
              <w:rPr>
                <w:sz w:val="20"/>
                <w:szCs w:val="20"/>
                <w:color w:val="auto"/>
              </w:rPr>
            </w:pPr>
            <w:r>
              <w:rPr>
                <w:rFonts w:ascii="Arial" w:cs="Arial" w:eastAsia="Arial" w:hAnsi="Arial"/>
                <w:sz w:val="10"/>
                <w:szCs w:val="10"/>
                <w:color w:val="auto"/>
              </w:rPr>
              <w:t>4.3</w:t>
            </w:r>
          </w:p>
        </w:tc>
        <w:tc>
          <w:tcPr>
            <w:tcW w:w="1040" w:type="dxa"/>
            <w:vAlign w:val="bottom"/>
            <w:tcBorders>
              <w:bottom w:val="single" w:sz="8" w:color="auto"/>
              <w:right w:val="single" w:sz="8" w:color="auto"/>
            </w:tcBorders>
          </w:tcPr>
          <w:p>
            <w:pPr>
              <w:jc w:val="center"/>
              <w:ind w:left="112"/>
              <w:spacing w:after="0"/>
              <w:rPr>
                <w:sz w:val="20"/>
                <w:szCs w:val="20"/>
                <w:color w:val="auto"/>
              </w:rPr>
            </w:pPr>
            <w:r>
              <w:rPr>
                <w:rFonts w:ascii="Arial" w:cs="Arial" w:eastAsia="Arial" w:hAnsi="Arial"/>
                <w:sz w:val="10"/>
                <w:szCs w:val="10"/>
                <w:color w:val="auto"/>
                <w:w w:val="85"/>
              </w:rPr>
              <w:t>4.3</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0.0%</w:t>
            </w:r>
          </w:p>
        </w:tc>
        <w:tc>
          <w:tcPr>
            <w:tcW w:w="0" w:type="dxa"/>
            <w:vAlign w:val="bottom"/>
          </w:tcPr>
          <w:p>
            <w:pPr>
              <w:spacing w:after="0"/>
              <w:rPr>
                <w:sz w:val="1"/>
                <w:szCs w:val="1"/>
                <w:color w:val="auto"/>
              </w:rPr>
            </w:pPr>
          </w:p>
        </w:tc>
      </w:tr>
      <w:tr>
        <w:trPr>
          <w:trHeight w:val="79"/>
        </w:trPr>
        <w:tc>
          <w:tcPr>
            <w:tcW w:w="3740" w:type="dxa"/>
            <w:vAlign w:val="bottom"/>
            <w:tcBorders>
              <w:left w:val="single" w:sz="8" w:color="auto"/>
              <w:right w:val="single" w:sz="8" w:color="auto"/>
            </w:tcBorders>
          </w:tcPr>
          <w:p>
            <w:pPr>
              <w:ind w:left="100"/>
              <w:spacing w:after="0" w:line="79" w:lineRule="exact"/>
              <w:rPr>
                <w:sz w:val="20"/>
                <w:szCs w:val="20"/>
                <w:color w:val="auto"/>
              </w:rPr>
            </w:pPr>
            <w:r>
              <w:rPr>
                <w:rFonts w:ascii="Arial" w:cs="Arial" w:eastAsia="Arial" w:hAnsi="Arial"/>
                <w:sz w:val="8"/>
                <w:szCs w:val="8"/>
                <w:b w:val="1"/>
                <w:bCs w:val="1"/>
                <w:color w:val="auto"/>
              </w:rPr>
              <w:t>Drivers Monetización</w:t>
            </w:r>
          </w:p>
        </w:tc>
        <w:tc>
          <w:tcPr>
            <w:tcW w:w="8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Borders>
              <w:right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740" w:type="dxa"/>
            <w:vAlign w:val="bottom"/>
            <w:tcBorders>
              <w:left w:val="single" w:sz="8" w:color="auto"/>
              <w:right w:val="single" w:sz="8" w:color="auto"/>
            </w:tcBorders>
          </w:tcPr>
          <w:p>
            <w:pPr>
              <w:ind w:left="100"/>
              <w:spacing w:after="0" w:line="99" w:lineRule="exact"/>
              <w:rPr>
                <w:sz w:val="20"/>
                <w:szCs w:val="20"/>
                <w:color w:val="auto"/>
              </w:rPr>
            </w:pPr>
            <w:r>
              <w:rPr>
                <w:rFonts w:ascii="Arial" w:cs="Arial" w:eastAsia="Arial" w:hAnsi="Arial"/>
                <w:sz w:val="10"/>
                <w:szCs w:val="10"/>
                <w:b w:val="1"/>
                <w:bCs w:val="1"/>
                <w:color w:val="auto"/>
              </w:rPr>
              <w:t>Payments</w:t>
            </w: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740" w:type="dxa"/>
            <w:vAlign w:val="bottom"/>
            <w:tcBorders>
              <w:left w:val="single" w:sz="8" w:color="auto"/>
              <w:right w:val="single" w:sz="8" w:color="auto"/>
            </w:tcBorders>
          </w:tcPr>
          <w:p>
            <w:pPr>
              <w:ind w:left="100"/>
              <w:spacing w:after="0" w:line="109" w:lineRule="exact"/>
              <w:rPr>
                <w:sz w:val="20"/>
                <w:szCs w:val="20"/>
                <w:color w:val="auto"/>
              </w:rPr>
            </w:pPr>
            <w:r>
              <w:rPr>
                <w:rFonts w:ascii="Arial" w:cs="Arial" w:eastAsia="Arial" w:hAnsi="Arial"/>
                <w:sz w:val="8"/>
                <w:szCs w:val="8"/>
                <w:color w:val="auto"/>
              </w:rPr>
              <w:t xml:space="preserve">TPV </w:t>
            </w:r>
            <w:r>
              <w:rPr>
                <w:rFonts w:ascii="Arial" w:cs="Arial" w:eastAsia="Arial" w:hAnsi="Arial"/>
                <w:sz w:val="12"/>
                <w:szCs w:val="12"/>
                <w:color w:val="auto"/>
                <w:vertAlign w:val="superscript"/>
              </w:rPr>
              <w:t>(3)</w:t>
            </w:r>
          </w:p>
        </w:tc>
        <w:tc>
          <w:tcPr>
            <w:tcW w:w="820" w:type="dxa"/>
            <w:vAlign w:val="bottom"/>
          </w:tcPr>
          <w:p>
            <w:pPr>
              <w:jc w:val="center"/>
              <w:spacing w:after="0" w:line="109" w:lineRule="exact"/>
              <w:rPr>
                <w:sz w:val="20"/>
                <w:szCs w:val="20"/>
                <w:color w:val="auto"/>
              </w:rPr>
            </w:pPr>
            <w:r>
              <w:rPr>
                <w:rFonts w:ascii="Arial" w:cs="Arial" w:eastAsia="Arial" w:hAnsi="Arial"/>
                <w:sz w:val="10"/>
                <w:szCs w:val="10"/>
                <w:color w:val="auto"/>
                <w:w w:val="92"/>
              </w:rPr>
              <w:t>29.4</w:t>
            </w:r>
          </w:p>
        </w:tc>
        <w:tc>
          <w:tcPr>
            <w:tcW w:w="880" w:type="dxa"/>
            <w:vAlign w:val="bottom"/>
          </w:tcPr>
          <w:p>
            <w:pPr>
              <w:jc w:val="center"/>
              <w:spacing w:after="0" w:line="109" w:lineRule="exact"/>
              <w:rPr>
                <w:sz w:val="20"/>
                <w:szCs w:val="20"/>
                <w:color w:val="auto"/>
              </w:rPr>
            </w:pPr>
            <w:r>
              <w:rPr>
                <w:rFonts w:ascii="Arial" w:cs="Arial" w:eastAsia="Arial" w:hAnsi="Arial"/>
                <w:sz w:val="10"/>
                <w:szCs w:val="10"/>
                <w:color w:val="auto"/>
              </w:rPr>
              <w:t>50.4</w:t>
            </w:r>
          </w:p>
        </w:tc>
        <w:tc>
          <w:tcPr>
            <w:tcW w:w="86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0"/>
                <w:szCs w:val="10"/>
                <w:color w:val="auto"/>
                <w:w w:val="92"/>
              </w:rPr>
              <w:t>62.1</w:t>
            </w:r>
          </w:p>
        </w:tc>
        <w:tc>
          <w:tcPr>
            <w:tcW w:w="520" w:type="dxa"/>
            <w:vAlign w:val="bottom"/>
          </w:tcPr>
          <w:p>
            <w:pPr>
              <w:jc w:val="center"/>
              <w:ind w:left="132"/>
              <w:spacing w:after="0" w:line="109" w:lineRule="exact"/>
              <w:rPr>
                <w:sz w:val="20"/>
                <w:szCs w:val="20"/>
                <w:color w:val="auto"/>
              </w:rPr>
            </w:pPr>
            <w:r>
              <w:rPr>
                <w:rFonts w:ascii="Arial" w:cs="Arial" w:eastAsia="Arial" w:hAnsi="Arial"/>
                <w:sz w:val="10"/>
                <w:szCs w:val="10"/>
                <w:color w:val="auto"/>
                <w:w w:val="91"/>
              </w:rPr>
              <w:t>23.0%</w:t>
            </w:r>
          </w:p>
        </w:tc>
        <w:tc>
          <w:tcPr>
            <w:tcW w:w="1060" w:type="dxa"/>
            <w:vAlign w:val="bottom"/>
            <w:tcBorders>
              <w:right w:val="single" w:sz="8" w:color="auto"/>
            </w:tcBorders>
          </w:tcPr>
          <w:p>
            <w:pPr>
              <w:jc w:val="center"/>
              <w:ind w:left="132"/>
              <w:spacing w:after="0" w:line="109" w:lineRule="exact"/>
              <w:rPr>
                <w:sz w:val="20"/>
                <w:szCs w:val="20"/>
                <w:color w:val="auto"/>
              </w:rPr>
            </w:pPr>
            <w:r>
              <w:rPr>
                <w:rFonts w:ascii="Arial" w:cs="Arial" w:eastAsia="Arial" w:hAnsi="Arial"/>
                <w:sz w:val="10"/>
                <w:szCs w:val="10"/>
                <w:color w:val="auto"/>
                <w:w w:val="94"/>
              </w:rPr>
              <w:t>110.9%</w:t>
            </w:r>
          </w:p>
        </w:tc>
        <w:tc>
          <w:tcPr>
            <w:tcW w:w="640" w:type="dxa"/>
            <w:vAlign w:val="bottom"/>
          </w:tcPr>
          <w:p>
            <w:pPr>
              <w:jc w:val="center"/>
              <w:ind w:left="132"/>
              <w:spacing w:after="0" w:line="109" w:lineRule="exact"/>
              <w:rPr>
                <w:sz w:val="20"/>
                <w:szCs w:val="20"/>
                <w:color w:val="auto"/>
              </w:rPr>
            </w:pPr>
            <w:r>
              <w:rPr>
                <w:rFonts w:ascii="Arial" w:cs="Arial" w:eastAsia="Arial" w:hAnsi="Arial"/>
                <w:sz w:val="10"/>
                <w:szCs w:val="10"/>
                <w:color w:val="auto"/>
                <w:w w:val="92"/>
              </w:rPr>
              <w:t>53.5</w:t>
            </w:r>
          </w:p>
        </w:tc>
        <w:tc>
          <w:tcPr>
            <w:tcW w:w="1040" w:type="dxa"/>
            <w:vAlign w:val="bottom"/>
            <w:tcBorders>
              <w:right w:val="single" w:sz="8" w:color="auto"/>
            </w:tcBorders>
          </w:tcPr>
          <w:p>
            <w:pPr>
              <w:jc w:val="center"/>
              <w:ind w:left="112"/>
              <w:spacing w:after="0" w:line="109" w:lineRule="exact"/>
              <w:rPr>
                <w:sz w:val="20"/>
                <w:szCs w:val="20"/>
                <w:color w:val="auto"/>
              </w:rPr>
            </w:pPr>
            <w:r>
              <w:rPr>
                <w:rFonts w:ascii="Arial" w:cs="Arial" w:eastAsia="Arial" w:hAnsi="Arial"/>
                <w:sz w:val="10"/>
                <w:szCs w:val="10"/>
                <w:color w:val="auto"/>
                <w:w w:val="95"/>
              </w:rPr>
              <w:t>112.5</w:t>
            </w:r>
          </w:p>
        </w:tc>
        <w:tc>
          <w:tcPr>
            <w:tcW w:w="106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0"/>
                <w:szCs w:val="10"/>
                <w:color w:val="auto"/>
                <w:w w:val="94"/>
              </w:rPr>
              <w:t>110.4%</w:t>
            </w:r>
          </w:p>
        </w:tc>
        <w:tc>
          <w:tcPr>
            <w:tcW w:w="0" w:type="dxa"/>
            <w:vAlign w:val="bottom"/>
          </w:tcPr>
          <w:p>
            <w:pPr>
              <w:spacing w:after="0"/>
              <w:rPr>
                <w:sz w:val="1"/>
                <w:szCs w:val="1"/>
                <w:color w:val="auto"/>
              </w:rPr>
            </w:pPr>
          </w:p>
        </w:tc>
      </w:tr>
      <w:tr>
        <w:trPr>
          <w:trHeight w:val="101"/>
        </w:trPr>
        <w:tc>
          <w:tcPr>
            <w:tcW w:w="3740" w:type="dxa"/>
            <w:vAlign w:val="bottom"/>
            <w:tcBorders>
              <w:left w:val="single" w:sz="8" w:color="auto"/>
              <w:right w:val="single" w:sz="8" w:color="auto"/>
            </w:tcBorders>
          </w:tcPr>
          <w:p>
            <w:pPr>
              <w:ind w:left="100"/>
              <w:spacing w:after="0" w:line="101" w:lineRule="exact"/>
              <w:rPr>
                <w:sz w:val="20"/>
                <w:szCs w:val="20"/>
                <w:color w:val="auto"/>
              </w:rPr>
            </w:pPr>
            <w:r>
              <w:rPr>
                <w:rFonts w:ascii="Arial" w:cs="Arial" w:eastAsia="Arial" w:hAnsi="Arial"/>
                <w:sz w:val="10"/>
                <w:szCs w:val="10"/>
                <w:i w:val="1"/>
                <w:iCs w:val="1"/>
                <w:color w:val="auto"/>
              </w:rPr>
              <w:t># Bill Payments transactions (millions)</w:t>
            </w:r>
          </w:p>
        </w:tc>
        <w:tc>
          <w:tcPr>
            <w:tcW w:w="820" w:type="dxa"/>
            <w:vAlign w:val="bottom"/>
          </w:tcPr>
          <w:p>
            <w:pPr>
              <w:jc w:val="center"/>
              <w:spacing w:after="0" w:line="101" w:lineRule="exact"/>
              <w:rPr>
                <w:sz w:val="20"/>
                <w:szCs w:val="20"/>
                <w:color w:val="auto"/>
              </w:rPr>
            </w:pPr>
            <w:r>
              <w:rPr>
                <w:rFonts w:ascii="Arial" w:cs="Arial" w:eastAsia="Arial" w:hAnsi="Arial"/>
                <w:sz w:val="10"/>
                <w:szCs w:val="10"/>
                <w:color w:val="auto"/>
              </w:rPr>
              <w:t>5.1</w:t>
            </w:r>
          </w:p>
        </w:tc>
        <w:tc>
          <w:tcPr>
            <w:tcW w:w="880" w:type="dxa"/>
            <w:vAlign w:val="bottom"/>
          </w:tcPr>
          <w:p>
            <w:pPr>
              <w:jc w:val="center"/>
              <w:spacing w:after="0" w:line="101" w:lineRule="exact"/>
              <w:rPr>
                <w:sz w:val="20"/>
                <w:szCs w:val="20"/>
                <w:color w:val="auto"/>
              </w:rPr>
            </w:pPr>
            <w:r>
              <w:rPr>
                <w:rFonts w:ascii="Arial" w:cs="Arial" w:eastAsia="Arial" w:hAnsi="Arial"/>
                <w:sz w:val="10"/>
                <w:szCs w:val="10"/>
                <w:color w:val="auto"/>
              </w:rPr>
              <w:t>23.4</w:t>
            </w:r>
          </w:p>
        </w:tc>
        <w:tc>
          <w:tcPr>
            <w:tcW w:w="86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color w:val="auto"/>
                <w:w w:val="92"/>
              </w:rPr>
              <w:t>28.6</w:t>
            </w:r>
          </w:p>
        </w:tc>
        <w:tc>
          <w:tcPr>
            <w:tcW w:w="520" w:type="dxa"/>
            <w:vAlign w:val="bottom"/>
          </w:tcPr>
          <w:p>
            <w:pPr>
              <w:jc w:val="center"/>
              <w:ind w:left="132"/>
              <w:spacing w:after="0" w:line="101" w:lineRule="exact"/>
              <w:rPr>
                <w:sz w:val="20"/>
                <w:szCs w:val="20"/>
                <w:color w:val="auto"/>
              </w:rPr>
            </w:pPr>
            <w:r>
              <w:rPr>
                <w:rFonts w:ascii="Arial" w:cs="Arial" w:eastAsia="Arial" w:hAnsi="Arial"/>
                <w:sz w:val="10"/>
                <w:szCs w:val="10"/>
                <w:color w:val="auto"/>
                <w:w w:val="91"/>
              </w:rPr>
              <w:t>22.2%</w:t>
            </w:r>
          </w:p>
        </w:tc>
        <w:tc>
          <w:tcPr>
            <w:tcW w:w="1060" w:type="dxa"/>
            <w:vAlign w:val="bottom"/>
            <w:tcBorders>
              <w:right w:val="single" w:sz="8" w:color="auto"/>
            </w:tcBorders>
          </w:tcPr>
          <w:p>
            <w:pPr>
              <w:jc w:val="center"/>
              <w:ind w:left="132"/>
              <w:spacing w:after="0" w:line="101" w:lineRule="exact"/>
              <w:rPr>
                <w:sz w:val="20"/>
                <w:szCs w:val="20"/>
                <w:color w:val="auto"/>
              </w:rPr>
            </w:pPr>
            <w:r>
              <w:rPr>
                <w:rFonts w:ascii="Arial" w:cs="Arial" w:eastAsia="Arial" w:hAnsi="Arial"/>
                <w:sz w:val="10"/>
                <w:szCs w:val="10"/>
                <w:color w:val="auto"/>
                <w:w w:val="94"/>
              </w:rPr>
              <w:t>461.8%</w:t>
            </w:r>
          </w:p>
        </w:tc>
        <w:tc>
          <w:tcPr>
            <w:tcW w:w="640" w:type="dxa"/>
            <w:vAlign w:val="bottom"/>
          </w:tcPr>
          <w:p>
            <w:pPr>
              <w:jc w:val="center"/>
              <w:ind w:left="132"/>
              <w:spacing w:after="0" w:line="101" w:lineRule="exact"/>
              <w:rPr>
                <w:sz w:val="20"/>
                <w:szCs w:val="20"/>
                <w:color w:val="auto"/>
              </w:rPr>
            </w:pPr>
            <w:r>
              <w:rPr>
                <w:rFonts w:ascii="Arial" w:cs="Arial" w:eastAsia="Arial" w:hAnsi="Arial"/>
                <w:sz w:val="10"/>
                <w:szCs w:val="10"/>
                <w:color w:val="auto"/>
              </w:rPr>
              <w:t>5.7</w:t>
            </w:r>
          </w:p>
        </w:tc>
        <w:tc>
          <w:tcPr>
            <w:tcW w:w="1040" w:type="dxa"/>
            <w:vAlign w:val="bottom"/>
            <w:tcBorders>
              <w:right w:val="single" w:sz="8" w:color="auto"/>
            </w:tcBorders>
          </w:tcPr>
          <w:p>
            <w:pPr>
              <w:jc w:val="center"/>
              <w:ind w:left="112"/>
              <w:spacing w:after="0" w:line="101" w:lineRule="exact"/>
              <w:rPr>
                <w:sz w:val="20"/>
                <w:szCs w:val="20"/>
                <w:color w:val="auto"/>
              </w:rPr>
            </w:pPr>
            <w:r>
              <w:rPr>
                <w:rFonts w:ascii="Arial" w:cs="Arial" w:eastAsia="Arial" w:hAnsi="Arial"/>
                <w:sz w:val="10"/>
                <w:szCs w:val="10"/>
                <w:color w:val="auto"/>
              </w:rPr>
              <w:t>52.1</w:t>
            </w:r>
          </w:p>
        </w:tc>
        <w:tc>
          <w:tcPr>
            <w:tcW w:w="106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color w:val="auto"/>
                <w:w w:val="94"/>
              </w:rPr>
              <w:t>806.5%</w:t>
            </w:r>
          </w:p>
        </w:tc>
        <w:tc>
          <w:tcPr>
            <w:tcW w:w="0" w:type="dxa"/>
            <w:vAlign w:val="bottom"/>
          </w:tcPr>
          <w:p>
            <w:pPr>
              <w:spacing w:after="0"/>
              <w:rPr>
                <w:sz w:val="1"/>
                <w:szCs w:val="1"/>
                <w:color w:val="auto"/>
              </w:rPr>
            </w:pPr>
          </w:p>
        </w:tc>
      </w:tr>
      <w:tr>
        <w:trPr>
          <w:trHeight w:val="105"/>
        </w:trPr>
        <w:tc>
          <w:tcPr>
            <w:tcW w:w="3740" w:type="dxa"/>
            <w:vAlign w:val="bottom"/>
            <w:tcBorders>
              <w:left w:val="single" w:sz="8" w:color="auto"/>
              <w:right w:val="single" w:sz="8" w:color="auto"/>
            </w:tcBorders>
          </w:tcPr>
          <w:p>
            <w:pPr>
              <w:ind w:left="100"/>
              <w:spacing w:after="0" w:line="105" w:lineRule="exact"/>
              <w:rPr>
                <w:sz w:val="20"/>
                <w:szCs w:val="20"/>
                <w:color w:val="auto"/>
              </w:rPr>
            </w:pPr>
            <w:r>
              <w:rPr>
                <w:rFonts w:ascii="Arial" w:cs="Arial" w:eastAsia="Arial" w:hAnsi="Arial"/>
                <w:sz w:val="10"/>
                <w:szCs w:val="10"/>
                <w:b w:val="1"/>
                <w:bCs w:val="1"/>
                <w:color w:val="auto"/>
              </w:rPr>
              <w:t>Financials</w:t>
            </w:r>
          </w:p>
        </w:tc>
        <w:tc>
          <w:tcPr>
            <w:tcW w:w="8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3740" w:type="dxa"/>
            <w:vAlign w:val="bottom"/>
            <w:tcBorders>
              <w:left w:val="single" w:sz="8" w:color="auto"/>
              <w:right w:val="single" w:sz="8" w:color="auto"/>
            </w:tcBorders>
          </w:tcPr>
          <w:p>
            <w:pPr>
              <w:ind w:left="100"/>
              <w:spacing w:after="0" w:line="101" w:lineRule="exact"/>
              <w:rPr>
                <w:sz w:val="20"/>
                <w:szCs w:val="20"/>
                <w:color w:val="auto"/>
              </w:rPr>
            </w:pPr>
            <w:r>
              <w:rPr>
                <w:rFonts w:ascii="Arial" w:cs="Arial" w:eastAsia="Arial" w:hAnsi="Arial"/>
                <w:sz w:val="10"/>
                <w:szCs w:val="10"/>
                <w:i w:val="1"/>
                <w:iCs w:val="1"/>
                <w:color w:val="auto"/>
              </w:rPr>
              <w:t># Loans Disbursements (thousands)</w:t>
            </w:r>
          </w:p>
        </w:tc>
        <w:tc>
          <w:tcPr>
            <w:tcW w:w="820" w:type="dxa"/>
            <w:vAlign w:val="bottom"/>
          </w:tcPr>
          <w:p>
            <w:pPr>
              <w:jc w:val="center"/>
              <w:spacing w:after="0" w:line="101" w:lineRule="exact"/>
              <w:rPr>
                <w:sz w:val="20"/>
                <w:szCs w:val="20"/>
                <w:color w:val="auto"/>
              </w:rPr>
            </w:pPr>
            <w:r>
              <w:rPr>
                <w:rFonts w:ascii="Arial" w:cs="Arial" w:eastAsia="Arial" w:hAnsi="Arial"/>
                <w:sz w:val="10"/>
                <w:szCs w:val="10"/>
                <w:color w:val="auto"/>
                <w:w w:val="95"/>
              </w:rPr>
              <w:t>166.0</w:t>
            </w:r>
          </w:p>
        </w:tc>
        <w:tc>
          <w:tcPr>
            <w:tcW w:w="880" w:type="dxa"/>
            <w:vAlign w:val="bottom"/>
          </w:tcPr>
          <w:p>
            <w:pPr>
              <w:jc w:val="center"/>
              <w:spacing w:after="0" w:line="101" w:lineRule="exact"/>
              <w:rPr>
                <w:sz w:val="20"/>
                <w:szCs w:val="20"/>
                <w:color w:val="auto"/>
              </w:rPr>
            </w:pPr>
            <w:r>
              <w:rPr>
                <w:rFonts w:ascii="Arial" w:cs="Arial" w:eastAsia="Arial" w:hAnsi="Arial"/>
                <w:sz w:val="10"/>
                <w:szCs w:val="10"/>
                <w:color w:val="auto"/>
                <w:w w:val="95"/>
              </w:rPr>
              <w:t>472.4</w:t>
            </w:r>
          </w:p>
        </w:tc>
        <w:tc>
          <w:tcPr>
            <w:tcW w:w="86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color w:val="auto"/>
                <w:w w:val="95"/>
              </w:rPr>
              <w:t>702.2</w:t>
            </w:r>
          </w:p>
        </w:tc>
        <w:tc>
          <w:tcPr>
            <w:tcW w:w="520" w:type="dxa"/>
            <w:vAlign w:val="bottom"/>
          </w:tcPr>
          <w:p>
            <w:pPr>
              <w:jc w:val="center"/>
              <w:ind w:left="132"/>
              <w:spacing w:after="0" w:line="101" w:lineRule="exact"/>
              <w:rPr>
                <w:sz w:val="20"/>
                <w:szCs w:val="20"/>
                <w:color w:val="auto"/>
              </w:rPr>
            </w:pPr>
            <w:r>
              <w:rPr>
                <w:rFonts w:ascii="Arial" w:cs="Arial" w:eastAsia="Arial" w:hAnsi="Arial"/>
                <w:sz w:val="10"/>
                <w:szCs w:val="10"/>
                <w:color w:val="auto"/>
                <w:w w:val="91"/>
              </w:rPr>
              <w:t>48.6%</w:t>
            </w:r>
          </w:p>
        </w:tc>
        <w:tc>
          <w:tcPr>
            <w:tcW w:w="1060" w:type="dxa"/>
            <w:vAlign w:val="bottom"/>
            <w:tcBorders>
              <w:right w:val="single" w:sz="8" w:color="auto"/>
            </w:tcBorders>
          </w:tcPr>
          <w:p>
            <w:pPr>
              <w:jc w:val="center"/>
              <w:ind w:left="132"/>
              <w:spacing w:after="0" w:line="101" w:lineRule="exact"/>
              <w:rPr>
                <w:sz w:val="20"/>
                <w:szCs w:val="20"/>
                <w:color w:val="auto"/>
              </w:rPr>
            </w:pPr>
            <w:r>
              <w:rPr>
                <w:rFonts w:ascii="Arial" w:cs="Arial" w:eastAsia="Arial" w:hAnsi="Arial"/>
                <w:sz w:val="10"/>
                <w:szCs w:val="10"/>
                <w:color w:val="auto"/>
                <w:w w:val="94"/>
              </w:rPr>
              <w:t>323.1%</w:t>
            </w:r>
          </w:p>
        </w:tc>
        <w:tc>
          <w:tcPr>
            <w:tcW w:w="640" w:type="dxa"/>
            <w:vAlign w:val="bottom"/>
          </w:tcPr>
          <w:p>
            <w:pPr>
              <w:jc w:val="center"/>
              <w:ind w:left="112"/>
              <w:spacing w:after="0" w:line="101" w:lineRule="exact"/>
              <w:rPr>
                <w:sz w:val="20"/>
                <w:szCs w:val="20"/>
                <w:color w:val="auto"/>
              </w:rPr>
            </w:pPr>
            <w:r>
              <w:rPr>
                <w:rFonts w:ascii="Arial" w:cs="Arial" w:eastAsia="Arial" w:hAnsi="Arial"/>
                <w:sz w:val="10"/>
                <w:szCs w:val="10"/>
                <w:color w:val="auto"/>
                <w:w w:val="95"/>
              </w:rPr>
              <w:t>332.7</w:t>
            </w:r>
          </w:p>
        </w:tc>
        <w:tc>
          <w:tcPr>
            <w:tcW w:w="1040" w:type="dxa"/>
            <w:vAlign w:val="bottom"/>
            <w:tcBorders>
              <w:right w:val="single" w:sz="8" w:color="auto"/>
            </w:tcBorders>
          </w:tcPr>
          <w:p>
            <w:pPr>
              <w:jc w:val="center"/>
              <w:ind w:left="112"/>
              <w:spacing w:after="0" w:line="101" w:lineRule="exact"/>
              <w:rPr>
                <w:sz w:val="20"/>
                <w:szCs w:val="20"/>
                <w:color w:val="auto"/>
              </w:rPr>
            </w:pPr>
            <w:r>
              <w:rPr>
                <w:rFonts w:ascii="Arial" w:cs="Arial" w:eastAsia="Arial" w:hAnsi="Arial"/>
                <w:sz w:val="10"/>
                <w:szCs w:val="10"/>
                <w:color w:val="auto"/>
                <w:w w:val="91"/>
              </w:rPr>
              <w:t>1174.5</w:t>
            </w:r>
          </w:p>
        </w:tc>
        <w:tc>
          <w:tcPr>
            <w:tcW w:w="106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color w:val="auto"/>
                <w:w w:val="94"/>
              </w:rPr>
              <w:t>253.1%</w:t>
            </w:r>
          </w:p>
        </w:tc>
        <w:tc>
          <w:tcPr>
            <w:tcW w:w="0" w:type="dxa"/>
            <w:vAlign w:val="bottom"/>
          </w:tcPr>
          <w:p>
            <w:pPr>
              <w:spacing w:after="0"/>
              <w:rPr>
                <w:sz w:val="1"/>
                <w:szCs w:val="1"/>
                <w:color w:val="auto"/>
              </w:rPr>
            </w:pPr>
          </w:p>
        </w:tc>
      </w:tr>
      <w:tr>
        <w:trPr>
          <w:trHeight w:val="99"/>
        </w:trPr>
        <w:tc>
          <w:tcPr>
            <w:tcW w:w="3740" w:type="dxa"/>
            <w:vAlign w:val="bottom"/>
            <w:tcBorders>
              <w:left w:val="single" w:sz="8" w:color="auto"/>
              <w:right w:val="single" w:sz="8" w:color="auto"/>
            </w:tcBorders>
          </w:tcPr>
          <w:p>
            <w:pPr>
              <w:ind w:left="100"/>
              <w:spacing w:after="0" w:line="99" w:lineRule="exact"/>
              <w:rPr>
                <w:sz w:val="20"/>
                <w:szCs w:val="20"/>
                <w:color w:val="auto"/>
              </w:rPr>
            </w:pPr>
            <w:r>
              <w:rPr>
                <w:rFonts w:ascii="Arial" w:cs="Arial" w:eastAsia="Arial" w:hAnsi="Arial"/>
                <w:sz w:val="10"/>
                <w:szCs w:val="10"/>
                <w:b w:val="1"/>
                <w:bCs w:val="1"/>
                <w:color w:val="auto"/>
              </w:rPr>
              <w:t>Market Place</w:t>
            </w:r>
          </w:p>
        </w:tc>
        <w:tc>
          <w:tcPr>
            <w:tcW w:w="8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740" w:type="dxa"/>
            <w:vAlign w:val="bottom"/>
            <w:tcBorders>
              <w:left w:val="single" w:sz="8" w:color="auto"/>
              <w:bottom w:val="single" w:sz="8" w:color="auto"/>
              <w:right w:val="single" w:sz="8" w:color="auto"/>
            </w:tcBorders>
          </w:tcPr>
          <w:p>
            <w:pPr>
              <w:ind w:left="100"/>
              <w:spacing w:after="0" w:line="122" w:lineRule="exact"/>
              <w:rPr>
                <w:sz w:val="20"/>
                <w:szCs w:val="20"/>
                <w:color w:val="auto"/>
              </w:rPr>
            </w:pPr>
            <w:r>
              <w:rPr>
                <w:rFonts w:ascii="Arial" w:cs="Arial" w:eastAsia="Arial" w:hAnsi="Arial"/>
                <w:sz w:val="9"/>
                <w:szCs w:val="9"/>
                <w:color w:val="auto"/>
              </w:rPr>
              <w:t xml:space="preserve">GMV </w:t>
            </w:r>
            <w:r>
              <w:rPr>
                <w:rFonts w:ascii="Arial" w:cs="Arial" w:eastAsia="Arial" w:hAnsi="Arial"/>
                <w:sz w:val="14"/>
                <w:szCs w:val="14"/>
                <w:color w:val="auto"/>
                <w:vertAlign w:val="superscript"/>
              </w:rPr>
              <w:t>(4)</w:t>
            </w:r>
            <w:r>
              <w:rPr>
                <w:rFonts w:ascii="Arial" w:cs="Arial" w:eastAsia="Arial" w:hAnsi="Arial"/>
                <w:sz w:val="9"/>
                <w:szCs w:val="9"/>
                <w:color w:val="auto"/>
              </w:rPr>
              <w:t xml:space="preserve"> (S/, Millions)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2"/>
              </w:rPr>
              <w:t>21.2</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54.6</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2"/>
              </w:rPr>
              <w:t>69.6</w:t>
            </w:r>
          </w:p>
        </w:tc>
        <w:tc>
          <w:tcPr>
            <w:tcW w:w="520" w:type="dxa"/>
            <w:vAlign w:val="bottom"/>
            <w:tcBorders>
              <w:bottom w:val="single" w:sz="8" w:color="auto"/>
            </w:tcBorders>
          </w:tcPr>
          <w:p>
            <w:pPr>
              <w:jc w:val="center"/>
              <w:ind w:left="132"/>
              <w:spacing w:after="0"/>
              <w:rPr>
                <w:sz w:val="20"/>
                <w:szCs w:val="20"/>
                <w:color w:val="auto"/>
              </w:rPr>
            </w:pPr>
            <w:r>
              <w:rPr>
                <w:rFonts w:ascii="Arial" w:cs="Arial" w:eastAsia="Arial" w:hAnsi="Arial"/>
                <w:sz w:val="10"/>
                <w:szCs w:val="10"/>
                <w:color w:val="auto"/>
                <w:w w:val="91"/>
              </w:rPr>
              <w:t>27.5%</w:t>
            </w:r>
          </w:p>
        </w:tc>
        <w:tc>
          <w:tcPr>
            <w:tcW w:w="1060" w:type="dxa"/>
            <w:vAlign w:val="bottom"/>
            <w:tcBorders>
              <w:bottom w:val="single" w:sz="8" w:color="auto"/>
              <w:right w:val="single" w:sz="8" w:color="auto"/>
            </w:tcBorders>
          </w:tcPr>
          <w:p>
            <w:pPr>
              <w:jc w:val="center"/>
              <w:ind w:left="132"/>
              <w:spacing w:after="0"/>
              <w:rPr>
                <w:sz w:val="20"/>
                <w:szCs w:val="20"/>
                <w:color w:val="auto"/>
              </w:rPr>
            </w:pPr>
            <w:r>
              <w:rPr>
                <w:rFonts w:ascii="Arial" w:cs="Arial" w:eastAsia="Arial" w:hAnsi="Arial"/>
                <w:sz w:val="10"/>
                <w:szCs w:val="10"/>
                <w:color w:val="auto"/>
                <w:w w:val="94"/>
              </w:rPr>
              <w:t>228.8%</w:t>
            </w:r>
          </w:p>
        </w:tc>
        <w:tc>
          <w:tcPr>
            <w:tcW w:w="640" w:type="dxa"/>
            <w:vAlign w:val="bottom"/>
            <w:tcBorders>
              <w:bottom w:val="single" w:sz="8" w:color="auto"/>
            </w:tcBorders>
          </w:tcPr>
          <w:p>
            <w:pPr>
              <w:jc w:val="center"/>
              <w:ind w:left="132"/>
              <w:spacing w:after="0"/>
              <w:rPr>
                <w:sz w:val="20"/>
                <w:szCs w:val="20"/>
                <w:color w:val="auto"/>
              </w:rPr>
            </w:pPr>
            <w:r>
              <w:rPr>
                <w:rFonts w:ascii="Arial" w:cs="Arial" w:eastAsia="Arial" w:hAnsi="Arial"/>
                <w:sz w:val="10"/>
                <w:szCs w:val="10"/>
                <w:color w:val="auto"/>
                <w:w w:val="92"/>
              </w:rPr>
              <w:t>31.3</w:t>
            </w:r>
          </w:p>
        </w:tc>
        <w:tc>
          <w:tcPr>
            <w:tcW w:w="1040" w:type="dxa"/>
            <w:vAlign w:val="bottom"/>
            <w:tcBorders>
              <w:bottom w:val="single" w:sz="8" w:color="auto"/>
              <w:right w:val="single" w:sz="8" w:color="auto"/>
            </w:tcBorders>
          </w:tcPr>
          <w:p>
            <w:pPr>
              <w:jc w:val="center"/>
              <w:ind w:left="112"/>
              <w:spacing w:after="0"/>
              <w:rPr>
                <w:sz w:val="20"/>
                <w:szCs w:val="20"/>
                <w:color w:val="auto"/>
              </w:rPr>
            </w:pPr>
            <w:r>
              <w:rPr>
                <w:rFonts w:ascii="Arial" w:cs="Arial" w:eastAsia="Arial" w:hAnsi="Arial"/>
                <w:sz w:val="10"/>
                <w:szCs w:val="10"/>
                <w:color w:val="auto"/>
                <w:w w:val="95"/>
              </w:rPr>
              <w:t>124.2</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4"/>
              </w:rPr>
              <w:t>296.6%</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160" w:hanging="151"/>
        <w:spacing w:after="0"/>
        <w:tabs>
          <w:tab w:leader="none" w:pos="160" w:val="left"/>
        </w:tabs>
        <w:numPr>
          <w:ilvl w:val="0"/>
          <w:numId w:val="7"/>
        </w:numPr>
        <w:rPr>
          <w:rFonts w:ascii="Arial" w:cs="Arial" w:eastAsia="Arial" w:hAnsi="Arial"/>
          <w:sz w:val="10"/>
          <w:szCs w:val="10"/>
          <w:color w:val="auto"/>
        </w:rPr>
      </w:pPr>
      <w:r>
        <w:rPr>
          <w:rFonts w:ascii="Arial" w:cs="Arial" w:eastAsia="Arial" w:hAnsi="Arial"/>
          <w:sz w:val="10"/>
          <w:szCs w:val="10"/>
          <w:color w:val="auto"/>
        </w:rPr>
        <w:t>Yape users that have made at least one transaction over the last month.</w:t>
      </w:r>
    </w:p>
    <w:p>
      <w:pPr>
        <w:ind w:left="160" w:hanging="151"/>
        <w:spacing w:after="0" w:line="214" w:lineRule="auto"/>
        <w:tabs>
          <w:tab w:leader="none" w:pos="160" w:val="left"/>
        </w:tabs>
        <w:numPr>
          <w:ilvl w:val="0"/>
          <w:numId w:val="7"/>
        </w:numPr>
        <w:rPr>
          <w:rFonts w:ascii="Arial" w:cs="Arial" w:eastAsia="Arial" w:hAnsi="Arial"/>
          <w:sz w:val="10"/>
          <w:szCs w:val="10"/>
          <w:color w:val="auto"/>
        </w:rPr>
      </w:pPr>
      <w:r>
        <w:rPr>
          <w:rFonts w:ascii="Arial" w:cs="Arial" w:eastAsia="Arial" w:hAnsi="Arial"/>
          <w:sz w:val="10"/>
          <w:szCs w:val="10"/>
          <w:color w:val="auto"/>
        </w:rPr>
        <w:t>Net Promoting Score</w:t>
      </w:r>
    </w:p>
    <w:p>
      <w:pPr>
        <w:ind w:left="160" w:hanging="151"/>
        <w:spacing w:after="0" w:line="214" w:lineRule="auto"/>
        <w:tabs>
          <w:tab w:leader="none" w:pos="160" w:val="left"/>
        </w:tabs>
        <w:numPr>
          <w:ilvl w:val="0"/>
          <w:numId w:val="7"/>
        </w:numPr>
        <w:rPr>
          <w:rFonts w:ascii="Arial" w:cs="Arial" w:eastAsia="Arial" w:hAnsi="Arial"/>
          <w:sz w:val="10"/>
          <w:szCs w:val="10"/>
          <w:color w:val="auto"/>
        </w:rPr>
      </w:pPr>
      <w:r>
        <w:rPr>
          <w:rFonts w:ascii="Arial" w:cs="Arial" w:eastAsia="Arial" w:hAnsi="Arial"/>
          <w:sz w:val="10"/>
          <w:szCs w:val="10"/>
          <w:color w:val="auto"/>
        </w:rPr>
        <w:t>Total Payment Volume, includes the following functionalities: Mobile Top-ups, QRs payments, checkout, Yape Businesses and Remitances</w:t>
      </w:r>
    </w:p>
    <w:p>
      <w:pPr>
        <w:ind w:left="160" w:hanging="151"/>
        <w:spacing w:after="0"/>
        <w:tabs>
          <w:tab w:leader="none" w:pos="160" w:val="left"/>
        </w:tabs>
        <w:numPr>
          <w:ilvl w:val="0"/>
          <w:numId w:val="7"/>
        </w:numPr>
        <w:rPr>
          <w:rFonts w:ascii="Arial" w:cs="Arial" w:eastAsia="Arial" w:hAnsi="Arial"/>
          <w:sz w:val="10"/>
          <w:szCs w:val="10"/>
          <w:color w:val="auto"/>
        </w:rPr>
      </w:pPr>
      <w:r>
        <w:rPr>
          <w:rFonts w:ascii="Arial" w:cs="Arial" w:eastAsia="Arial" w:hAnsi="Arial"/>
          <w:sz w:val="10"/>
          <w:szCs w:val="10"/>
          <w:color w:val="auto"/>
        </w:rPr>
        <w:t>Gross Merchant Volume, includes the following functionalities: Yape Promos, Yape tienda, Ticketing, Gaming and Gas</w:t>
      </w:r>
    </w:p>
    <w:p>
      <w:pPr>
        <w:spacing w:after="0" w:line="8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 xml:space="preserve">Yape monetizes through its three business lines: In the </w:t>
      </w:r>
      <w:r>
        <w:rPr>
          <w:rFonts w:ascii="Arial" w:cs="Arial" w:eastAsia="Arial" w:hAnsi="Arial"/>
          <w:sz w:val="14"/>
          <w:szCs w:val="14"/>
          <w:b w:val="1"/>
          <w:bCs w:val="1"/>
          <w:color w:val="auto"/>
        </w:rPr>
        <w:t>Payments business</w:t>
      </w:r>
      <w:r>
        <w:rPr>
          <w:rFonts w:ascii="Arial" w:cs="Arial" w:eastAsia="Arial" w:hAnsi="Arial"/>
          <w:sz w:val="14"/>
          <w:szCs w:val="14"/>
          <w:color w:val="auto"/>
        </w:rPr>
        <w:t xml:space="preserve">, the main revenue drivers were (i) Total Payment Volume, which reached S/62.1 billion in 2Q24 (23.0% QoQ and 110.9% YoY), and (ii) Service Payment transactions, which totaled 26.7 million in 2Q24 (+22.2% QoQ and +4.6 times YoY). In the </w:t>
      </w:r>
      <w:r>
        <w:rPr>
          <w:rFonts w:ascii="Arial" w:cs="Arial" w:eastAsia="Arial" w:hAnsi="Arial"/>
          <w:sz w:val="14"/>
          <w:szCs w:val="14"/>
          <w:b w:val="1"/>
          <w:bCs w:val="1"/>
          <w:color w:val="auto"/>
        </w:rPr>
        <w:t>Financial business</w:t>
      </w:r>
      <w:r>
        <w:rPr>
          <w:rFonts w:ascii="Arial" w:cs="Arial" w:eastAsia="Arial" w:hAnsi="Arial"/>
          <w:sz w:val="14"/>
          <w:szCs w:val="14"/>
          <w:color w:val="auto"/>
        </w:rPr>
        <w:t xml:space="preserve">, the fastest growing monetization driver was Yape Loans, with 702.2 thousand disbursements in 2Q24 (+48.6 QoQ and +3.2 times YoY). Finally, in the </w:t>
      </w:r>
      <w:r>
        <w:rPr>
          <w:rFonts w:ascii="Arial" w:cs="Arial" w:eastAsia="Arial" w:hAnsi="Arial"/>
          <w:sz w:val="14"/>
          <w:szCs w:val="14"/>
          <w:b w:val="1"/>
          <w:bCs w:val="1"/>
          <w:color w:val="auto"/>
        </w:rPr>
        <w:t>Marketplace business</w:t>
      </w:r>
      <w:r>
        <w:rPr>
          <w:rFonts w:ascii="Arial" w:cs="Arial" w:eastAsia="Arial" w:hAnsi="Arial"/>
          <w:sz w:val="14"/>
          <w:szCs w:val="14"/>
          <w:color w:val="auto"/>
        </w:rPr>
        <w:t>, Yape monetizes mainly through Gross Commercial Volume transacted, which was S/69.6 million in 2Q24 (+27.5% QoQ and +2.3 times YoY). As a result of this growth, Yape generated almost S/ 143 million (+22.9% QoQ and +148.8% YoY) in total revenues in 2Q24.</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Main Financial Indicators for Yape </w:t>
      </w:r>
      <w:r>
        <w:rPr>
          <w:rFonts w:ascii="Arial" w:cs="Arial" w:eastAsia="Arial" w:hAnsi="Arial"/>
          <w:sz w:val="22"/>
          <w:szCs w:val="22"/>
          <w:b w:val="1"/>
          <w:bCs w:val="1"/>
          <w:color w:val="auto"/>
          <w:vertAlign w:val="superscript"/>
        </w:rPr>
        <w:t>(1)</w:t>
      </w:r>
    </w:p>
    <w:p>
      <w:pPr>
        <w:spacing w:after="0" w:line="56" w:lineRule="exact"/>
        <w:rPr>
          <w:sz w:val="20"/>
          <w:szCs w:val="20"/>
          <w:color w:val="auto"/>
        </w:rPr>
      </w:pPr>
    </w:p>
    <w:tbl>
      <w:tblPr>
        <w:tblLayout w:type="fixed"/>
        <w:tblInd w:w="10" w:type="dxa"/>
        <w:tblCellMar>
          <w:top w:w="0" w:type="dxa"/>
          <w:left w:w="0" w:type="dxa"/>
          <w:bottom w:w="0" w:type="dxa"/>
          <w:right w:w="0" w:type="dxa"/>
        </w:tblCellMar>
      </w:tblPr>
      <w:tr>
        <w:trPr>
          <w:trHeight w:val="128"/>
        </w:trPr>
        <w:tc>
          <w:tcPr>
            <w:tcW w:w="3740" w:type="dxa"/>
            <w:vAlign w:val="bottom"/>
            <w:tcBorders>
              <w:top w:val="single" w:sz="8" w:color="auto"/>
              <w:left w:val="single" w:sz="8" w:color="auto"/>
              <w:right w:val="single" w:sz="8" w:color="auto"/>
            </w:tcBorders>
            <w:shd w:val="clear" w:color="auto" w:fill="2AD2C9"/>
          </w:tcPr>
          <w:p>
            <w:pPr>
              <w:ind w:left="100"/>
              <w:spacing w:after="0" w:line="128" w:lineRule="exact"/>
              <w:rPr>
                <w:sz w:val="20"/>
                <w:szCs w:val="20"/>
                <w:color w:val="auto"/>
              </w:rPr>
            </w:pPr>
            <w:r>
              <w:rPr>
                <w:rFonts w:ascii="Arial" w:cs="Arial" w:eastAsia="Arial" w:hAnsi="Arial"/>
                <w:sz w:val="9"/>
                <w:szCs w:val="9"/>
                <w:b w:val="1"/>
                <w:bCs w:val="1"/>
                <w:i w:val="1"/>
                <w:iCs w:val="1"/>
                <w:color w:val="FFFFFF"/>
              </w:rPr>
              <w:t xml:space="preserve">Financial KPIs </w:t>
            </w:r>
            <w:r>
              <w:rPr>
                <w:rFonts w:ascii="Arial" w:cs="Arial" w:eastAsia="Arial" w:hAnsi="Arial"/>
                <w:sz w:val="14"/>
                <w:szCs w:val="14"/>
                <w:b w:val="1"/>
                <w:bCs w:val="1"/>
                <w:i w:val="1"/>
                <w:iCs w:val="1"/>
                <w:color w:val="FFFFFF"/>
                <w:vertAlign w:val="superscript"/>
              </w:rPr>
              <w:t>(1)</w:t>
            </w:r>
          </w:p>
        </w:tc>
        <w:tc>
          <w:tcPr>
            <w:tcW w:w="840" w:type="dxa"/>
            <w:vAlign w:val="bottom"/>
            <w:tcBorders>
              <w:top w:val="single" w:sz="8" w:color="auto"/>
            </w:tcBorders>
            <w:shd w:val="clear" w:color="auto" w:fill="2AD2C9"/>
          </w:tcPr>
          <w:p>
            <w:pPr>
              <w:spacing w:after="0"/>
              <w:rPr>
                <w:sz w:val="11"/>
                <w:szCs w:val="11"/>
                <w:color w:val="auto"/>
              </w:rPr>
            </w:pPr>
          </w:p>
        </w:tc>
        <w:tc>
          <w:tcPr>
            <w:tcW w:w="860" w:type="dxa"/>
            <w:vAlign w:val="bottom"/>
            <w:tcBorders>
              <w:top w:val="single" w:sz="8" w:color="auto"/>
            </w:tcBorders>
            <w:shd w:val="clear" w:color="auto" w:fill="2AD2C9"/>
          </w:tcPr>
          <w:p>
            <w:pPr>
              <w:jc w:val="right"/>
              <w:ind w:right="185"/>
              <w:spacing w:after="0"/>
              <w:rPr>
                <w:sz w:val="20"/>
                <w:szCs w:val="20"/>
                <w:color w:val="auto"/>
              </w:rPr>
            </w:pPr>
            <w:r>
              <w:rPr>
                <w:rFonts w:ascii="Arial" w:cs="Arial" w:eastAsia="Arial" w:hAnsi="Arial"/>
                <w:sz w:val="11"/>
                <w:szCs w:val="11"/>
                <w:b w:val="1"/>
                <w:bCs w:val="1"/>
                <w:color w:val="FFFFFF"/>
              </w:rPr>
              <w:t>Quarter</w:t>
            </w:r>
          </w:p>
        </w:tc>
        <w:tc>
          <w:tcPr>
            <w:tcW w:w="860" w:type="dxa"/>
            <w:vAlign w:val="bottom"/>
            <w:tcBorders>
              <w:top w:val="single" w:sz="8" w:color="auto"/>
              <w:right w:val="single" w:sz="8" w:color="auto"/>
            </w:tcBorders>
            <w:shd w:val="clear" w:color="auto" w:fill="2AD2C9"/>
          </w:tcPr>
          <w:p>
            <w:pPr>
              <w:spacing w:after="0"/>
              <w:rPr>
                <w:sz w:val="11"/>
                <w:szCs w:val="11"/>
                <w:color w:val="auto"/>
              </w:rPr>
            </w:pPr>
          </w:p>
        </w:tc>
        <w:tc>
          <w:tcPr>
            <w:tcW w:w="500" w:type="dxa"/>
            <w:vAlign w:val="bottom"/>
            <w:tcBorders>
              <w:top w:val="single" w:sz="8" w:color="auto"/>
            </w:tcBorders>
            <w:shd w:val="clear" w:color="auto" w:fill="2AD2C9"/>
          </w:tcPr>
          <w:p>
            <w:pPr>
              <w:spacing w:after="0"/>
              <w:rPr>
                <w:sz w:val="11"/>
                <w:szCs w:val="11"/>
                <w:color w:val="auto"/>
              </w:rPr>
            </w:pPr>
          </w:p>
        </w:tc>
        <w:tc>
          <w:tcPr>
            <w:tcW w:w="1080" w:type="dxa"/>
            <w:vAlign w:val="bottom"/>
            <w:tcBorders>
              <w:top w:val="single" w:sz="8" w:color="auto"/>
              <w:right w:val="single" w:sz="8" w:color="auto"/>
            </w:tcBorders>
            <w:shd w:val="clear" w:color="auto" w:fill="2AD2C9"/>
          </w:tcPr>
          <w:p>
            <w:pPr>
              <w:spacing w:after="0"/>
              <w:rPr>
                <w:sz w:val="20"/>
                <w:szCs w:val="20"/>
                <w:color w:val="auto"/>
              </w:rPr>
            </w:pPr>
            <w:r>
              <w:rPr>
                <w:rFonts w:ascii="Arial" w:cs="Arial" w:eastAsia="Arial" w:hAnsi="Arial"/>
                <w:sz w:val="11"/>
                <w:szCs w:val="11"/>
                <w:b w:val="1"/>
                <w:bCs w:val="1"/>
                <w:color w:val="FFFFFF"/>
              </w:rPr>
              <w:t>Change %</w:t>
            </w:r>
          </w:p>
        </w:tc>
        <w:tc>
          <w:tcPr>
            <w:tcW w:w="960" w:type="dxa"/>
            <w:vAlign w:val="bottom"/>
            <w:tcBorders>
              <w:top w:val="single" w:sz="8" w:color="auto"/>
            </w:tcBorders>
            <w:shd w:val="clear" w:color="auto" w:fill="2AD2C9"/>
          </w:tcPr>
          <w:p>
            <w:pPr>
              <w:jc w:val="right"/>
              <w:spacing w:after="0"/>
              <w:rPr>
                <w:sz w:val="20"/>
                <w:szCs w:val="20"/>
                <w:color w:val="auto"/>
              </w:rPr>
            </w:pPr>
            <w:r>
              <w:rPr>
                <w:rFonts w:ascii="Arial" w:cs="Arial" w:eastAsia="Arial" w:hAnsi="Arial"/>
                <w:sz w:val="11"/>
                <w:szCs w:val="11"/>
                <w:b w:val="1"/>
                <w:bCs w:val="1"/>
                <w:color w:val="FFFFFF"/>
              </w:rPr>
              <w:t>Up to</w:t>
            </w:r>
          </w:p>
        </w:tc>
        <w:tc>
          <w:tcPr>
            <w:tcW w:w="720" w:type="dxa"/>
            <w:vAlign w:val="bottom"/>
            <w:tcBorders>
              <w:top w:val="single" w:sz="8" w:color="auto"/>
              <w:right w:val="single" w:sz="8" w:color="auto"/>
            </w:tcBorders>
            <w:shd w:val="clear" w:color="auto" w:fill="2AD2C9"/>
          </w:tcPr>
          <w:p>
            <w:pPr>
              <w:spacing w:after="0"/>
              <w:rPr>
                <w:sz w:val="11"/>
                <w:szCs w:val="11"/>
                <w:color w:val="auto"/>
              </w:rPr>
            </w:pPr>
          </w:p>
        </w:tc>
        <w:tc>
          <w:tcPr>
            <w:tcW w:w="1060" w:type="dxa"/>
            <w:vAlign w:val="bottom"/>
            <w:tcBorders>
              <w:top w:val="single" w:sz="8" w:color="auto"/>
              <w:right w:val="single" w:sz="8" w:color="auto"/>
            </w:tcBorders>
            <w:shd w:val="clear" w:color="auto" w:fill="2AD2C9"/>
          </w:tcPr>
          <w:p>
            <w:pPr>
              <w:ind w:left="260"/>
              <w:spacing w:after="0"/>
              <w:rPr>
                <w:sz w:val="20"/>
                <w:szCs w:val="20"/>
                <w:color w:val="auto"/>
              </w:rPr>
            </w:pPr>
            <w:r>
              <w:rPr>
                <w:rFonts w:ascii="Arial" w:cs="Arial" w:eastAsia="Arial" w:hAnsi="Arial"/>
                <w:sz w:val="11"/>
                <w:szCs w:val="11"/>
                <w:b w:val="1"/>
                <w:bCs w:val="1"/>
                <w:color w:val="FFFFFF"/>
              </w:rPr>
              <w:t>Change %</w:t>
            </w:r>
          </w:p>
        </w:tc>
      </w:tr>
      <w:tr>
        <w:trPr>
          <w:trHeight w:val="130"/>
        </w:trPr>
        <w:tc>
          <w:tcPr>
            <w:tcW w:w="3740" w:type="dxa"/>
            <w:vAlign w:val="bottom"/>
            <w:tcBorders>
              <w:left w:val="single" w:sz="8" w:color="auto"/>
              <w:bottom w:val="single" w:sz="8" w:color="auto"/>
              <w:right w:val="single" w:sz="8" w:color="auto"/>
            </w:tcBorders>
            <w:shd w:val="clear" w:color="auto" w:fill="2AD2C9"/>
          </w:tcPr>
          <w:p>
            <w:pPr>
              <w:ind w:left="100"/>
              <w:spacing w:after="0"/>
              <w:rPr>
                <w:sz w:val="20"/>
                <w:szCs w:val="20"/>
                <w:color w:val="auto"/>
              </w:rPr>
            </w:pPr>
            <w:r>
              <w:rPr>
                <w:rFonts w:ascii="Arial" w:cs="Arial" w:eastAsia="Arial" w:hAnsi="Arial"/>
                <w:sz w:val="11"/>
                <w:szCs w:val="11"/>
                <w:b w:val="1"/>
                <w:bCs w:val="1"/>
                <w:i w:val="1"/>
                <w:iCs w:val="1"/>
                <w:color w:val="FFFFFF"/>
              </w:rPr>
              <w:t>S/ 000</w:t>
            </w:r>
          </w:p>
        </w:tc>
        <w:tc>
          <w:tcPr>
            <w:tcW w:w="8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i w:val="1"/>
                <w:iCs w:val="1"/>
                <w:color w:val="FFFFFF"/>
                <w:w w:val="96"/>
              </w:rPr>
              <w:t>2Q23</w:t>
            </w:r>
          </w:p>
        </w:tc>
        <w:tc>
          <w:tcPr>
            <w:tcW w:w="8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i w:val="1"/>
                <w:iCs w:val="1"/>
                <w:color w:val="FFFFFF"/>
              </w:rPr>
              <w:t>1Q24</w:t>
            </w:r>
          </w:p>
        </w:tc>
        <w:tc>
          <w:tcPr>
            <w:tcW w:w="8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i w:val="1"/>
                <w:iCs w:val="1"/>
                <w:color w:val="FFFFFF"/>
                <w:w w:val="96"/>
              </w:rPr>
              <w:t>2Q24</w:t>
            </w:r>
          </w:p>
        </w:tc>
        <w:tc>
          <w:tcPr>
            <w:tcW w:w="500" w:type="dxa"/>
            <w:vAlign w:val="bottom"/>
            <w:tcBorders>
              <w:bottom w:val="single" w:sz="8" w:color="auto"/>
            </w:tcBorders>
            <w:shd w:val="clear" w:color="auto" w:fill="2AD2C9"/>
          </w:tcPr>
          <w:p>
            <w:pPr>
              <w:ind w:left="220"/>
              <w:spacing w:after="0"/>
              <w:rPr>
                <w:sz w:val="20"/>
                <w:szCs w:val="20"/>
                <w:color w:val="auto"/>
              </w:rPr>
            </w:pPr>
            <w:r>
              <w:rPr>
                <w:rFonts w:ascii="Arial" w:cs="Arial" w:eastAsia="Arial" w:hAnsi="Arial"/>
                <w:sz w:val="11"/>
                <w:szCs w:val="11"/>
                <w:b w:val="1"/>
                <w:bCs w:val="1"/>
                <w:i w:val="1"/>
                <w:iCs w:val="1"/>
                <w:color w:val="FFFFFF"/>
              </w:rPr>
              <w:t>QoQ</w:t>
            </w:r>
          </w:p>
        </w:tc>
        <w:tc>
          <w:tcPr>
            <w:tcW w:w="1080" w:type="dxa"/>
            <w:vAlign w:val="bottom"/>
            <w:tcBorders>
              <w:bottom w:val="single" w:sz="8" w:color="auto"/>
              <w:right w:val="single" w:sz="8" w:color="auto"/>
            </w:tcBorders>
            <w:shd w:val="clear" w:color="auto" w:fill="2AD2C9"/>
          </w:tcPr>
          <w:p>
            <w:pPr>
              <w:ind w:left="540"/>
              <w:spacing w:after="0"/>
              <w:rPr>
                <w:sz w:val="20"/>
                <w:szCs w:val="20"/>
                <w:color w:val="auto"/>
              </w:rPr>
            </w:pPr>
            <w:r>
              <w:rPr>
                <w:rFonts w:ascii="Arial" w:cs="Arial" w:eastAsia="Arial" w:hAnsi="Arial"/>
                <w:sz w:val="11"/>
                <w:szCs w:val="11"/>
                <w:b w:val="1"/>
                <w:bCs w:val="1"/>
                <w:i w:val="1"/>
                <w:iCs w:val="1"/>
                <w:color w:val="FFFFFF"/>
              </w:rPr>
              <w:t>YoY</w:t>
            </w:r>
          </w:p>
        </w:tc>
        <w:tc>
          <w:tcPr>
            <w:tcW w:w="960" w:type="dxa"/>
            <w:vAlign w:val="bottom"/>
            <w:tcBorders>
              <w:bottom w:val="single" w:sz="8" w:color="auto"/>
            </w:tcBorders>
            <w:shd w:val="clear" w:color="auto" w:fill="2AD2C9"/>
          </w:tcPr>
          <w:p>
            <w:pPr>
              <w:jc w:val="center"/>
              <w:ind w:right="85"/>
              <w:spacing w:after="0"/>
              <w:rPr>
                <w:sz w:val="20"/>
                <w:szCs w:val="20"/>
                <w:color w:val="auto"/>
              </w:rPr>
            </w:pPr>
            <w:r>
              <w:rPr>
                <w:rFonts w:ascii="Arial" w:cs="Arial" w:eastAsia="Arial" w:hAnsi="Arial"/>
                <w:sz w:val="11"/>
                <w:szCs w:val="11"/>
                <w:b w:val="1"/>
                <w:bCs w:val="1"/>
                <w:i w:val="1"/>
                <w:iCs w:val="1"/>
                <w:color w:val="FFFFFF"/>
                <w:w w:val="98"/>
              </w:rPr>
              <w:t>1H23</w:t>
            </w:r>
          </w:p>
        </w:tc>
        <w:tc>
          <w:tcPr>
            <w:tcW w:w="720" w:type="dxa"/>
            <w:vAlign w:val="bottom"/>
            <w:tcBorders>
              <w:bottom w:val="single" w:sz="8" w:color="auto"/>
              <w:right w:val="single" w:sz="8" w:color="auto"/>
            </w:tcBorders>
            <w:shd w:val="clear" w:color="auto" w:fill="2AD2C9"/>
          </w:tcPr>
          <w:p>
            <w:pPr>
              <w:jc w:val="center"/>
              <w:ind w:right="85"/>
              <w:spacing w:after="0"/>
              <w:rPr>
                <w:sz w:val="20"/>
                <w:szCs w:val="20"/>
                <w:color w:val="auto"/>
              </w:rPr>
            </w:pPr>
            <w:r>
              <w:rPr>
                <w:rFonts w:ascii="Arial" w:cs="Arial" w:eastAsia="Arial" w:hAnsi="Arial"/>
                <w:sz w:val="11"/>
                <w:szCs w:val="11"/>
                <w:b w:val="1"/>
                <w:bCs w:val="1"/>
                <w:i w:val="1"/>
                <w:iCs w:val="1"/>
                <w:color w:val="FFFFFF"/>
                <w:w w:val="98"/>
              </w:rPr>
              <w:t>1H24</w:t>
            </w:r>
          </w:p>
        </w:tc>
        <w:tc>
          <w:tcPr>
            <w:tcW w:w="10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i w:val="1"/>
                <w:iCs w:val="1"/>
                <w:color w:val="FFFFFF"/>
                <w:w w:val="97"/>
              </w:rPr>
              <w:t>1H24 / 1H23</w:t>
            </w:r>
          </w:p>
        </w:tc>
      </w:tr>
      <w:tr>
        <w:trPr>
          <w:trHeight w:val="95"/>
        </w:trPr>
        <w:tc>
          <w:tcPr>
            <w:tcW w:w="3740" w:type="dxa"/>
            <w:vAlign w:val="bottom"/>
            <w:tcBorders>
              <w:left w:val="single" w:sz="8" w:color="auto"/>
              <w:right w:val="single" w:sz="8" w:color="auto"/>
            </w:tcBorders>
          </w:tcPr>
          <w:p>
            <w:pPr>
              <w:ind w:left="100"/>
              <w:spacing w:after="0" w:line="95" w:lineRule="exact"/>
              <w:rPr>
                <w:sz w:val="20"/>
                <w:szCs w:val="20"/>
                <w:color w:val="auto"/>
              </w:rPr>
            </w:pPr>
            <w:r>
              <w:rPr>
                <w:rFonts w:ascii="Arial" w:cs="Arial" w:eastAsia="Arial" w:hAnsi="Arial"/>
                <w:sz w:val="11"/>
                <w:szCs w:val="11"/>
                <w:color w:val="auto"/>
              </w:rPr>
              <w:t>Net Interest Income</w:t>
            </w:r>
          </w:p>
        </w:tc>
        <w:tc>
          <w:tcPr>
            <w:tcW w:w="840" w:type="dxa"/>
            <w:vAlign w:val="bottom"/>
          </w:tcPr>
          <w:p>
            <w:pPr>
              <w:jc w:val="right"/>
              <w:ind w:right="85"/>
              <w:spacing w:after="0" w:line="95" w:lineRule="exact"/>
              <w:rPr>
                <w:sz w:val="20"/>
                <w:szCs w:val="20"/>
                <w:color w:val="auto"/>
              </w:rPr>
            </w:pPr>
            <w:r>
              <w:rPr>
                <w:rFonts w:ascii="Arial" w:cs="Arial" w:eastAsia="Arial" w:hAnsi="Arial"/>
                <w:sz w:val="11"/>
                <w:szCs w:val="11"/>
                <w:color w:val="auto"/>
              </w:rPr>
              <w:t>34,533</w:t>
            </w:r>
          </w:p>
        </w:tc>
        <w:tc>
          <w:tcPr>
            <w:tcW w:w="860" w:type="dxa"/>
            <w:vAlign w:val="bottom"/>
          </w:tcPr>
          <w:p>
            <w:pPr>
              <w:jc w:val="right"/>
              <w:ind w:right="85"/>
              <w:spacing w:after="0" w:line="95" w:lineRule="exact"/>
              <w:rPr>
                <w:sz w:val="20"/>
                <w:szCs w:val="20"/>
                <w:color w:val="auto"/>
              </w:rPr>
            </w:pPr>
            <w:r>
              <w:rPr>
                <w:rFonts w:ascii="Arial" w:cs="Arial" w:eastAsia="Arial" w:hAnsi="Arial"/>
                <w:sz w:val="11"/>
                <w:szCs w:val="11"/>
                <w:color w:val="auto"/>
              </w:rPr>
              <w:t>54,063</w:t>
            </w:r>
          </w:p>
        </w:tc>
        <w:tc>
          <w:tcPr>
            <w:tcW w:w="860" w:type="dxa"/>
            <w:vAlign w:val="bottom"/>
            <w:tcBorders>
              <w:right w:val="single" w:sz="8" w:color="auto"/>
            </w:tcBorders>
          </w:tcPr>
          <w:p>
            <w:pPr>
              <w:jc w:val="right"/>
              <w:ind w:right="105"/>
              <w:spacing w:after="0" w:line="95" w:lineRule="exact"/>
              <w:rPr>
                <w:sz w:val="20"/>
                <w:szCs w:val="20"/>
                <w:color w:val="auto"/>
              </w:rPr>
            </w:pPr>
            <w:r>
              <w:rPr>
                <w:rFonts w:ascii="Arial" w:cs="Arial" w:eastAsia="Arial" w:hAnsi="Arial"/>
                <w:sz w:val="11"/>
                <w:szCs w:val="11"/>
                <w:color w:val="auto"/>
              </w:rPr>
              <w:t>60,328</w:t>
            </w:r>
          </w:p>
        </w:tc>
        <w:tc>
          <w:tcPr>
            <w:tcW w:w="500" w:type="dxa"/>
            <w:vAlign w:val="bottom"/>
          </w:tcPr>
          <w:p>
            <w:pPr>
              <w:jc w:val="center"/>
              <w:ind w:left="145"/>
              <w:spacing w:after="0" w:line="95" w:lineRule="exact"/>
              <w:rPr>
                <w:sz w:val="20"/>
                <w:szCs w:val="20"/>
                <w:color w:val="auto"/>
              </w:rPr>
            </w:pPr>
            <w:r>
              <w:rPr>
                <w:rFonts w:ascii="Arial" w:cs="Arial" w:eastAsia="Arial" w:hAnsi="Arial"/>
                <w:sz w:val="11"/>
                <w:szCs w:val="11"/>
                <w:color w:val="auto"/>
                <w:w w:val="96"/>
              </w:rPr>
              <w:t>11.6%</w:t>
            </w:r>
          </w:p>
        </w:tc>
        <w:tc>
          <w:tcPr>
            <w:tcW w:w="1080" w:type="dxa"/>
            <w:vAlign w:val="bottom"/>
            <w:tcBorders>
              <w:right w:val="single" w:sz="8" w:color="auto"/>
            </w:tcBorders>
          </w:tcPr>
          <w:p>
            <w:pPr>
              <w:jc w:val="center"/>
              <w:ind w:left="145"/>
              <w:spacing w:after="0" w:line="95" w:lineRule="exact"/>
              <w:rPr>
                <w:sz w:val="20"/>
                <w:szCs w:val="20"/>
                <w:color w:val="auto"/>
              </w:rPr>
            </w:pPr>
            <w:r>
              <w:rPr>
                <w:rFonts w:ascii="Arial" w:cs="Arial" w:eastAsia="Arial" w:hAnsi="Arial"/>
                <w:sz w:val="11"/>
                <w:szCs w:val="11"/>
                <w:color w:val="auto"/>
              </w:rPr>
              <w:t>74.7%</w:t>
            </w:r>
          </w:p>
        </w:tc>
        <w:tc>
          <w:tcPr>
            <w:tcW w:w="960" w:type="dxa"/>
            <w:vAlign w:val="bottom"/>
          </w:tcPr>
          <w:p>
            <w:pPr>
              <w:jc w:val="right"/>
              <w:ind w:right="205"/>
              <w:spacing w:after="0" w:line="95" w:lineRule="exact"/>
              <w:rPr>
                <w:sz w:val="20"/>
                <w:szCs w:val="20"/>
                <w:color w:val="auto"/>
              </w:rPr>
            </w:pPr>
            <w:r>
              <w:rPr>
                <w:rFonts w:ascii="Arial" w:cs="Arial" w:eastAsia="Arial" w:hAnsi="Arial"/>
                <w:sz w:val="11"/>
                <w:szCs w:val="11"/>
                <w:color w:val="auto"/>
              </w:rPr>
              <w:t>62,067</w:t>
            </w:r>
          </w:p>
        </w:tc>
        <w:tc>
          <w:tcPr>
            <w:tcW w:w="720" w:type="dxa"/>
            <w:vAlign w:val="bottom"/>
            <w:tcBorders>
              <w:right w:val="single" w:sz="8" w:color="auto"/>
            </w:tcBorders>
          </w:tcPr>
          <w:p>
            <w:pPr>
              <w:jc w:val="right"/>
              <w:ind w:right="105"/>
              <w:spacing w:after="0" w:line="95" w:lineRule="exact"/>
              <w:rPr>
                <w:sz w:val="20"/>
                <w:szCs w:val="20"/>
                <w:color w:val="auto"/>
              </w:rPr>
            </w:pPr>
            <w:r>
              <w:rPr>
                <w:rFonts w:ascii="Arial" w:cs="Arial" w:eastAsia="Arial" w:hAnsi="Arial"/>
                <w:sz w:val="11"/>
                <w:szCs w:val="11"/>
                <w:color w:val="auto"/>
              </w:rPr>
              <w:t>114,391</w:t>
            </w:r>
          </w:p>
        </w:tc>
        <w:tc>
          <w:tcPr>
            <w:tcW w:w="1060" w:type="dxa"/>
            <w:vAlign w:val="bottom"/>
            <w:tcBorders>
              <w:right w:val="single" w:sz="8" w:color="auto"/>
            </w:tcBorders>
          </w:tcPr>
          <w:p>
            <w:pPr>
              <w:jc w:val="center"/>
              <w:spacing w:after="0" w:line="95" w:lineRule="exact"/>
              <w:rPr>
                <w:sz w:val="20"/>
                <w:szCs w:val="20"/>
                <w:color w:val="auto"/>
              </w:rPr>
            </w:pPr>
            <w:r>
              <w:rPr>
                <w:rFonts w:ascii="Arial" w:cs="Arial" w:eastAsia="Arial" w:hAnsi="Arial"/>
                <w:sz w:val="11"/>
                <w:szCs w:val="11"/>
                <w:color w:val="auto"/>
              </w:rPr>
              <w:t>84.3%</w:t>
            </w:r>
          </w:p>
        </w:tc>
      </w:tr>
      <w:tr>
        <w:trPr>
          <w:trHeight w:val="142"/>
        </w:trPr>
        <w:tc>
          <w:tcPr>
            <w:tcW w:w="3740" w:type="dxa"/>
            <w:vAlign w:val="bottom"/>
            <w:tcBorders>
              <w:left w:val="single" w:sz="8" w:color="auto"/>
              <w:bottom w:val="single" w:sz="8" w:color="auto"/>
              <w:right w:val="single" w:sz="8" w:color="auto"/>
            </w:tcBorders>
          </w:tcPr>
          <w:p>
            <w:pPr>
              <w:ind w:left="100"/>
              <w:spacing w:after="0" w:line="142" w:lineRule="exact"/>
              <w:rPr>
                <w:sz w:val="20"/>
                <w:szCs w:val="20"/>
                <w:color w:val="auto"/>
              </w:rPr>
            </w:pPr>
            <w:r>
              <w:rPr>
                <w:rFonts w:ascii="Arial" w:cs="Arial" w:eastAsia="Arial" w:hAnsi="Arial"/>
                <w:sz w:val="10"/>
                <w:szCs w:val="10"/>
                <w:color w:val="auto"/>
              </w:rPr>
              <w:t xml:space="preserve">Net Fee Income </w:t>
            </w:r>
            <w:r>
              <w:rPr>
                <w:rFonts w:ascii="Arial" w:cs="Arial" w:eastAsia="Arial" w:hAnsi="Arial"/>
                <w:sz w:val="16"/>
                <w:szCs w:val="16"/>
                <w:color w:val="auto"/>
                <w:vertAlign w:val="superscript"/>
              </w:rPr>
              <w:t>(2)</w:t>
            </w:r>
          </w:p>
        </w:tc>
        <w:tc>
          <w:tcPr>
            <w:tcW w:w="84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color w:val="auto"/>
              </w:rPr>
              <w:t>23,255</w:t>
            </w:r>
          </w:p>
        </w:tc>
        <w:tc>
          <w:tcPr>
            <w:tcW w:w="860" w:type="dxa"/>
            <w:vAlign w:val="bottom"/>
            <w:tcBorders>
              <w:bottom w:val="single" w:sz="8" w:color="auto"/>
            </w:tcBorders>
          </w:tcPr>
          <w:p>
            <w:pPr>
              <w:jc w:val="right"/>
              <w:ind w:right="85"/>
              <w:spacing w:after="0"/>
              <w:rPr>
                <w:sz w:val="20"/>
                <w:szCs w:val="20"/>
                <w:color w:val="auto"/>
              </w:rPr>
            </w:pPr>
            <w:r>
              <w:rPr>
                <w:rFonts w:ascii="Arial" w:cs="Arial" w:eastAsia="Arial" w:hAnsi="Arial"/>
                <w:sz w:val="11"/>
                <w:szCs w:val="11"/>
                <w:color w:val="auto"/>
              </w:rPr>
              <w:t>62,935</w:t>
            </w:r>
          </w:p>
        </w:tc>
        <w:tc>
          <w:tcPr>
            <w:tcW w:w="860" w:type="dxa"/>
            <w:vAlign w:val="bottom"/>
            <w:tcBorders>
              <w:bottom w:val="single" w:sz="8" w:color="auto"/>
              <w:right w:val="single" w:sz="8" w:color="auto"/>
            </w:tcBorders>
          </w:tcPr>
          <w:p>
            <w:pPr>
              <w:jc w:val="right"/>
              <w:ind w:right="105"/>
              <w:spacing w:after="0"/>
              <w:rPr>
                <w:sz w:val="20"/>
                <w:szCs w:val="20"/>
                <w:color w:val="auto"/>
              </w:rPr>
            </w:pPr>
            <w:r>
              <w:rPr>
                <w:rFonts w:ascii="Arial" w:cs="Arial" w:eastAsia="Arial" w:hAnsi="Arial"/>
                <w:sz w:val="11"/>
                <w:szCs w:val="11"/>
                <w:color w:val="auto"/>
              </w:rPr>
              <w:t>83,468</w:t>
            </w:r>
          </w:p>
        </w:tc>
        <w:tc>
          <w:tcPr>
            <w:tcW w:w="500" w:type="dxa"/>
            <w:vAlign w:val="bottom"/>
            <w:tcBorders>
              <w:bottom w:val="single" w:sz="8" w:color="auto"/>
            </w:tcBorders>
          </w:tcPr>
          <w:p>
            <w:pPr>
              <w:jc w:val="center"/>
              <w:ind w:left="145"/>
              <w:spacing w:after="0"/>
              <w:rPr>
                <w:sz w:val="20"/>
                <w:szCs w:val="20"/>
                <w:color w:val="auto"/>
              </w:rPr>
            </w:pPr>
            <w:r>
              <w:rPr>
                <w:rFonts w:ascii="Arial" w:cs="Arial" w:eastAsia="Arial" w:hAnsi="Arial"/>
                <w:sz w:val="11"/>
                <w:szCs w:val="11"/>
                <w:color w:val="auto"/>
                <w:w w:val="96"/>
              </w:rPr>
              <w:t>32.6%</w:t>
            </w:r>
          </w:p>
        </w:tc>
        <w:tc>
          <w:tcPr>
            <w:tcW w:w="1080" w:type="dxa"/>
            <w:vAlign w:val="bottom"/>
            <w:tcBorders>
              <w:bottom w:val="single" w:sz="8" w:color="auto"/>
              <w:right w:val="single" w:sz="8" w:color="auto"/>
            </w:tcBorders>
          </w:tcPr>
          <w:p>
            <w:pPr>
              <w:jc w:val="center"/>
              <w:ind w:left="125"/>
              <w:spacing w:after="0"/>
              <w:rPr>
                <w:sz w:val="20"/>
                <w:szCs w:val="20"/>
                <w:color w:val="auto"/>
              </w:rPr>
            </w:pPr>
            <w:r>
              <w:rPr>
                <w:rFonts w:ascii="Arial" w:cs="Arial" w:eastAsia="Arial" w:hAnsi="Arial"/>
                <w:sz w:val="11"/>
                <w:szCs w:val="11"/>
                <w:color w:val="auto"/>
              </w:rPr>
              <w:t>258.9%</w:t>
            </w:r>
          </w:p>
        </w:tc>
        <w:tc>
          <w:tcPr>
            <w:tcW w:w="960" w:type="dxa"/>
            <w:vAlign w:val="bottom"/>
            <w:tcBorders>
              <w:bottom w:val="single" w:sz="8" w:color="auto"/>
            </w:tcBorders>
          </w:tcPr>
          <w:p>
            <w:pPr>
              <w:jc w:val="right"/>
              <w:ind w:right="205"/>
              <w:spacing w:after="0"/>
              <w:rPr>
                <w:sz w:val="20"/>
                <w:szCs w:val="20"/>
                <w:color w:val="auto"/>
              </w:rPr>
            </w:pPr>
            <w:r>
              <w:rPr>
                <w:rFonts w:ascii="Arial" w:cs="Arial" w:eastAsia="Arial" w:hAnsi="Arial"/>
                <w:sz w:val="11"/>
                <w:szCs w:val="11"/>
                <w:color w:val="auto"/>
              </w:rPr>
              <w:t>38,919</w:t>
            </w:r>
          </w:p>
        </w:tc>
        <w:tc>
          <w:tcPr>
            <w:tcW w:w="720" w:type="dxa"/>
            <w:vAlign w:val="bottom"/>
            <w:tcBorders>
              <w:bottom w:val="single" w:sz="8" w:color="auto"/>
              <w:right w:val="single" w:sz="8" w:color="auto"/>
            </w:tcBorders>
          </w:tcPr>
          <w:p>
            <w:pPr>
              <w:jc w:val="right"/>
              <w:ind w:right="85"/>
              <w:spacing w:after="0"/>
              <w:rPr>
                <w:sz w:val="20"/>
                <w:szCs w:val="20"/>
                <w:color w:val="auto"/>
              </w:rPr>
            </w:pPr>
            <w:r>
              <w:rPr>
                <w:rFonts w:ascii="Arial" w:cs="Arial" w:eastAsia="Arial" w:hAnsi="Arial"/>
                <w:sz w:val="11"/>
                <w:szCs w:val="11"/>
                <w:color w:val="auto"/>
              </w:rPr>
              <w:t>146,404</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6"/>
              </w:rPr>
              <w:t>276.2%</w:t>
            </w:r>
          </w:p>
        </w:tc>
      </w:tr>
      <w:tr>
        <w:trPr>
          <w:trHeight w:val="114"/>
        </w:trPr>
        <w:tc>
          <w:tcPr>
            <w:tcW w:w="3740" w:type="dxa"/>
            <w:vAlign w:val="bottom"/>
            <w:tcBorders>
              <w:left w:val="single" w:sz="8" w:color="auto"/>
              <w:bottom w:val="single" w:sz="8" w:color="auto"/>
              <w:right w:val="single" w:sz="8" w:color="auto"/>
            </w:tcBorders>
          </w:tcPr>
          <w:p>
            <w:pPr>
              <w:ind w:left="100"/>
              <w:spacing w:after="0" w:line="114" w:lineRule="exact"/>
              <w:rPr>
                <w:sz w:val="20"/>
                <w:szCs w:val="20"/>
                <w:color w:val="auto"/>
              </w:rPr>
            </w:pPr>
            <w:r>
              <w:rPr>
                <w:rFonts w:ascii="Arial" w:cs="Arial" w:eastAsia="Arial" w:hAnsi="Arial"/>
                <w:sz w:val="11"/>
                <w:szCs w:val="11"/>
                <w:b w:val="1"/>
                <w:bCs w:val="1"/>
                <w:color w:val="auto"/>
              </w:rPr>
              <w:t>Total Income</w:t>
            </w:r>
          </w:p>
        </w:tc>
        <w:tc>
          <w:tcPr>
            <w:tcW w:w="840" w:type="dxa"/>
            <w:vAlign w:val="bottom"/>
            <w:tcBorders>
              <w:bottom w:val="single" w:sz="8" w:color="auto"/>
            </w:tcBorders>
          </w:tcPr>
          <w:p>
            <w:pPr>
              <w:jc w:val="right"/>
              <w:ind w:right="85"/>
              <w:spacing w:after="0" w:line="114" w:lineRule="exact"/>
              <w:rPr>
                <w:sz w:val="20"/>
                <w:szCs w:val="20"/>
                <w:color w:val="auto"/>
              </w:rPr>
            </w:pPr>
            <w:r>
              <w:rPr>
                <w:rFonts w:ascii="Arial" w:cs="Arial" w:eastAsia="Arial" w:hAnsi="Arial"/>
                <w:sz w:val="11"/>
                <w:szCs w:val="11"/>
                <w:color w:val="auto"/>
              </w:rPr>
              <w:t>57,788</w:t>
            </w:r>
          </w:p>
        </w:tc>
        <w:tc>
          <w:tcPr>
            <w:tcW w:w="860" w:type="dxa"/>
            <w:vAlign w:val="bottom"/>
            <w:tcBorders>
              <w:bottom w:val="single" w:sz="8" w:color="auto"/>
            </w:tcBorders>
          </w:tcPr>
          <w:p>
            <w:pPr>
              <w:jc w:val="right"/>
              <w:ind w:right="105"/>
              <w:spacing w:after="0" w:line="114" w:lineRule="exact"/>
              <w:rPr>
                <w:sz w:val="20"/>
                <w:szCs w:val="20"/>
                <w:color w:val="auto"/>
              </w:rPr>
            </w:pPr>
            <w:r>
              <w:rPr>
                <w:rFonts w:ascii="Arial" w:cs="Arial" w:eastAsia="Arial" w:hAnsi="Arial"/>
                <w:sz w:val="11"/>
                <w:szCs w:val="11"/>
                <w:color w:val="auto"/>
              </w:rPr>
              <w:t>116,998</w:t>
            </w:r>
          </w:p>
        </w:tc>
        <w:tc>
          <w:tcPr>
            <w:tcW w:w="860" w:type="dxa"/>
            <w:vAlign w:val="bottom"/>
            <w:tcBorders>
              <w:bottom w:val="single" w:sz="8" w:color="auto"/>
              <w:right w:val="single" w:sz="8" w:color="auto"/>
            </w:tcBorders>
          </w:tcPr>
          <w:p>
            <w:pPr>
              <w:jc w:val="right"/>
              <w:ind w:right="105"/>
              <w:spacing w:after="0" w:line="114" w:lineRule="exact"/>
              <w:rPr>
                <w:sz w:val="20"/>
                <w:szCs w:val="20"/>
                <w:color w:val="auto"/>
              </w:rPr>
            </w:pPr>
            <w:r>
              <w:rPr>
                <w:rFonts w:ascii="Arial" w:cs="Arial" w:eastAsia="Arial" w:hAnsi="Arial"/>
                <w:sz w:val="11"/>
                <w:szCs w:val="11"/>
                <w:color w:val="auto"/>
              </w:rPr>
              <w:t>143,797</w:t>
            </w:r>
          </w:p>
        </w:tc>
        <w:tc>
          <w:tcPr>
            <w:tcW w:w="500" w:type="dxa"/>
            <w:vAlign w:val="bottom"/>
            <w:tcBorders>
              <w:bottom w:val="single" w:sz="8" w:color="auto"/>
            </w:tcBorders>
          </w:tcPr>
          <w:p>
            <w:pPr>
              <w:jc w:val="center"/>
              <w:ind w:left="145"/>
              <w:spacing w:after="0" w:line="114" w:lineRule="exact"/>
              <w:rPr>
                <w:sz w:val="20"/>
                <w:szCs w:val="20"/>
                <w:color w:val="auto"/>
              </w:rPr>
            </w:pPr>
            <w:r>
              <w:rPr>
                <w:rFonts w:ascii="Arial" w:cs="Arial" w:eastAsia="Arial" w:hAnsi="Arial"/>
                <w:sz w:val="11"/>
                <w:szCs w:val="11"/>
                <w:color w:val="auto"/>
                <w:w w:val="96"/>
              </w:rPr>
              <w:t>22.9%</w:t>
            </w:r>
          </w:p>
        </w:tc>
        <w:tc>
          <w:tcPr>
            <w:tcW w:w="1080" w:type="dxa"/>
            <w:vAlign w:val="bottom"/>
            <w:tcBorders>
              <w:bottom w:val="single" w:sz="8" w:color="auto"/>
              <w:right w:val="single" w:sz="8" w:color="auto"/>
            </w:tcBorders>
          </w:tcPr>
          <w:p>
            <w:pPr>
              <w:jc w:val="center"/>
              <w:ind w:left="125"/>
              <w:spacing w:after="0" w:line="114" w:lineRule="exact"/>
              <w:rPr>
                <w:sz w:val="20"/>
                <w:szCs w:val="20"/>
                <w:color w:val="auto"/>
              </w:rPr>
            </w:pPr>
            <w:r>
              <w:rPr>
                <w:rFonts w:ascii="Arial" w:cs="Arial" w:eastAsia="Arial" w:hAnsi="Arial"/>
                <w:sz w:val="11"/>
                <w:szCs w:val="11"/>
                <w:color w:val="auto"/>
              </w:rPr>
              <w:t>148.8%</w:t>
            </w:r>
          </w:p>
        </w:tc>
        <w:tc>
          <w:tcPr>
            <w:tcW w:w="960" w:type="dxa"/>
            <w:vAlign w:val="bottom"/>
            <w:tcBorders>
              <w:bottom w:val="single" w:sz="8" w:color="auto"/>
            </w:tcBorders>
          </w:tcPr>
          <w:p>
            <w:pPr>
              <w:jc w:val="right"/>
              <w:ind w:right="205"/>
              <w:spacing w:after="0" w:line="114" w:lineRule="exact"/>
              <w:rPr>
                <w:sz w:val="20"/>
                <w:szCs w:val="20"/>
                <w:color w:val="auto"/>
              </w:rPr>
            </w:pPr>
            <w:r>
              <w:rPr>
                <w:rFonts w:ascii="Arial" w:cs="Arial" w:eastAsia="Arial" w:hAnsi="Arial"/>
                <w:sz w:val="11"/>
                <w:szCs w:val="11"/>
                <w:color w:val="auto"/>
              </w:rPr>
              <w:t>100,986</w:t>
            </w:r>
          </w:p>
        </w:tc>
        <w:tc>
          <w:tcPr>
            <w:tcW w:w="720" w:type="dxa"/>
            <w:vAlign w:val="bottom"/>
            <w:tcBorders>
              <w:bottom w:val="single" w:sz="8" w:color="auto"/>
              <w:right w:val="single" w:sz="8" w:color="auto"/>
            </w:tcBorders>
          </w:tcPr>
          <w:p>
            <w:pPr>
              <w:jc w:val="right"/>
              <w:ind w:right="85"/>
              <w:spacing w:after="0" w:line="114" w:lineRule="exact"/>
              <w:rPr>
                <w:sz w:val="20"/>
                <w:szCs w:val="20"/>
                <w:color w:val="auto"/>
              </w:rPr>
            </w:pPr>
            <w:r>
              <w:rPr>
                <w:rFonts w:ascii="Arial" w:cs="Arial" w:eastAsia="Arial" w:hAnsi="Arial"/>
                <w:sz w:val="11"/>
                <w:szCs w:val="11"/>
                <w:color w:val="auto"/>
              </w:rPr>
              <w:t>260,795</w:t>
            </w:r>
          </w:p>
        </w:tc>
        <w:tc>
          <w:tcPr>
            <w:tcW w:w="106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color w:val="auto"/>
                <w:w w:val="96"/>
              </w:rPr>
              <w:t>158.2%</w:t>
            </w:r>
          </w:p>
        </w:tc>
      </w:tr>
      <w:tr>
        <w:trPr>
          <w:trHeight w:val="114"/>
        </w:trPr>
        <w:tc>
          <w:tcPr>
            <w:tcW w:w="3740" w:type="dxa"/>
            <w:vAlign w:val="bottom"/>
            <w:tcBorders>
              <w:left w:val="single" w:sz="8" w:color="auto"/>
              <w:bottom w:val="single" w:sz="8" w:color="auto"/>
              <w:right w:val="single" w:sz="8" w:color="auto"/>
            </w:tcBorders>
          </w:tcPr>
          <w:p>
            <w:pPr>
              <w:ind w:left="100"/>
              <w:spacing w:after="0" w:line="114" w:lineRule="exact"/>
              <w:rPr>
                <w:sz w:val="20"/>
                <w:szCs w:val="20"/>
                <w:color w:val="auto"/>
              </w:rPr>
            </w:pPr>
            <w:r>
              <w:rPr>
                <w:rFonts w:ascii="Arial" w:cs="Arial" w:eastAsia="Arial" w:hAnsi="Arial"/>
                <w:sz w:val="11"/>
                <w:szCs w:val="11"/>
                <w:b w:val="1"/>
                <w:bCs w:val="1"/>
                <w:color w:val="auto"/>
              </w:rPr>
              <w:t>Total Expenses</w:t>
            </w:r>
          </w:p>
        </w:tc>
        <w:tc>
          <w:tcPr>
            <w:tcW w:w="840" w:type="dxa"/>
            <w:vAlign w:val="bottom"/>
            <w:tcBorders>
              <w:bottom w:val="single" w:sz="8" w:color="auto"/>
            </w:tcBorders>
          </w:tcPr>
          <w:p>
            <w:pPr>
              <w:jc w:val="right"/>
              <w:ind w:right="85"/>
              <w:spacing w:after="0" w:line="114" w:lineRule="exact"/>
              <w:rPr>
                <w:sz w:val="20"/>
                <w:szCs w:val="20"/>
                <w:color w:val="auto"/>
              </w:rPr>
            </w:pPr>
            <w:r>
              <w:rPr>
                <w:rFonts w:ascii="Arial" w:cs="Arial" w:eastAsia="Arial" w:hAnsi="Arial"/>
                <w:sz w:val="11"/>
                <w:szCs w:val="11"/>
                <w:color w:val="auto"/>
              </w:rPr>
              <w:t>-   98,785</w:t>
            </w:r>
          </w:p>
        </w:tc>
        <w:tc>
          <w:tcPr>
            <w:tcW w:w="860" w:type="dxa"/>
            <w:vAlign w:val="bottom"/>
            <w:tcBorders>
              <w:bottom w:val="single" w:sz="8" w:color="auto"/>
            </w:tcBorders>
          </w:tcPr>
          <w:p>
            <w:pPr>
              <w:jc w:val="right"/>
              <w:ind w:right="105"/>
              <w:spacing w:after="0" w:line="114" w:lineRule="exact"/>
              <w:rPr>
                <w:sz w:val="20"/>
                <w:szCs w:val="20"/>
                <w:color w:val="auto"/>
              </w:rPr>
            </w:pPr>
            <w:r>
              <w:rPr>
                <w:rFonts w:ascii="Arial" w:cs="Arial" w:eastAsia="Arial" w:hAnsi="Arial"/>
                <w:sz w:val="11"/>
                <w:szCs w:val="11"/>
                <w:color w:val="auto"/>
              </w:rPr>
              <w:t>-  128,128</w:t>
            </w:r>
          </w:p>
        </w:tc>
        <w:tc>
          <w:tcPr>
            <w:tcW w:w="860" w:type="dxa"/>
            <w:vAlign w:val="bottom"/>
            <w:tcBorders>
              <w:bottom w:val="single" w:sz="8" w:color="auto"/>
              <w:right w:val="single" w:sz="8" w:color="auto"/>
            </w:tcBorders>
          </w:tcPr>
          <w:p>
            <w:pPr>
              <w:jc w:val="right"/>
              <w:ind w:right="125"/>
              <w:spacing w:after="0" w:line="114" w:lineRule="exact"/>
              <w:rPr>
                <w:sz w:val="20"/>
                <w:szCs w:val="20"/>
                <w:color w:val="auto"/>
              </w:rPr>
            </w:pPr>
            <w:r>
              <w:rPr>
                <w:rFonts w:ascii="Arial" w:cs="Arial" w:eastAsia="Arial" w:hAnsi="Arial"/>
                <w:sz w:val="11"/>
                <w:szCs w:val="11"/>
                <w:color w:val="auto"/>
              </w:rPr>
              <w:t>-  139,198</w:t>
            </w:r>
          </w:p>
        </w:tc>
        <w:tc>
          <w:tcPr>
            <w:tcW w:w="500" w:type="dxa"/>
            <w:vAlign w:val="bottom"/>
            <w:tcBorders>
              <w:bottom w:val="single" w:sz="8" w:color="auto"/>
            </w:tcBorders>
          </w:tcPr>
          <w:p>
            <w:pPr>
              <w:jc w:val="center"/>
              <w:ind w:left="145"/>
              <w:spacing w:after="0" w:line="114" w:lineRule="exact"/>
              <w:rPr>
                <w:sz w:val="20"/>
                <w:szCs w:val="20"/>
                <w:color w:val="auto"/>
              </w:rPr>
            </w:pPr>
            <w:r>
              <w:rPr>
                <w:rFonts w:ascii="Arial" w:cs="Arial" w:eastAsia="Arial" w:hAnsi="Arial"/>
                <w:sz w:val="11"/>
                <w:szCs w:val="11"/>
                <w:color w:val="auto"/>
              </w:rPr>
              <w:t>8.6%</w:t>
            </w:r>
          </w:p>
        </w:tc>
        <w:tc>
          <w:tcPr>
            <w:tcW w:w="1080" w:type="dxa"/>
            <w:vAlign w:val="bottom"/>
            <w:tcBorders>
              <w:bottom w:val="single" w:sz="8" w:color="auto"/>
              <w:right w:val="single" w:sz="8" w:color="auto"/>
            </w:tcBorders>
          </w:tcPr>
          <w:p>
            <w:pPr>
              <w:jc w:val="center"/>
              <w:ind w:left="145"/>
              <w:spacing w:after="0" w:line="114" w:lineRule="exact"/>
              <w:rPr>
                <w:sz w:val="20"/>
                <w:szCs w:val="20"/>
                <w:color w:val="auto"/>
              </w:rPr>
            </w:pPr>
            <w:r>
              <w:rPr>
                <w:rFonts w:ascii="Arial" w:cs="Arial" w:eastAsia="Arial" w:hAnsi="Arial"/>
                <w:sz w:val="11"/>
                <w:szCs w:val="11"/>
                <w:color w:val="auto"/>
              </w:rPr>
              <w:t>40.9%</w:t>
            </w:r>
          </w:p>
        </w:tc>
        <w:tc>
          <w:tcPr>
            <w:tcW w:w="960" w:type="dxa"/>
            <w:vAlign w:val="bottom"/>
            <w:tcBorders>
              <w:bottom w:val="single" w:sz="8" w:color="auto"/>
            </w:tcBorders>
          </w:tcPr>
          <w:p>
            <w:pPr>
              <w:jc w:val="right"/>
              <w:ind w:right="225"/>
              <w:spacing w:after="0" w:line="114" w:lineRule="exact"/>
              <w:rPr>
                <w:sz w:val="20"/>
                <w:szCs w:val="20"/>
                <w:color w:val="auto"/>
              </w:rPr>
            </w:pPr>
            <w:r>
              <w:rPr>
                <w:rFonts w:ascii="Arial" w:cs="Arial" w:eastAsia="Arial" w:hAnsi="Arial"/>
                <w:sz w:val="11"/>
                <w:szCs w:val="11"/>
                <w:color w:val="auto"/>
              </w:rPr>
              <w:t>-  199,021</w:t>
            </w:r>
          </w:p>
        </w:tc>
        <w:tc>
          <w:tcPr>
            <w:tcW w:w="720" w:type="dxa"/>
            <w:vAlign w:val="bottom"/>
            <w:tcBorders>
              <w:bottom w:val="single" w:sz="8" w:color="auto"/>
              <w:right w:val="single" w:sz="8" w:color="auto"/>
            </w:tcBorders>
          </w:tcPr>
          <w:p>
            <w:pPr>
              <w:jc w:val="right"/>
              <w:ind w:right="105"/>
              <w:spacing w:after="0" w:line="114" w:lineRule="exact"/>
              <w:rPr>
                <w:sz w:val="20"/>
                <w:szCs w:val="20"/>
                <w:color w:val="auto"/>
              </w:rPr>
            </w:pPr>
            <w:r>
              <w:rPr>
                <w:rFonts w:ascii="Arial" w:cs="Arial" w:eastAsia="Arial" w:hAnsi="Arial"/>
                <w:sz w:val="11"/>
                <w:szCs w:val="11"/>
                <w:color w:val="auto"/>
              </w:rPr>
              <w:t>-  267,326</w:t>
            </w:r>
          </w:p>
        </w:tc>
        <w:tc>
          <w:tcPr>
            <w:tcW w:w="106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color w:val="auto"/>
              </w:rPr>
              <w:t>34.3%</w:t>
            </w:r>
          </w:p>
        </w:tc>
      </w:tr>
    </w:tbl>
    <w:p>
      <w:pPr>
        <w:spacing w:after="0" w:line="86" w:lineRule="exact"/>
        <w:rPr>
          <w:sz w:val="20"/>
          <w:szCs w:val="20"/>
          <w:color w:val="auto"/>
        </w:rPr>
      </w:pPr>
    </w:p>
    <w:p>
      <w:pPr>
        <w:ind w:left="160" w:hanging="151"/>
        <w:spacing w:after="0"/>
        <w:tabs>
          <w:tab w:leader="none" w:pos="160" w:val="left"/>
        </w:tabs>
        <w:numPr>
          <w:ilvl w:val="0"/>
          <w:numId w:val="8"/>
        </w:numPr>
        <w:rPr>
          <w:rFonts w:ascii="Arial" w:cs="Arial" w:eastAsia="Arial" w:hAnsi="Arial"/>
          <w:sz w:val="10"/>
          <w:szCs w:val="10"/>
          <w:color w:val="auto"/>
        </w:rPr>
      </w:pPr>
      <w:r>
        <w:rPr>
          <w:rFonts w:ascii="Arial" w:cs="Arial" w:eastAsia="Arial" w:hAnsi="Arial"/>
          <w:sz w:val="10"/>
          <w:szCs w:val="10"/>
          <w:color w:val="auto"/>
        </w:rPr>
        <w:t>This table corresponds to management numbers.</w:t>
      </w:r>
    </w:p>
    <w:p>
      <w:pPr>
        <w:ind w:left="160" w:hanging="151"/>
        <w:spacing w:after="0"/>
        <w:tabs>
          <w:tab w:leader="none" w:pos="160" w:val="left"/>
        </w:tabs>
        <w:numPr>
          <w:ilvl w:val="0"/>
          <w:numId w:val="8"/>
        </w:numPr>
        <w:rPr>
          <w:rFonts w:ascii="Arial" w:cs="Arial" w:eastAsia="Arial" w:hAnsi="Arial"/>
          <w:sz w:val="10"/>
          <w:szCs w:val="10"/>
          <w:color w:val="auto"/>
        </w:rPr>
      </w:pPr>
      <w:r>
        <w:rPr>
          <w:rFonts w:ascii="Arial" w:cs="Arial" w:eastAsia="Arial" w:hAnsi="Arial"/>
          <w:sz w:val="10"/>
          <w:szCs w:val="10"/>
          <w:color w:val="auto"/>
        </w:rPr>
        <w:t>Includes fee income recorded in BCP; as well fee income recorded in Yape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753110</wp:posOffset>
            </wp:positionV>
            <wp:extent cx="7164705" cy="13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93345</wp:posOffset>
            </wp:positionV>
            <wp:extent cx="1502410" cy="44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5799455</wp:posOffset>
            </wp:positionH>
            <wp:positionV relativeFrom="paragraph">
              <wp:posOffset>256540</wp:posOffset>
            </wp:positionV>
            <wp:extent cx="1214755" cy="2806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14755" cy="280670"/>
                    </a:xfrm>
                    <a:prstGeom prst="rect">
                      <a:avLst/>
                    </a:prstGeom>
                    <a:noFill/>
                  </pic:spPr>
                </pic:pic>
              </a:graphicData>
            </a:graphic>
          </wp:anchor>
        </w:drawing>
      </w:r>
    </w:p>
    <w:p>
      <w:pPr>
        <w:sectPr>
          <w:pgSz w:w="11900" w:h="16838" w:orient="portrait"/>
          <w:cols w:equalWidth="0" w:num="1">
            <w:col w:w="10800"/>
          </w:cols>
          <w:pgMar w:left="540" w:top="298" w:right="559" w:bottom="1440" w:gutter="0" w:footer="0" w:header="0"/>
          <w:type w:val="continuous"/>
        </w:sectPr>
      </w:pPr>
    </w:p>
    <w:bookmarkStart w:id="17" w:name="page18"/>
    <w:bookmarkEnd w:id="17"/>
    <w:p>
      <w:pPr>
        <w:ind w:left="2480"/>
        <w:spacing w:after="0"/>
        <w:tabs>
          <w:tab w:leader="none" w:pos="2680" w:val="left"/>
          <w:tab w:leader="none" w:pos="7680"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80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705" cy="588010"/>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Credicorp’s Strategy Update</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Integrating Sustainability in Our Businesses</w:t>
      </w:r>
    </w:p>
    <w:p>
      <w:pPr>
        <w:spacing w:after="0" w:line="150"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In 2Q24, BCP held “Sustainable Impact 2024,” where business leaders and experts in sustainability shared sustainable initiatives developed by large Peruvian companies and discussed how to accelerate ESG’s integration in the day-to-day of doing business. Expert panelists, including Gonzalo Muñoz, High Level Climate Champion of the United Nations and co-founder of System B in Latin America (certification of companies that positively impact society and the environment), provided insight. CEOs, CFOs and sustainability managers from key sectors in the country participated in this event.</w:t>
      </w:r>
    </w:p>
    <w:p>
      <w:pPr>
        <w:spacing w:after="0" w:line="13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more information about our sustainability strategy, program and initiatives, please review our “</w:t>
      </w:r>
      <w:r>
        <w:rPr>
          <w:rFonts w:ascii="Arial" w:cs="Arial" w:eastAsia="Arial" w:hAnsi="Arial"/>
          <w:sz w:val="14"/>
          <w:szCs w:val="14"/>
          <w:u w:val="single" w:color="auto"/>
          <w:color w:val="0562C1"/>
        </w:rPr>
        <w:t>Sustainability Strategy 2020-25”</w:t>
      </w:r>
      <w:r>
        <w:rPr>
          <w:rFonts w:ascii="Arial" w:cs="Arial" w:eastAsia="Arial" w:hAnsi="Arial"/>
          <w:sz w:val="14"/>
          <w:szCs w:val="14"/>
          <w:color w:val="auto"/>
        </w:rPr>
        <w:t xml:space="preserve"> and the “</w:t>
      </w:r>
      <w:r>
        <w:rPr>
          <w:rFonts w:ascii="Arial" w:cs="Arial" w:eastAsia="Arial" w:hAnsi="Arial"/>
          <w:sz w:val="14"/>
          <w:szCs w:val="14"/>
          <w:u w:val="single" w:color="auto"/>
          <w:color w:val="0562C1"/>
        </w:rPr>
        <w:t>Annual and Sustainability Report</w:t>
      </w:r>
      <w:r>
        <w:rPr>
          <w:rFonts w:ascii="Arial" w:cs="Arial" w:eastAsia="Arial" w:hAnsi="Arial"/>
          <w:sz w:val="14"/>
          <w:szCs w:val="14"/>
          <w:color w:val="auto"/>
        </w:rPr>
        <w:t xml:space="preserve"> </w:t>
      </w:r>
      <w:r>
        <w:rPr>
          <w:rFonts w:ascii="Arial" w:cs="Arial" w:eastAsia="Arial" w:hAnsi="Arial"/>
          <w:sz w:val="14"/>
          <w:szCs w:val="14"/>
          <w:u w:val="single" w:color="auto"/>
          <w:color w:val="0562C1"/>
        </w:rPr>
        <w:t>2023”</w:t>
      </w:r>
      <w:r>
        <w:rPr>
          <w:rFonts w:ascii="Arial" w:cs="Arial" w:eastAsia="Arial" w:hAnsi="Arial"/>
          <w:sz w:val="14"/>
          <w:szCs w:val="14"/>
          <w:color w:val="000000"/>
        </w:rPr>
        <w:t>. Among other milestones hit in 2Q24, in the framework of the Sustainability Program, the following advances are noteworthy:</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Environmental Front – Driving environmental sustainability from the financial sector and ESG risk management</w:t>
      </w:r>
    </w:p>
    <w:p>
      <w:pPr>
        <w:spacing w:after="0" w:line="150" w:lineRule="exact"/>
        <w:rPr>
          <w:sz w:val="20"/>
          <w:szCs w:val="20"/>
          <w:color w:val="auto"/>
        </w:rPr>
      </w:pPr>
    </w:p>
    <w:p>
      <w:pPr>
        <w:jc w:val="both"/>
        <w:ind w:left="260" w:hanging="251"/>
        <w:spacing w:after="0" w:line="235" w:lineRule="auto"/>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Carbon footprint management: </w:t>
      </w:r>
      <w:r>
        <w:rPr>
          <w:rFonts w:ascii="Arial" w:cs="Arial" w:eastAsia="Arial" w:hAnsi="Arial"/>
          <w:sz w:val="14"/>
          <w:szCs w:val="14"/>
          <w:color w:val="auto"/>
        </w:rPr>
        <w:t>We continue to make progress in measuring our portfolio’s footprint under the PCAF methodology (</w:t>
      </w:r>
      <w:r>
        <w:rPr>
          <w:rFonts w:ascii="Arial" w:cs="Arial" w:eastAsia="Arial" w:hAnsi="Arial"/>
          <w:sz w:val="14"/>
          <w:szCs w:val="14"/>
          <w:i w:val="1"/>
          <w:iCs w:val="1"/>
          <w:color w:val="auto"/>
        </w:rPr>
        <w:t>Partnership for Carbon Accounting</w:t>
      </w:r>
      <w:r>
        <w:rPr>
          <w:rFonts w:ascii="Arial" w:cs="Arial" w:eastAsia="Arial" w:hAnsi="Arial"/>
          <w:sz w:val="14"/>
          <w:szCs w:val="14"/>
          <w:b w:val="1"/>
          <w:bCs w:val="1"/>
          <w:i w:val="1"/>
          <w:iCs w:val="1"/>
          <w:color w:val="auto"/>
        </w:rPr>
        <w:t xml:space="preserve"> </w:t>
      </w:r>
      <w:r>
        <w:rPr>
          <w:rFonts w:ascii="Arial" w:cs="Arial" w:eastAsia="Arial" w:hAnsi="Arial"/>
          <w:sz w:val="14"/>
          <w:szCs w:val="14"/>
          <w:i w:val="1"/>
          <w:iCs w:val="1"/>
          <w:color w:val="auto"/>
        </w:rPr>
        <w:t>Financials</w:t>
      </w:r>
      <w:r>
        <w:rPr>
          <w:rFonts w:ascii="Arial" w:cs="Arial" w:eastAsia="Arial" w:hAnsi="Arial"/>
          <w:sz w:val="14"/>
          <w:szCs w:val="14"/>
          <w:color w:val="auto"/>
        </w:rPr>
        <w:t>), which allows us to use information on the footprint that has been reported by issuers and clients or by other estimates. Our subsidiaries have advanced in</w:t>
      </w:r>
      <w:r>
        <w:rPr>
          <w:rFonts w:ascii="Arial" w:cs="Arial" w:eastAsia="Arial" w:hAnsi="Arial"/>
          <w:sz w:val="14"/>
          <w:szCs w:val="14"/>
          <w:i w:val="1"/>
          <w:iCs w:val="1"/>
          <w:color w:val="auto"/>
        </w:rPr>
        <w:t xml:space="preserve"> </w:t>
      </w:r>
      <w:r>
        <w:rPr>
          <w:rFonts w:ascii="Arial" w:cs="Arial" w:eastAsia="Arial" w:hAnsi="Arial"/>
          <w:sz w:val="14"/>
          <w:szCs w:val="14"/>
          <w:color w:val="auto"/>
        </w:rPr>
        <w:t>expanding their measurement efforts:</w:t>
      </w:r>
    </w:p>
    <w:p>
      <w:pPr>
        <w:spacing w:after="0" w:line="1" w:lineRule="exact"/>
        <w:rPr>
          <w:rFonts w:ascii="Arial" w:cs="Arial" w:eastAsia="Arial" w:hAnsi="Arial"/>
          <w:sz w:val="14"/>
          <w:szCs w:val="14"/>
          <w:color w:val="auto"/>
        </w:rPr>
      </w:pPr>
    </w:p>
    <w:p>
      <w:pPr>
        <w:jc w:val="both"/>
        <w:ind w:left="500" w:hanging="244"/>
        <w:spacing w:after="0" w:line="230" w:lineRule="auto"/>
        <w:tabs>
          <w:tab w:leader="none" w:pos="500" w:val="left"/>
        </w:tabs>
        <w:numPr>
          <w:ilvl w:val="1"/>
          <w:numId w:val="9"/>
        </w:numPr>
        <w:rPr>
          <w:rFonts w:ascii="Arial" w:cs="Arial" w:eastAsia="Arial" w:hAnsi="Arial"/>
          <w:sz w:val="14"/>
          <w:szCs w:val="14"/>
          <w:color w:val="auto"/>
        </w:rPr>
      </w:pPr>
      <w:r>
        <w:rPr>
          <w:rFonts w:ascii="Arial" w:cs="Arial" w:eastAsia="Arial" w:hAnsi="Arial"/>
          <w:sz w:val="14"/>
          <w:szCs w:val="14"/>
          <w:color w:val="auto"/>
        </w:rPr>
        <w:t>Pacífico Seguros and Prima AFP updated the measurement of their portfolio’s footprint with data to the end of 2023, registering progress of 69% and 77% respectively. In 3Q24, Pacífico Seguros will roll out an initiative to educate its underwriting and sales teams about the PCAF methodology to measure emissions associated with insurance contracts.</w:t>
      </w:r>
    </w:p>
    <w:p>
      <w:pPr>
        <w:ind w:left="500" w:right="20" w:hanging="244"/>
        <w:spacing w:after="0" w:line="229" w:lineRule="auto"/>
        <w:tabs>
          <w:tab w:leader="none" w:pos="500" w:val="left"/>
        </w:tabs>
        <w:numPr>
          <w:ilvl w:val="1"/>
          <w:numId w:val="9"/>
        </w:numPr>
        <w:rPr>
          <w:rFonts w:ascii="Arial" w:cs="Arial" w:eastAsia="Arial" w:hAnsi="Arial"/>
          <w:sz w:val="14"/>
          <w:szCs w:val="14"/>
          <w:color w:val="auto"/>
        </w:rPr>
      </w:pPr>
      <w:r>
        <w:rPr>
          <w:rFonts w:ascii="Arial" w:cs="Arial" w:eastAsia="Arial" w:hAnsi="Arial"/>
          <w:sz w:val="14"/>
          <w:szCs w:val="14"/>
          <w:color w:val="auto"/>
        </w:rPr>
        <w:t>Credicorp Capital Asset Management culminated its first measurement, which covers 5 LATAM funds. Currently, the company is in the process of analyzing its results and benchmark.</w:t>
      </w:r>
    </w:p>
    <w:p>
      <w:pPr>
        <w:spacing w:after="0" w:line="1" w:lineRule="exact"/>
        <w:rPr>
          <w:rFonts w:ascii="Arial" w:cs="Arial" w:eastAsia="Arial" w:hAnsi="Arial"/>
          <w:sz w:val="14"/>
          <w:szCs w:val="14"/>
          <w:color w:val="auto"/>
        </w:rPr>
      </w:pPr>
    </w:p>
    <w:p>
      <w:pPr>
        <w:ind w:left="500" w:hanging="244"/>
        <w:spacing w:after="0" w:line="230" w:lineRule="auto"/>
        <w:tabs>
          <w:tab w:leader="none" w:pos="500" w:val="left"/>
        </w:tabs>
        <w:numPr>
          <w:ilvl w:val="1"/>
          <w:numId w:val="9"/>
        </w:numPr>
        <w:rPr>
          <w:rFonts w:ascii="Arial" w:cs="Arial" w:eastAsia="Arial" w:hAnsi="Arial"/>
          <w:sz w:val="14"/>
          <w:szCs w:val="14"/>
          <w:color w:val="auto"/>
        </w:rPr>
      </w:pPr>
      <w:r>
        <w:rPr>
          <w:rFonts w:ascii="Arial" w:cs="Arial" w:eastAsia="Arial" w:hAnsi="Arial"/>
          <w:sz w:val="14"/>
          <w:szCs w:val="14"/>
          <w:color w:val="auto"/>
        </w:rPr>
        <w:t>In parallel, the process to measure the footprint of BCP Bolivia’s wholesale portfolio is underway.</w:t>
      </w:r>
    </w:p>
    <w:p>
      <w:pPr>
        <w:jc w:val="both"/>
        <w:ind w:left="260" w:hanging="251"/>
        <w:spacing w:after="0" w:line="230" w:lineRule="auto"/>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Business opportunities: </w:t>
      </w:r>
      <w:r>
        <w:rPr>
          <w:rFonts w:ascii="Arial" w:cs="Arial" w:eastAsia="Arial" w:hAnsi="Arial"/>
          <w:sz w:val="14"/>
          <w:szCs w:val="14"/>
          <w:color w:val="auto"/>
        </w:rPr>
        <w:t>As part of our objective to promote green and transition businesses, BCP had disbursed more than US$ 790 million in green loans as of June 2024.</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Additionally, BCP obtained its first green financing from a foreign bank through a foreign trade transaction with CaixaBank for US$ 37 million dollars. Funds are destined for use in foreign trade transactions that fulfill the eligibility criteria set forth in BCP’s Green Taxonomy. By the end of 2Q24, BCP Bolivia had disbursed more than for US$ 25 million in green loans.</w:t>
      </w:r>
    </w:p>
    <w:p>
      <w:pPr>
        <w:jc w:val="both"/>
        <w:ind w:left="260" w:hanging="251"/>
        <w:spacing w:after="0" w:line="236" w:lineRule="auto"/>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b w:val="1"/>
          <w:bCs w:val="1"/>
          <w:i w:val="1"/>
          <w:iCs w:val="1"/>
          <w:color w:val="auto"/>
        </w:rPr>
        <w:t>Risks</w:t>
      </w:r>
      <w:r>
        <w:rPr>
          <w:rFonts w:ascii="Arial" w:cs="Arial" w:eastAsia="Arial" w:hAnsi="Arial"/>
          <w:sz w:val="14"/>
          <w:szCs w:val="14"/>
          <w:color w:val="auto"/>
        </w:rPr>
        <w:t>: Using the platform of the ESG Risk Enabler, we began to apply ESG assessment tools (including questionnaires and internal scores) to different types of prioritized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assets. On the financing front, we are employing new ESG questionnaires and by 2Q24, 33% of our clients had been assessed with these instruments. To prioritize the businesses that must be subjected to ESG analysis, we consider our clients’ level exposure and apply the heat map we have developed.</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Social Front – Expanding financial inclusion and educating people about finance and entrepreneurship</w:t>
      </w:r>
    </w:p>
    <w:p>
      <w:pPr>
        <w:spacing w:after="0" w:line="150" w:lineRule="exact"/>
        <w:rPr>
          <w:sz w:val="20"/>
          <w:szCs w:val="20"/>
          <w:color w:val="auto"/>
        </w:rPr>
      </w:pPr>
    </w:p>
    <w:p>
      <w:pPr>
        <w:jc w:val="both"/>
        <w:spacing w:after="0" w:line="236" w:lineRule="auto"/>
        <w:rPr>
          <w:sz w:val="20"/>
          <w:szCs w:val="20"/>
          <w:color w:val="auto"/>
        </w:rPr>
      </w:pPr>
      <w:r>
        <w:rPr>
          <w:rFonts w:ascii="Arial" w:cs="Arial" w:eastAsia="Arial" w:hAnsi="Arial"/>
          <w:sz w:val="14"/>
          <w:szCs w:val="14"/>
          <w:b w:val="1"/>
          <w:bCs w:val="1"/>
          <w:i w:val="1"/>
          <w:iCs w:val="1"/>
          <w:color w:val="auto"/>
        </w:rPr>
        <w:t>Financial Inclusion</w:t>
      </w:r>
      <w:r>
        <w:rPr>
          <w:rFonts w:ascii="Arial" w:cs="Arial" w:eastAsia="Arial" w:hAnsi="Arial"/>
          <w:sz w:val="14"/>
          <w:szCs w:val="14"/>
          <w:color w:val="auto"/>
        </w:rPr>
        <w:t>: To promote financial inclusion beyond the capital, Yape continues to affiliate microbusinesses in intermediate-size cities and smaller population centers in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different regions of Peru. This effort focuses primarily on Puno, Arequipa, La Libertad, Loreto and Ucayali to consolidate our strategy in the southern mountain range, where confidence barriers are highest. As of 2Q24, 176.7 thousand people had used Yape to obtain their first loan in the formal financial system. Importantly, 41% of these loan recipients were women. The “Agente Móvil” at BCP has traveled 19.4 mil km. New routes were launched in the regions of Loreto, Junín, Piura, and Lima provinces (each with its own mobile unit) and more than 28.1 thousand transactions have been made since 2023. As of the end of 2Q24, the Crediagua program, which contributes to improving the quality of life of our clients by financing sanitary improvements, had disbursed 26.8 thousand loans.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Education (FE)</w:t>
      </w:r>
      <w:r>
        <w:rPr>
          <w:rFonts w:ascii="Arial" w:cs="Arial" w:eastAsia="Arial" w:hAnsi="Arial"/>
          <w:sz w:val="14"/>
          <w:szCs w:val="14"/>
          <w:color w:val="auto"/>
        </w:rPr>
        <w:t>: In 2Q24, we continued to make progress in our quest to generate a better understanding of and confidence in the financial system:</w:t>
      </w:r>
    </w:p>
    <w:p>
      <w:pPr>
        <w:ind w:left="260" w:hanging="251"/>
        <w:spacing w:after="0" w:line="237" w:lineRule="auto"/>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BCP continued to drive improvements in financial behavior (credit risk and savings habits) and had reached 106.6 thousand clients as of 2Q24.</w:t>
      </w:r>
    </w:p>
    <w:p>
      <w:pPr>
        <w:ind w:left="260" w:hanging="251"/>
        <w:spacing w:after="0" w:line="229" w:lineRule="auto"/>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More than 192.9 thousand clients at Mibanco had been trained as of 2Q24 through the Basic Program for Digital Education.</w:t>
      </w:r>
    </w:p>
    <w:p>
      <w:pPr>
        <w:ind w:left="260" w:hanging="251"/>
        <w:spacing w:after="0" w:line="230" w:lineRule="auto"/>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Prima AFP’s “Ahorrando a Fondo” seeks to educate users about basic retirement concepts and addresses their most common concerns easily through an entertaining format. At the organic level, this initiative registered 21.8 million sessions in 2Q24.</w:t>
      </w:r>
    </w:p>
    <w:p>
      <w:pPr>
        <w:ind w:left="260" w:hanging="251"/>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Pacífico’s Protege 365 platform, whose objective is to strengthen risk management at companies through education, has more than 6 thousand client companies that use services and/or are registered. To date, more than 25 thousand employees have been trained and certified.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749300</wp:posOffset>
            </wp:positionV>
            <wp:extent cx="7164705" cy="133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90170</wp:posOffset>
            </wp:positionV>
            <wp:extent cx="1502410" cy="44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5812155</wp:posOffset>
            </wp:positionH>
            <wp:positionV relativeFrom="paragraph">
              <wp:posOffset>233680</wp:posOffset>
            </wp:positionV>
            <wp:extent cx="1202055" cy="3003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2055" cy="300355"/>
                    </a:xfrm>
                    <a:prstGeom prst="rect">
                      <a:avLst/>
                    </a:prstGeom>
                    <a:noFill/>
                  </pic:spPr>
                </pic:pic>
              </a:graphicData>
            </a:graphic>
          </wp:anchor>
        </w:drawing>
      </w:r>
    </w:p>
    <w:p>
      <w:pPr>
        <w:sectPr>
          <w:pgSz w:w="11900" w:h="16838" w:orient="portrait"/>
          <w:cols w:equalWidth="0" w:num="1">
            <w:col w:w="10800"/>
          </w:cols>
          <w:pgMar w:left="540" w:top="298" w:right="559" w:bottom="1440" w:gutter="0" w:footer="0" w:header="0"/>
        </w:sectPr>
      </w:pPr>
    </w:p>
    <w:bookmarkStart w:id="18" w:name="page19"/>
    <w:bookmarkEnd w:id="18"/>
    <w:p>
      <w:pPr>
        <w:ind w:left="2480"/>
        <w:spacing w:after="0"/>
        <w:tabs>
          <w:tab w:leader="none" w:pos="2680" w:val="left"/>
          <w:tab w:leader="none" w:pos="7680"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746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705" cy="574675"/>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Credicorp’s Strategy Update</w:t>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To see the progress we have made through other initiatives and platforms on the social front, please review the following table:</w:t>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5100" w:type="dxa"/>
            <w:vAlign w:val="bottom"/>
            <w:tcBorders>
              <w:top w:val="single" w:sz="8" w:color="auto"/>
              <w:left w:val="single" w:sz="8" w:color="auto"/>
              <w:bottom w:val="single" w:sz="8" w:color="auto"/>
              <w:right w:val="single" w:sz="8" w:color="auto"/>
            </w:tcBorders>
            <w:shd w:val="clear" w:color="auto" w:fill="2AD2C9"/>
          </w:tcPr>
          <w:p>
            <w:pPr>
              <w:ind w:left="100"/>
              <w:spacing w:after="0"/>
              <w:rPr>
                <w:sz w:val="20"/>
                <w:szCs w:val="20"/>
                <w:color w:val="auto"/>
              </w:rPr>
            </w:pPr>
            <w:r>
              <w:rPr>
                <w:rFonts w:ascii="Arial" w:cs="Arial" w:eastAsia="Arial" w:hAnsi="Arial"/>
                <w:sz w:val="11"/>
                <w:szCs w:val="11"/>
                <w:b w:val="1"/>
                <w:bCs w:val="1"/>
                <w:i w:val="1"/>
                <w:iCs w:val="1"/>
                <w:color w:val="auto"/>
              </w:rPr>
              <w:t>Progress on Initiatives</w:t>
            </w:r>
          </w:p>
        </w:tc>
        <w:tc>
          <w:tcPr>
            <w:tcW w:w="1340" w:type="dxa"/>
            <w:vAlign w:val="bottom"/>
            <w:tcBorders>
              <w:top w:val="single" w:sz="8" w:color="auto"/>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i w:val="1"/>
                <w:iCs w:val="1"/>
                <w:color w:val="auto"/>
                <w:w w:val="99"/>
              </w:rPr>
              <w:t>Company</w:t>
            </w:r>
          </w:p>
        </w:tc>
        <w:tc>
          <w:tcPr>
            <w:tcW w:w="1360" w:type="dxa"/>
            <w:vAlign w:val="bottom"/>
            <w:tcBorders>
              <w:top w:val="single" w:sz="8" w:color="auto"/>
              <w:bottom w:val="single" w:sz="8" w:color="auto"/>
              <w:right w:val="single" w:sz="8" w:color="auto"/>
            </w:tcBorders>
            <w:shd w:val="clear" w:color="auto" w:fill="2AD2C9"/>
          </w:tcPr>
          <w:p>
            <w:pPr>
              <w:jc w:val="right"/>
              <w:ind w:right="505"/>
              <w:spacing w:after="0"/>
              <w:rPr>
                <w:sz w:val="20"/>
                <w:szCs w:val="20"/>
                <w:color w:val="auto"/>
              </w:rPr>
            </w:pPr>
            <w:r>
              <w:rPr>
                <w:rFonts w:ascii="Arial" w:cs="Arial" w:eastAsia="Arial" w:hAnsi="Arial"/>
                <w:sz w:val="11"/>
                <w:szCs w:val="11"/>
                <w:b w:val="1"/>
                <w:bCs w:val="1"/>
                <w:i w:val="1"/>
                <w:iCs w:val="1"/>
                <w:color w:val="auto"/>
              </w:rPr>
              <w:t>2Q23</w:t>
            </w:r>
            <w:r>
              <w:rPr>
                <w:rFonts w:ascii="Arial" w:cs="Arial" w:eastAsia="Arial" w:hAnsi="Arial"/>
                <w:sz w:val="11"/>
                <w:szCs w:val="11"/>
                <w:color w:val="auto"/>
              </w:rPr>
              <w:t> </w:t>
            </w:r>
          </w:p>
        </w:tc>
        <w:tc>
          <w:tcPr>
            <w:tcW w:w="1360" w:type="dxa"/>
            <w:vAlign w:val="bottom"/>
            <w:tcBorders>
              <w:top w:val="single" w:sz="8" w:color="auto"/>
              <w:bottom w:val="single" w:sz="8" w:color="auto"/>
              <w:right w:val="single" w:sz="8" w:color="auto"/>
            </w:tcBorders>
            <w:shd w:val="clear" w:color="auto" w:fill="2AD2C9"/>
          </w:tcPr>
          <w:p>
            <w:pPr>
              <w:jc w:val="center"/>
              <w:ind w:right="25"/>
              <w:spacing w:after="0"/>
              <w:rPr>
                <w:sz w:val="20"/>
                <w:szCs w:val="20"/>
                <w:color w:val="auto"/>
              </w:rPr>
            </w:pPr>
            <w:r>
              <w:rPr>
                <w:rFonts w:ascii="Arial" w:cs="Arial" w:eastAsia="Arial" w:hAnsi="Arial"/>
                <w:sz w:val="11"/>
                <w:szCs w:val="11"/>
                <w:b w:val="1"/>
                <w:bCs w:val="1"/>
                <w:i w:val="1"/>
                <w:iCs w:val="1"/>
                <w:color w:val="auto"/>
              </w:rPr>
              <w:t>1Q24</w:t>
            </w:r>
          </w:p>
        </w:tc>
        <w:tc>
          <w:tcPr>
            <w:tcW w:w="1360" w:type="dxa"/>
            <w:vAlign w:val="bottom"/>
            <w:tcBorders>
              <w:top w:val="single" w:sz="8" w:color="auto"/>
              <w:bottom w:val="single" w:sz="8" w:color="auto"/>
              <w:right w:val="single" w:sz="8" w:color="auto"/>
            </w:tcBorders>
            <w:shd w:val="clear" w:color="auto" w:fill="2AD2C9"/>
          </w:tcPr>
          <w:p>
            <w:pPr>
              <w:jc w:val="center"/>
              <w:ind w:right="26"/>
              <w:spacing w:after="0"/>
              <w:rPr>
                <w:sz w:val="20"/>
                <w:szCs w:val="20"/>
                <w:color w:val="auto"/>
              </w:rPr>
            </w:pPr>
            <w:r>
              <w:rPr>
                <w:rFonts w:ascii="Arial" w:cs="Arial" w:eastAsia="Arial" w:hAnsi="Arial"/>
                <w:sz w:val="11"/>
                <w:szCs w:val="11"/>
                <w:b w:val="1"/>
                <w:bCs w:val="1"/>
                <w:i w:val="1"/>
                <w:iCs w:val="1"/>
                <w:color w:val="auto"/>
              </w:rPr>
              <w:t>2Q24</w:t>
            </w:r>
          </w:p>
        </w:tc>
      </w:tr>
      <w:tr>
        <w:trPr>
          <w:trHeight w:val="114"/>
        </w:trPr>
        <w:tc>
          <w:tcPr>
            <w:tcW w:w="5100" w:type="dxa"/>
            <w:vAlign w:val="bottom"/>
            <w:tcBorders>
              <w:left w:val="single" w:sz="8" w:color="auto"/>
              <w:bottom w:val="single" w:sz="8" w:color="auto"/>
            </w:tcBorders>
          </w:tcPr>
          <w:p>
            <w:pPr>
              <w:ind w:left="100"/>
              <w:spacing w:after="0" w:line="114" w:lineRule="exact"/>
              <w:rPr>
                <w:sz w:val="20"/>
                <w:szCs w:val="20"/>
                <w:color w:val="auto"/>
              </w:rPr>
            </w:pPr>
            <w:r>
              <w:rPr>
                <w:rFonts w:ascii="Arial" w:cs="Arial" w:eastAsia="Arial" w:hAnsi="Arial"/>
                <w:sz w:val="11"/>
                <w:szCs w:val="11"/>
                <w:b w:val="1"/>
                <w:bCs w:val="1"/>
                <w:color w:val="auto"/>
              </w:rPr>
              <w:t>Financial Inclusion</w:t>
            </w:r>
          </w:p>
        </w:tc>
        <w:tc>
          <w:tcPr>
            <w:tcW w:w="134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r>
      <w:tr>
        <w:trPr>
          <w:trHeight w:val="107"/>
        </w:trPr>
        <w:tc>
          <w:tcPr>
            <w:tcW w:w="5100" w:type="dxa"/>
            <w:vAlign w:val="bottom"/>
            <w:tcBorders>
              <w:left w:val="single" w:sz="8" w:color="auto"/>
              <w:right w:val="single" w:sz="8" w:color="auto"/>
            </w:tcBorders>
          </w:tcPr>
          <w:p>
            <w:pPr>
              <w:ind w:left="100"/>
              <w:spacing w:after="0" w:line="107" w:lineRule="exact"/>
              <w:rPr>
                <w:sz w:val="20"/>
                <w:szCs w:val="20"/>
                <w:color w:val="auto"/>
              </w:rPr>
            </w:pPr>
            <w:r>
              <w:rPr>
                <w:rFonts w:ascii="Arial" w:cs="Arial" w:eastAsia="Arial" w:hAnsi="Arial"/>
                <w:sz w:val="8"/>
                <w:szCs w:val="8"/>
                <w:color w:val="auto"/>
              </w:rPr>
              <w:t>Financially included through BCP and Yape</w:t>
            </w:r>
            <w:r>
              <w:rPr>
                <w:rFonts w:ascii="Arial" w:cs="Arial" w:eastAsia="Arial" w:hAnsi="Arial"/>
                <w:sz w:val="12"/>
                <w:szCs w:val="12"/>
                <w:color w:val="auto"/>
                <w:vertAlign w:val="superscript"/>
              </w:rPr>
              <w:t>(1)</w:t>
            </w:r>
            <w:r>
              <w:rPr>
                <w:rFonts w:ascii="Arial" w:cs="Arial" w:eastAsia="Arial" w:hAnsi="Arial"/>
                <w:sz w:val="8"/>
                <w:szCs w:val="8"/>
                <w:color w:val="auto"/>
              </w:rPr>
              <w:t> – cumulative since 2020</w:t>
            </w:r>
          </w:p>
        </w:tc>
        <w:tc>
          <w:tcPr>
            <w:tcW w:w="134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1"/>
                <w:szCs w:val="11"/>
                <w:color w:val="auto"/>
                <w:w w:val="97"/>
              </w:rPr>
              <w:t>BCP</w:t>
            </w:r>
          </w:p>
        </w:tc>
        <w:tc>
          <w:tcPr>
            <w:tcW w:w="1360" w:type="dxa"/>
            <w:vAlign w:val="bottom"/>
            <w:tcBorders>
              <w:right w:val="single" w:sz="8" w:color="auto"/>
            </w:tcBorders>
          </w:tcPr>
          <w:p>
            <w:pPr>
              <w:jc w:val="center"/>
              <w:ind w:right="5"/>
              <w:spacing w:after="0" w:line="107" w:lineRule="exact"/>
              <w:rPr>
                <w:sz w:val="20"/>
                <w:szCs w:val="20"/>
                <w:color w:val="auto"/>
              </w:rPr>
            </w:pPr>
            <w:r>
              <w:rPr>
                <w:rFonts w:ascii="Arial" w:cs="Arial" w:eastAsia="Arial" w:hAnsi="Arial"/>
                <w:sz w:val="11"/>
                <w:szCs w:val="11"/>
                <w:color w:val="auto"/>
              </w:rPr>
              <w:t>3.1 million</w:t>
            </w:r>
          </w:p>
        </w:tc>
        <w:tc>
          <w:tcPr>
            <w:tcW w:w="1360" w:type="dxa"/>
            <w:vAlign w:val="bottom"/>
            <w:tcBorders>
              <w:right w:val="single" w:sz="8" w:color="auto"/>
            </w:tcBorders>
          </w:tcPr>
          <w:p>
            <w:pPr>
              <w:jc w:val="center"/>
              <w:ind w:right="45"/>
              <w:spacing w:after="0" w:line="107" w:lineRule="exact"/>
              <w:rPr>
                <w:sz w:val="20"/>
                <w:szCs w:val="20"/>
                <w:color w:val="auto"/>
              </w:rPr>
            </w:pPr>
            <w:r>
              <w:rPr>
                <w:rFonts w:ascii="Arial" w:cs="Arial" w:eastAsia="Arial" w:hAnsi="Arial"/>
                <w:sz w:val="11"/>
                <w:szCs w:val="11"/>
                <w:color w:val="auto"/>
              </w:rPr>
              <w:t>4.2 million</w:t>
            </w:r>
          </w:p>
        </w:tc>
        <w:tc>
          <w:tcPr>
            <w:tcW w:w="1360" w:type="dxa"/>
            <w:vAlign w:val="bottom"/>
            <w:tcBorders>
              <w:right w:val="single" w:sz="8" w:color="auto"/>
            </w:tcBorders>
          </w:tcPr>
          <w:p>
            <w:pPr>
              <w:jc w:val="center"/>
              <w:ind w:right="46"/>
              <w:spacing w:after="0" w:line="107" w:lineRule="exact"/>
              <w:rPr>
                <w:sz w:val="20"/>
                <w:szCs w:val="20"/>
                <w:color w:val="auto"/>
              </w:rPr>
            </w:pPr>
            <w:r>
              <w:rPr>
                <w:rFonts w:ascii="Arial" w:cs="Arial" w:eastAsia="Arial" w:hAnsi="Arial"/>
                <w:sz w:val="11"/>
                <w:szCs w:val="11"/>
                <w:color w:val="auto"/>
              </w:rPr>
              <w:t>4.7 million</w:t>
            </w:r>
          </w:p>
        </w:tc>
      </w:tr>
      <w:tr>
        <w:trPr>
          <w:trHeight w:val="130"/>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Stock of inclusive insurance policies</w:t>
            </w:r>
          </w:p>
        </w:tc>
        <w:tc>
          <w:tcPr>
            <w:tcW w:w="1340" w:type="dxa"/>
            <w:vAlign w:val="bottom"/>
            <w:tcBorders>
              <w:bottom w:val="single" w:sz="8" w:color="auto"/>
              <w:right w:val="single" w:sz="8" w:color="auto"/>
            </w:tcBorders>
          </w:tcPr>
          <w:p>
            <w:pPr>
              <w:jc w:val="center"/>
              <w:ind w:right="5"/>
              <w:spacing w:after="0"/>
              <w:rPr>
                <w:sz w:val="20"/>
                <w:szCs w:val="20"/>
                <w:color w:val="auto"/>
              </w:rPr>
            </w:pPr>
            <w:r>
              <w:rPr>
                <w:rFonts w:ascii="Arial" w:cs="Arial" w:eastAsia="Arial" w:hAnsi="Arial"/>
                <w:sz w:val="11"/>
                <w:szCs w:val="11"/>
                <w:color w:val="auto"/>
              </w:rPr>
              <w:t>Pacífico Seguros</w:t>
            </w:r>
          </w:p>
        </w:tc>
        <w:tc>
          <w:tcPr>
            <w:tcW w:w="1360" w:type="dxa"/>
            <w:vAlign w:val="bottom"/>
            <w:tcBorders>
              <w:bottom w:val="single" w:sz="8" w:color="auto"/>
              <w:right w:val="single" w:sz="8" w:color="auto"/>
            </w:tcBorders>
          </w:tcPr>
          <w:p>
            <w:pPr>
              <w:jc w:val="center"/>
              <w:ind w:right="5"/>
              <w:spacing w:after="0"/>
              <w:rPr>
                <w:sz w:val="20"/>
                <w:szCs w:val="20"/>
                <w:color w:val="auto"/>
              </w:rPr>
            </w:pPr>
            <w:r>
              <w:rPr>
                <w:rFonts w:ascii="Arial" w:cs="Arial" w:eastAsia="Arial" w:hAnsi="Arial"/>
                <w:sz w:val="11"/>
                <w:szCs w:val="11"/>
                <w:color w:val="auto"/>
              </w:rPr>
              <w:t>2.9 million</w:t>
            </w:r>
          </w:p>
        </w:tc>
        <w:tc>
          <w:tcPr>
            <w:tcW w:w="1360" w:type="dxa"/>
            <w:vAlign w:val="bottom"/>
            <w:tcBorders>
              <w:bottom w:val="single" w:sz="8" w:color="auto"/>
              <w:right w:val="single" w:sz="8" w:color="auto"/>
            </w:tcBorders>
          </w:tcPr>
          <w:p>
            <w:pPr>
              <w:jc w:val="center"/>
              <w:ind w:right="5"/>
              <w:spacing w:after="0"/>
              <w:rPr>
                <w:sz w:val="20"/>
                <w:szCs w:val="20"/>
                <w:color w:val="auto"/>
              </w:rPr>
            </w:pPr>
            <w:r>
              <w:rPr>
                <w:rFonts w:ascii="Arial" w:cs="Arial" w:eastAsia="Arial" w:hAnsi="Arial"/>
                <w:sz w:val="11"/>
                <w:szCs w:val="11"/>
                <w:color w:val="auto"/>
              </w:rPr>
              <w:t>3.3 million</w:t>
            </w:r>
          </w:p>
        </w:tc>
        <w:tc>
          <w:tcPr>
            <w:tcW w:w="1360" w:type="dxa"/>
            <w:vAlign w:val="bottom"/>
            <w:tcBorders>
              <w:bottom w:val="single" w:sz="8" w:color="auto"/>
              <w:right w:val="single" w:sz="8" w:color="auto"/>
            </w:tcBorders>
          </w:tcPr>
          <w:p>
            <w:pPr>
              <w:jc w:val="center"/>
              <w:ind w:right="26"/>
              <w:spacing w:after="0"/>
              <w:rPr>
                <w:sz w:val="20"/>
                <w:szCs w:val="20"/>
                <w:color w:val="auto"/>
              </w:rPr>
            </w:pPr>
            <w:r>
              <w:rPr>
                <w:rFonts w:ascii="Arial" w:cs="Arial" w:eastAsia="Arial" w:hAnsi="Arial"/>
                <w:sz w:val="11"/>
                <w:szCs w:val="11"/>
                <w:color w:val="auto"/>
                <w:w w:val="96"/>
              </w:rPr>
              <w:t>3.3 million</w:t>
            </w:r>
          </w:p>
        </w:tc>
      </w:tr>
      <w:tr>
        <w:trPr>
          <w:trHeight w:val="114"/>
        </w:trPr>
        <w:tc>
          <w:tcPr>
            <w:tcW w:w="5100" w:type="dxa"/>
            <w:vAlign w:val="bottom"/>
            <w:tcBorders>
              <w:left w:val="single" w:sz="8" w:color="auto"/>
              <w:bottom w:val="single" w:sz="8" w:color="auto"/>
            </w:tcBorders>
          </w:tcPr>
          <w:p>
            <w:pPr>
              <w:ind w:left="100"/>
              <w:spacing w:after="0" w:line="114" w:lineRule="exact"/>
              <w:rPr>
                <w:sz w:val="20"/>
                <w:szCs w:val="20"/>
                <w:color w:val="auto"/>
              </w:rPr>
            </w:pPr>
            <w:r>
              <w:rPr>
                <w:rFonts w:ascii="Arial" w:cs="Arial" w:eastAsia="Arial" w:hAnsi="Arial"/>
                <w:sz w:val="11"/>
                <w:szCs w:val="11"/>
                <w:b w:val="1"/>
                <w:bCs w:val="1"/>
                <w:color w:val="auto"/>
              </w:rPr>
              <w:t>Financial Education</w:t>
            </w:r>
          </w:p>
        </w:tc>
        <w:tc>
          <w:tcPr>
            <w:tcW w:w="134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r>
      <w:tr>
        <w:trPr>
          <w:trHeight w:val="107"/>
        </w:trPr>
        <w:tc>
          <w:tcPr>
            <w:tcW w:w="5100" w:type="dxa"/>
            <w:vAlign w:val="bottom"/>
            <w:tcBorders>
              <w:left w:val="single" w:sz="8" w:color="auto"/>
              <w:right w:val="single" w:sz="8" w:color="auto"/>
            </w:tcBorders>
          </w:tcPr>
          <w:p>
            <w:pPr>
              <w:ind w:left="100"/>
              <w:spacing w:after="0" w:line="107" w:lineRule="exact"/>
              <w:rPr>
                <w:sz w:val="20"/>
                <w:szCs w:val="20"/>
                <w:color w:val="auto"/>
              </w:rPr>
            </w:pPr>
            <w:r>
              <w:rPr>
                <w:rFonts w:ascii="Arial" w:cs="Arial" w:eastAsia="Arial" w:hAnsi="Arial"/>
                <w:sz w:val="11"/>
                <w:szCs w:val="11"/>
                <w:color w:val="auto"/>
              </w:rPr>
              <w:t>Trained through online courses via ABC at BCP (ABC del BCP) – YTD</w:t>
            </w:r>
          </w:p>
        </w:tc>
        <w:tc>
          <w:tcPr>
            <w:tcW w:w="134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1"/>
                <w:szCs w:val="11"/>
                <w:color w:val="auto"/>
                <w:w w:val="97"/>
              </w:rPr>
              <w:t>BCP</w:t>
            </w:r>
          </w:p>
        </w:tc>
        <w:tc>
          <w:tcPr>
            <w:tcW w:w="1360" w:type="dxa"/>
            <w:vAlign w:val="bottom"/>
            <w:tcBorders>
              <w:right w:val="single" w:sz="8" w:color="auto"/>
            </w:tcBorders>
          </w:tcPr>
          <w:p>
            <w:pPr>
              <w:jc w:val="center"/>
              <w:ind w:right="5"/>
              <w:spacing w:after="0" w:line="107" w:lineRule="exact"/>
              <w:rPr>
                <w:sz w:val="20"/>
                <w:szCs w:val="20"/>
                <w:color w:val="auto"/>
              </w:rPr>
            </w:pPr>
            <w:r>
              <w:rPr>
                <w:rFonts w:ascii="Arial" w:cs="Arial" w:eastAsia="Arial" w:hAnsi="Arial"/>
                <w:sz w:val="11"/>
                <w:szCs w:val="11"/>
                <w:color w:val="auto"/>
                <w:w w:val="97"/>
              </w:rPr>
              <w:t>230.3 thousand</w:t>
            </w:r>
          </w:p>
        </w:tc>
        <w:tc>
          <w:tcPr>
            <w:tcW w:w="1360" w:type="dxa"/>
            <w:vAlign w:val="bottom"/>
            <w:tcBorders>
              <w:right w:val="single" w:sz="8" w:color="auto"/>
            </w:tcBorders>
          </w:tcPr>
          <w:p>
            <w:pPr>
              <w:jc w:val="center"/>
              <w:ind w:right="25"/>
              <w:spacing w:after="0" w:line="107" w:lineRule="exact"/>
              <w:rPr>
                <w:sz w:val="20"/>
                <w:szCs w:val="20"/>
                <w:color w:val="auto"/>
              </w:rPr>
            </w:pPr>
            <w:r>
              <w:rPr>
                <w:rFonts w:ascii="Arial" w:cs="Arial" w:eastAsia="Arial" w:hAnsi="Arial"/>
                <w:sz w:val="11"/>
                <w:szCs w:val="11"/>
                <w:color w:val="auto"/>
              </w:rPr>
              <w:t>142.6 thousand</w:t>
            </w:r>
          </w:p>
        </w:tc>
        <w:tc>
          <w:tcPr>
            <w:tcW w:w="1360" w:type="dxa"/>
            <w:vAlign w:val="bottom"/>
            <w:tcBorders>
              <w:right w:val="single" w:sz="8" w:color="auto"/>
            </w:tcBorders>
          </w:tcPr>
          <w:p>
            <w:pPr>
              <w:jc w:val="center"/>
              <w:ind w:right="26"/>
              <w:spacing w:after="0" w:line="107" w:lineRule="exact"/>
              <w:rPr>
                <w:sz w:val="20"/>
                <w:szCs w:val="20"/>
                <w:color w:val="auto"/>
              </w:rPr>
            </w:pPr>
            <w:r>
              <w:rPr>
                <w:rFonts w:ascii="Arial" w:cs="Arial" w:eastAsia="Arial" w:hAnsi="Arial"/>
                <w:sz w:val="11"/>
                <w:szCs w:val="11"/>
                <w:color w:val="auto"/>
              </w:rPr>
              <w:t>332.6 thousand</w:t>
            </w:r>
          </w:p>
        </w:tc>
      </w:tr>
      <w:tr>
        <w:trPr>
          <w:trHeight w:val="123"/>
        </w:trPr>
        <w:tc>
          <w:tcPr>
            <w:tcW w:w="5100" w:type="dxa"/>
            <w:vAlign w:val="bottom"/>
            <w:tcBorders>
              <w:left w:val="single" w:sz="8" w:color="auto"/>
              <w:right w:val="single" w:sz="8" w:color="auto"/>
            </w:tcBorders>
          </w:tcPr>
          <w:p>
            <w:pPr>
              <w:ind w:left="100"/>
              <w:spacing w:after="0" w:line="124" w:lineRule="exact"/>
              <w:rPr>
                <w:sz w:val="20"/>
                <w:szCs w:val="20"/>
                <w:color w:val="auto"/>
              </w:rPr>
            </w:pPr>
            <w:r>
              <w:rPr>
                <w:rFonts w:ascii="Arial" w:cs="Arial" w:eastAsia="Arial" w:hAnsi="Arial"/>
                <w:sz w:val="11"/>
                <w:szCs w:val="11"/>
                <w:color w:val="auto"/>
              </w:rPr>
              <w:t>Individuals trained in risk prevention via Safe Community (Comunidad Segura) – YTD</w:t>
            </w:r>
          </w:p>
        </w:tc>
        <w:tc>
          <w:tcPr>
            <w:tcW w:w="1340" w:type="dxa"/>
            <w:vAlign w:val="bottom"/>
            <w:tcBorders>
              <w:right w:val="single" w:sz="8" w:color="auto"/>
            </w:tcBorders>
          </w:tcPr>
          <w:p>
            <w:pPr>
              <w:jc w:val="center"/>
              <w:ind w:right="5"/>
              <w:spacing w:after="0" w:line="124" w:lineRule="exact"/>
              <w:rPr>
                <w:sz w:val="20"/>
                <w:szCs w:val="20"/>
                <w:color w:val="auto"/>
              </w:rPr>
            </w:pPr>
            <w:r>
              <w:rPr>
                <w:rFonts w:ascii="Arial" w:cs="Arial" w:eastAsia="Arial" w:hAnsi="Arial"/>
                <w:sz w:val="11"/>
                <w:szCs w:val="11"/>
                <w:color w:val="auto"/>
              </w:rPr>
              <w:t>Pacífico Seguros</w:t>
            </w:r>
          </w:p>
        </w:tc>
        <w:tc>
          <w:tcPr>
            <w:tcW w:w="1360" w:type="dxa"/>
            <w:vAlign w:val="bottom"/>
            <w:tcBorders>
              <w:right w:val="single" w:sz="8" w:color="auto"/>
            </w:tcBorders>
          </w:tcPr>
          <w:p>
            <w:pPr>
              <w:jc w:val="center"/>
              <w:ind w:right="5"/>
              <w:spacing w:after="0" w:line="124" w:lineRule="exact"/>
              <w:rPr>
                <w:sz w:val="20"/>
                <w:szCs w:val="20"/>
                <w:color w:val="auto"/>
              </w:rPr>
            </w:pPr>
            <w:r>
              <w:rPr>
                <w:rFonts w:ascii="Arial" w:cs="Arial" w:eastAsia="Arial" w:hAnsi="Arial"/>
                <w:sz w:val="11"/>
                <w:szCs w:val="11"/>
                <w:color w:val="auto"/>
              </w:rPr>
              <w:t>24.6 thousand</w:t>
            </w:r>
          </w:p>
        </w:tc>
        <w:tc>
          <w:tcPr>
            <w:tcW w:w="1360" w:type="dxa"/>
            <w:vAlign w:val="bottom"/>
            <w:tcBorders>
              <w:right w:val="single" w:sz="8" w:color="auto"/>
            </w:tcBorders>
          </w:tcPr>
          <w:p>
            <w:pPr>
              <w:jc w:val="center"/>
              <w:ind w:right="25"/>
              <w:spacing w:after="0" w:line="124" w:lineRule="exact"/>
              <w:rPr>
                <w:sz w:val="20"/>
                <w:szCs w:val="20"/>
                <w:color w:val="auto"/>
              </w:rPr>
            </w:pPr>
            <w:r>
              <w:rPr>
                <w:rFonts w:ascii="Arial" w:cs="Arial" w:eastAsia="Arial" w:hAnsi="Arial"/>
                <w:sz w:val="11"/>
                <w:szCs w:val="11"/>
                <w:color w:val="auto"/>
              </w:rPr>
              <w:t>0.1 thousand</w:t>
            </w:r>
          </w:p>
        </w:tc>
        <w:tc>
          <w:tcPr>
            <w:tcW w:w="1360" w:type="dxa"/>
            <w:vAlign w:val="bottom"/>
            <w:tcBorders>
              <w:right w:val="single" w:sz="8" w:color="auto"/>
            </w:tcBorders>
          </w:tcPr>
          <w:p>
            <w:pPr>
              <w:jc w:val="center"/>
              <w:ind w:right="26"/>
              <w:spacing w:after="0" w:line="124" w:lineRule="exact"/>
              <w:rPr>
                <w:sz w:val="20"/>
                <w:szCs w:val="20"/>
                <w:color w:val="auto"/>
              </w:rPr>
            </w:pPr>
            <w:r>
              <w:rPr>
                <w:rFonts w:ascii="Arial" w:cs="Arial" w:eastAsia="Arial" w:hAnsi="Arial"/>
                <w:sz w:val="11"/>
                <w:szCs w:val="11"/>
                <w:color w:val="auto"/>
                <w:w w:val="97"/>
              </w:rPr>
              <w:t>16.1 thousand</w:t>
            </w:r>
          </w:p>
        </w:tc>
      </w:tr>
      <w:tr>
        <w:trPr>
          <w:trHeight w:val="111"/>
        </w:trPr>
        <w:tc>
          <w:tcPr>
            <w:tcW w:w="5100" w:type="dxa"/>
            <w:vAlign w:val="bottom"/>
            <w:tcBorders>
              <w:left w:val="single" w:sz="8" w:color="auto"/>
              <w:right w:val="single" w:sz="8" w:color="auto"/>
            </w:tcBorders>
          </w:tcPr>
          <w:p>
            <w:pPr>
              <w:ind w:left="100"/>
              <w:spacing w:after="0" w:line="111" w:lineRule="exact"/>
              <w:rPr>
                <w:sz w:val="20"/>
                <w:szCs w:val="20"/>
                <w:color w:val="auto"/>
              </w:rPr>
            </w:pPr>
            <w:r>
              <w:rPr>
                <w:rFonts w:ascii="Arial" w:cs="Arial" w:eastAsia="Arial" w:hAnsi="Arial"/>
                <w:sz w:val="11"/>
                <w:szCs w:val="11"/>
                <w:color w:val="auto"/>
              </w:rPr>
              <w:t>Young people trained through the ABC of the Pension Culture (ABC de la Cultura Previsional) – YTD</w:t>
            </w:r>
          </w:p>
        </w:tc>
        <w:tc>
          <w:tcPr>
            <w:tcW w:w="1340" w:type="dxa"/>
            <w:vAlign w:val="bottom"/>
            <w:tcBorders>
              <w:right w:val="single" w:sz="8" w:color="auto"/>
            </w:tcBorders>
          </w:tcPr>
          <w:p>
            <w:pPr>
              <w:jc w:val="center"/>
              <w:ind w:right="5"/>
              <w:spacing w:after="0" w:line="111" w:lineRule="exact"/>
              <w:rPr>
                <w:sz w:val="20"/>
                <w:szCs w:val="20"/>
                <w:color w:val="auto"/>
              </w:rPr>
            </w:pPr>
            <w:r>
              <w:rPr>
                <w:rFonts w:ascii="Arial" w:cs="Arial" w:eastAsia="Arial" w:hAnsi="Arial"/>
                <w:sz w:val="11"/>
                <w:szCs w:val="11"/>
                <w:color w:val="auto"/>
                <w:w w:val="97"/>
              </w:rPr>
              <w:t>Prima AFP</w:t>
            </w:r>
          </w:p>
        </w:tc>
        <w:tc>
          <w:tcPr>
            <w:tcW w:w="1360" w:type="dxa"/>
            <w:vAlign w:val="bottom"/>
            <w:tcBorders>
              <w:right w:val="single" w:sz="8" w:color="auto"/>
            </w:tcBorders>
          </w:tcPr>
          <w:p>
            <w:pPr>
              <w:jc w:val="center"/>
              <w:ind w:right="45"/>
              <w:spacing w:after="0" w:line="111" w:lineRule="exact"/>
              <w:rPr>
                <w:sz w:val="20"/>
                <w:szCs w:val="20"/>
                <w:color w:val="auto"/>
              </w:rPr>
            </w:pPr>
            <w:r>
              <w:rPr>
                <w:rFonts w:ascii="Arial" w:cs="Arial" w:eastAsia="Arial" w:hAnsi="Arial"/>
                <w:sz w:val="11"/>
                <w:szCs w:val="11"/>
                <w:color w:val="auto"/>
              </w:rPr>
              <w:t>24.5 thousand</w:t>
            </w:r>
          </w:p>
        </w:tc>
        <w:tc>
          <w:tcPr>
            <w:tcW w:w="1360" w:type="dxa"/>
            <w:vAlign w:val="bottom"/>
            <w:tcBorders>
              <w:right w:val="single" w:sz="8" w:color="auto"/>
            </w:tcBorders>
          </w:tcPr>
          <w:p>
            <w:pPr>
              <w:jc w:val="center"/>
              <w:ind w:right="25"/>
              <w:spacing w:after="0" w:line="111" w:lineRule="exact"/>
              <w:rPr>
                <w:sz w:val="20"/>
                <w:szCs w:val="20"/>
                <w:color w:val="auto"/>
              </w:rPr>
            </w:pPr>
            <w:r>
              <w:rPr>
                <w:rFonts w:ascii="Arial" w:cs="Arial" w:eastAsia="Arial" w:hAnsi="Arial"/>
                <w:sz w:val="11"/>
                <w:szCs w:val="11"/>
                <w:color w:val="auto"/>
              </w:rPr>
              <w:t>110.4 thousand</w:t>
            </w:r>
          </w:p>
        </w:tc>
        <w:tc>
          <w:tcPr>
            <w:tcW w:w="1360" w:type="dxa"/>
            <w:vAlign w:val="bottom"/>
            <w:tcBorders>
              <w:right w:val="single" w:sz="8" w:color="auto"/>
            </w:tcBorders>
          </w:tcPr>
          <w:p>
            <w:pPr>
              <w:jc w:val="center"/>
              <w:ind w:right="26"/>
              <w:spacing w:after="0" w:line="111" w:lineRule="exact"/>
              <w:rPr>
                <w:sz w:val="20"/>
                <w:szCs w:val="20"/>
                <w:color w:val="auto"/>
              </w:rPr>
            </w:pPr>
            <w:r>
              <w:rPr>
                <w:rFonts w:ascii="Arial" w:cs="Arial" w:eastAsia="Arial" w:hAnsi="Arial"/>
                <w:sz w:val="11"/>
                <w:szCs w:val="11"/>
                <w:color w:val="auto"/>
              </w:rPr>
              <w:t>244.4 thousand</w:t>
            </w:r>
          </w:p>
        </w:tc>
      </w:tr>
      <w:tr>
        <w:trPr>
          <w:trHeight w:val="142"/>
        </w:trPr>
        <w:tc>
          <w:tcPr>
            <w:tcW w:w="5100" w:type="dxa"/>
            <w:vAlign w:val="bottom"/>
            <w:tcBorders>
              <w:left w:val="single" w:sz="8" w:color="auto"/>
              <w:bottom w:val="single" w:sz="8" w:color="auto"/>
              <w:right w:val="single" w:sz="8" w:color="auto"/>
            </w:tcBorders>
          </w:tcPr>
          <w:p>
            <w:pPr>
              <w:ind w:left="100"/>
              <w:spacing w:after="0" w:line="142" w:lineRule="exact"/>
              <w:rPr>
                <w:sz w:val="20"/>
                <w:szCs w:val="20"/>
                <w:color w:val="auto"/>
              </w:rPr>
            </w:pPr>
            <w:r>
              <w:rPr>
                <w:rFonts w:ascii="Arial" w:cs="Arial" w:eastAsia="Arial" w:hAnsi="Arial"/>
                <w:sz w:val="10"/>
                <w:szCs w:val="10"/>
                <w:color w:val="auto"/>
              </w:rPr>
              <w:t xml:space="preserve">Clients trained through the Basic Program for Digital Guidance – YTD </w:t>
            </w:r>
            <w:r>
              <w:rPr>
                <w:rFonts w:ascii="Arial" w:cs="Arial" w:eastAsia="Arial" w:hAnsi="Arial"/>
                <w:sz w:val="16"/>
                <w:szCs w:val="16"/>
                <w:color w:val="auto"/>
                <w:vertAlign w:val="superscript"/>
              </w:rPr>
              <w:t>(2)</w:t>
            </w:r>
          </w:p>
        </w:tc>
        <w:tc>
          <w:tcPr>
            <w:tcW w:w="1340" w:type="dxa"/>
            <w:vAlign w:val="bottom"/>
            <w:tcBorders>
              <w:bottom w:val="single" w:sz="8" w:color="auto"/>
              <w:right w:val="single" w:sz="8" w:color="auto"/>
            </w:tcBorders>
          </w:tcPr>
          <w:p>
            <w:pPr>
              <w:jc w:val="center"/>
              <w:ind w:right="25"/>
              <w:spacing w:after="0"/>
              <w:rPr>
                <w:sz w:val="20"/>
                <w:szCs w:val="20"/>
                <w:color w:val="auto"/>
              </w:rPr>
            </w:pPr>
            <w:r>
              <w:rPr>
                <w:rFonts w:ascii="Arial" w:cs="Arial" w:eastAsia="Arial" w:hAnsi="Arial"/>
                <w:sz w:val="11"/>
                <w:szCs w:val="11"/>
                <w:color w:val="auto"/>
                <w:w w:val="97"/>
              </w:rPr>
              <w:t>Mibanco Perú</w:t>
            </w:r>
          </w:p>
        </w:tc>
        <w:tc>
          <w:tcPr>
            <w:tcW w:w="1360" w:type="dxa"/>
            <w:vAlign w:val="bottom"/>
            <w:tcBorders>
              <w:bottom w:val="single" w:sz="8" w:color="auto"/>
              <w:right w:val="single" w:sz="8" w:color="auto"/>
            </w:tcBorders>
          </w:tcPr>
          <w:p>
            <w:pPr>
              <w:jc w:val="center"/>
              <w:ind w:right="5"/>
              <w:spacing w:after="0"/>
              <w:rPr>
                <w:sz w:val="20"/>
                <w:szCs w:val="20"/>
                <w:color w:val="auto"/>
              </w:rPr>
            </w:pPr>
            <w:r>
              <w:rPr>
                <w:rFonts w:ascii="Arial" w:cs="Arial" w:eastAsia="Arial" w:hAnsi="Arial"/>
                <w:sz w:val="11"/>
                <w:szCs w:val="11"/>
                <w:color w:val="auto"/>
                <w:w w:val="97"/>
              </w:rPr>
              <w:t>193.2 thousand</w:t>
            </w:r>
          </w:p>
        </w:tc>
        <w:tc>
          <w:tcPr>
            <w:tcW w:w="1360" w:type="dxa"/>
            <w:vAlign w:val="bottom"/>
            <w:tcBorders>
              <w:bottom w:val="single" w:sz="8" w:color="auto"/>
              <w:right w:val="single" w:sz="8" w:color="auto"/>
            </w:tcBorders>
          </w:tcPr>
          <w:p>
            <w:pPr>
              <w:jc w:val="center"/>
              <w:ind w:right="45"/>
              <w:spacing w:after="0"/>
              <w:rPr>
                <w:sz w:val="20"/>
                <w:szCs w:val="20"/>
                <w:color w:val="auto"/>
              </w:rPr>
            </w:pPr>
            <w:r>
              <w:rPr>
                <w:rFonts w:ascii="Arial" w:cs="Arial" w:eastAsia="Arial" w:hAnsi="Arial"/>
                <w:sz w:val="11"/>
                <w:szCs w:val="11"/>
                <w:color w:val="auto"/>
                <w:w w:val="97"/>
              </w:rPr>
              <w:t>114.5 thousand</w:t>
            </w:r>
          </w:p>
        </w:tc>
        <w:tc>
          <w:tcPr>
            <w:tcW w:w="1360" w:type="dxa"/>
            <w:vAlign w:val="bottom"/>
            <w:tcBorders>
              <w:bottom w:val="single" w:sz="8" w:color="auto"/>
              <w:right w:val="single" w:sz="8" w:color="auto"/>
            </w:tcBorders>
          </w:tcPr>
          <w:p>
            <w:pPr>
              <w:jc w:val="center"/>
              <w:ind w:right="26"/>
              <w:spacing w:after="0"/>
              <w:rPr>
                <w:sz w:val="20"/>
                <w:szCs w:val="20"/>
                <w:color w:val="auto"/>
              </w:rPr>
            </w:pPr>
            <w:r>
              <w:rPr>
                <w:rFonts w:ascii="Arial" w:cs="Arial" w:eastAsia="Arial" w:hAnsi="Arial"/>
                <w:sz w:val="11"/>
                <w:szCs w:val="11"/>
                <w:color w:val="auto"/>
              </w:rPr>
              <w:t>208.9 thousand</w:t>
            </w:r>
          </w:p>
        </w:tc>
      </w:tr>
      <w:tr>
        <w:trPr>
          <w:trHeight w:val="114"/>
        </w:trPr>
        <w:tc>
          <w:tcPr>
            <w:tcW w:w="5100" w:type="dxa"/>
            <w:vAlign w:val="bottom"/>
            <w:tcBorders>
              <w:left w:val="single" w:sz="8" w:color="auto"/>
              <w:bottom w:val="single" w:sz="8" w:color="auto"/>
            </w:tcBorders>
          </w:tcPr>
          <w:p>
            <w:pPr>
              <w:ind w:left="100"/>
              <w:spacing w:after="0" w:line="114" w:lineRule="exact"/>
              <w:rPr>
                <w:sz w:val="20"/>
                <w:szCs w:val="20"/>
                <w:color w:val="auto"/>
              </w:rPr>
            </w:pPr>
            <w:r>
              <w:rPr>
                <w:rFonts w:ascii="Arial" w:cs="Arial" w:eastAsia="Arial" w:hAnsi="Arial"/>
                <w:sz w:val="11"/>
                <w:szCs w:val="11"/>
                <w:b w:val="1"/>
                <w:bCs w:val="1"/>
                <w:color w:val="auto"/>
              </w:rPr>
              <w:t>Opportunities and Products for Women</w:t>
            </w:r>
          </w:p>
        </w:tc>
        <w:tc>
          <w:tcPr>
            <w:tcW w:w="134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r>
      <w:tr>
        <w:trPr>
          <w:trHeight w:val="95"/>
        </w:trPr>
        <w:tc>
          <w:tcPr>
            <w:tcW w:w="5100" w:type="dxa"/>
            <w:vAlign w:val="bottom"/>
            <w:tcBorders>
              <w:left w:val="single" w:sz="8" w:color="auto"/>
              <w:right w:val="single" w:sz="8" w:color="auto"/>
            </w:tcBorders>
          </w:tcPr>
          <w:p>
            <w:pPr>
              <w:ind w:left="100"/>
              <w:spacing w:after="0" w:line="95" w:lineRule="exact"/>
              <w:rPr>
                <w:sz w:val="20"/>
                <w:szCs w:val="20"/>
                <w:color w:val="auto"/>
              </w:rPr>
            </w:pPr>
            <w:r>
              <w:rPr>
                <w:rFonts w:ascii="Arial" w:cs="Arial" w:eastAsia="Arial" w:hAnsi="Arial"/>
                <w:sz w:val="7"/>
                <w:szCs w:val="7"/>
                <w:color w:val="auto"/>
              </w:rPr>
              <w:t xml:space="preserve">Number of disbursements through Loans for Women </w:t>
            </w:r>
            <w:r>
              <w:rPr>
                <w:rFonts w:ascii="Arial" w:cs="Arial" w:eastAsia="Arial" w:hAnsi="Arial"/>
                <w:sz w:val="11"/>
                <w:szCs w:val="11"/>
                <w:color w:val="auto"/>
                <w:vertAlign w:val="superscript"/>
              </w:rPr>
              <w:t>(3)</w:t>
            </w:r>
          </w:p>
        </w:tc>
        <w:tc>
          <w:tcPr>
            <w:tcW w:w="1340" w:type="dxa"/>
            <w:vAlign w:val="bottom"/>
            <w:tcBorders>
              <w:right w:val="single" w:sz="8" w:color="auto"/>
            </w:tcBorders>
          </w:tcPr>
          <w:p>
            <w:pPr>
              <w:jc w:val="center"/>
              <w:ind w:right="25"/>
              <w:spacing w:after="0" w:line="95" w:lineRule="exact"/>
              <w:rPr>
                <w:sz w:val="20"/>
                <w:szCs w:val="20"/>
                <w:color w:val="auto"/>
              </w:rPr>
            </w:pPr>
            <w:r>
              <w:rPr>
                <w:rFonts w:ascii="Arial" w:cs="Arial" w:eastAsia="Arial" w:hAnsi="Arial"/>
                <w:sz w:val="11"/>
                <w:szCs w:val="11"/>
                <w:color w:val="auto"/>
                <w:w w:val="97"/>
              </w:rPr>
              <w:t>Mibanco Perú</w:t>
            </w:r>
          </w:p>
        </w:tc>
        <w:tc>
          <w:tcPr>
            <w:tcW w:w="1360" w:type="dxa"/>
            <w:vAlign w:val="bottom"/>
            <w:tcBorders>
              <w:right w:val="single" w:sz="8" w:color="auto"/>
            </w:tcBorders>
          </w:tcPr>
          <w:p>
            <w:pPr>
              <w:jc w:val="center"/>
              <w:spacing w:after="0" w:line="95" w:lineRule="exact"/>
              <w:rPr>
                <w:sz w:val="20"/>
                <w:szCs w:val="20"/>
                <w:color w:val="auto"/>
              </w:rPr>
            </w:pPr>
            <w:r>
              <w:rPr>
                <w:rFonts w:ascii="Arial" w:cs="Arial" w:eastAsia="Arial" w:hAnsi="Arial"/>
                <w:sz w:val="11"/>
                <w:szCs w:val="11"/>
                <w:color w:val="auto"/>
              </w:rPr>
              <w:t>17.0 thousand </w:t>
            </w:r>
          </w:p>
        </w:tc>
        <w:tc>
          <w:tcPr>
            <w:tcW w:w="1360" w:type="dxa"/>
            <w:vAlign w:val="bottom"/>
            <w:tcBorders>
              <w:right w:val="single" w:sz="8" w:color="auto"/>
            </w:tcBorders>
          </w:tcPr>
          <w:p>
            <w:pPr>
              <w:jc w:val="center"/>
              <w:ind w:right="45"/>
              <w:spacing w:after="0" w:line="95" w:lineRule="exact"/>
              <w:rPr>
                <w:sz w:val="20"/>
                <w:szCs w:val="20"/>
                <w:color w:val="auto"/>
              </w:rPr>
            </w:pPr>
            <w:r>
              <w:rPr>
                <w:rFonts w:ascii="Arial" w:cs="Arial" w:eastAsia="Arial" w:hAnsi="Arial"/>
                <w:sz w:val="11"/>
                <w:szCs w:val="11"/>
                <w:color w:val="auto"/>
              </w:rPr>
              <w:t>10.6 thousand</w:t>
            </w:r>
          </w:p>
        </w:tc>
        <w:tc>
          <w:tcPr>
            <w:tcW w:w="1360" w:type="dxa"/>
            <w:vAlign w:val="bottom"/>
            <w:tcBorders>
              <w:right w:val="single" w:sz="8" w:color="auto"/>
            </w:tcBorders>
          </w:tcPr>
          <w:p>
            <w:pPr>
              <w:jc w:val="center"/>
              <w:ind w:right="26"/>
              <w:spacing w:after="0" w:line="95" w:lineRule="exact"/>
              <w:rPr>
                <w:sz w:val="20"/>
                <w:szCs w:val="20"/>
                <w:color w:val="auto"/>
              </w:rPr>
            </w:pPr>
            <w:r>
              <w:rPr>
                <w:rFonts w:ascii="Arial" w:cs="Arial" w:eastAsia="Arial" w:hAnsi="Arial"/>
                <w:sz w:val="11"/>
                <w:szCs w:val="11"/>
                <w:color w:val="auto"/>
                <w:w w:val="97"/>
              </w:rPr>
              <w:t>21.8 thousand</w:t>
            </w:r>
          </w:p>
        </w:tc>
      </w:tr>
      <w:tr>
        <w:trPr>
          <w:trHeight w:val="142"/>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Percentage of women banked on the asset side (loans)</w:t>
            </w:r>
          </w:p>
        </w:tc>
        <w:tc>
          <w:tcPr>
            <w:tcW w:w="1340" w:type="dxa"/>
            <w:vAlign w:val="bottom"/>
            <w:tcBorders>
              <w:bottom w:val="single" w:sz="8" w:color="auto"/>
              <w:right w:val="single" w:sz="8" w:color="auto"/>
            </w:tcBorders>
          </w:tcPr>
          <w:p>
            <w:pPr>
              <w:jc w:val="center"/>
              <w:ind w:right="25"/>
              <w:spacing w:after="0"/>
              <w:rPr>
                <w:sz w:val="20"/>
                <w:szCs w:val="20"/>
                <w:color w:val="auto"/>
              </w:rPr>
            </w:pPr>
            <w:r>
              <w:rPr>
                <w:rFonts w:ascii="Arial" w:cs="Arial" w:eastAsia="Arial" w:hAnsi="Arial"/>
                <w:sz w:val="11"/>
                <w:szCs w:val="11"/>
                <w:color w:val="auto"/>
                <w:w w:val="97"/>
              </w:rPr>
              <w:t>Mibanco Perú</w:t>
            </w:r>
          </w:p>
        </w:tc>
        <w:tc>
          <w:tcPr>
            <w:tcW w:w="1360" w:type="dxa"/>
            <w:vAlign w:val="bottom"/>
            <w:tcBorders>
              <w:bottom w:val="single" w:sz="8" w:color="auto"/>
              <w:right w:val="single" w:sz="8" w:color="auto"/>
            </w:tcBorders>
          </w:tcPr>
          <w:p>
            <w:pPr>
              <w:jc w:val="right"/>
              <w:ind w:right="505"/>
              <w:spacing w:after="0"/>
              <w:rPr>
                <w:sz w:val="20"/>
                <w:szCs w:val="20"/>
                <w:color w:val="auto"/>
              </w:rPr>
            </w:pPr>
            <w:r>
              <w:rPr>
                <w:rFonts w:ascii="Arial" w:cs="Arial" w:eastAsia="Arial" w:hAnsi="Arial"/>
                <w:sz w:val="11"/>
                <w:szCs w:val="11"/>
                <w:color w:val="auto"/>
              </w:rPr>
              <w:t>54.8%</w:t>
            </w:r>
          </w:p>
        </w:tc>
        <w:tc>
          <w:tcPr>
            <w:tcW w:w="1360" w:type="dxa"/>
            <w:vAlign w:val="bottom"/>
            <w:tcBorders>
              <w:bottom w:val="single" w:sz="8" w:color="auto"/>
              <w:right w:val="single" w:sz="8" w:color="auto"/>
            </w:tcBorders>
          </w:tcPr>
          <w:p>
            <w:pPr>
              <w:jc w:val="right"/>
              <w:ind w:right="485"/>
              <w:spacing w:after="0"/>
              <w:rPr>
                <w:sz w:val="20"/>
                <w:szCs w:val="20"/>
                <w:color w:val="auto"/>
              </w:rPr>
            </w:pPr>
            <w:r>
              <w:rPr>
                <w:rFonts w:ascii="Arial" w:cs="Arial" w:eastAsia="Arial" w:hAnsi="Arial"/>
                <w:sz w:val="11"/>
                <w:szCs w:val="11"/>
                <w:color w:val="auto"/>
              </w:rPr>
              <w:t>63.6 %</w:t>
            </w:r>
          </w:p>
        </w:tc>
        <w:tc>
          <w:tcPr>
            <w:tcW w:w="1360" w:type="dxa"/>
            <w:vAlign w:val="bottom"/>
            <w:tcBorders>
              <w:bottom w:val="single" w:sz="8" w:color="auto"/>
              <w:right w:val="single" w:sz="8" w:color="auto"/>
            </w:tcBorders>
          </w:tcPr>
          <w:p>
            <w:pPr>
              <w:jc w:val="center"/>
              <w:ind w:right="426"/>
              <w:spacing w:after="0" w:line="142" w:lineRule="exact"/>
              <w:rPr>
                <w:sz w:val="20"/>
                <w:szCs w:val="20"/>
                <w:color w:val="auto"/>
              </w:rPr>
            </w:pPr>
            <w:r>
              <w:rPr>
                <w:rFonts w:ascii="Arial" w:cs="Arial" w:eastAsia="Arial" w:hAnsi="Arial"/>
                <w:sz w:val="10"/>
                <w:szCs w:val="10"/>
                <w:color w:val="auto"/>
              </w:rPr>
              <w:t xml:space="preserve">63.8% </w:t>
            </w:r>
            <w:r>
              <w:rPr>
                <w:rFonts w:ascii="Arial" w:cs="Arial" w:eastAsia="Arial" w:hAnsi="Arial"/>
                <w:sz w:val="16"/>
                <w:szCs w:val="16"/>
                <w:color w:val="auto"/>
                <w:vertAlign w:val="superscript"/>
              </w:rPr>
              <w:t>(4)</w:t>
            </w:r>
          </w:p>
        </w:tc>
      </w:tr>
      <w:tr>
        <w:trPr>
          <w:trHeight w:val="114"/>
        </w:trPr>
        <w:tc>
          <w:tcPr>
            <w:tcW w:w="5100" w:type="dxa"/>
            <w:vAlign w:val="bottom"/>
            <w:tcBorders>
              <w:left w:val="single" w:sz="8" w:color="auto"/>
              <w:bottom w:val="single" w:sz="8" w:color="auto"/>
            </w:tcBorders>
          </w:tcPr>
          <w:p>
            <w:pPr>
              <w:ind w:left="100"/>
              <w:spacing w:after="0" w:line="114" w:lineRule="exact"/>
              <w:rPr>
                <w:sz w:val="20"/>
                <w:szCs w:val="20"/>
                <w:color w:val="auto"/>
              </w:rPr>
            </w:pPr>
            <w:r>
              <w:rPr>
                <w:rFonts w:ascii="Arial" w:cs="Arial" w:eastAsia="Arial" w:hAnsi="Arial"/>
                <w:sz w:val="11"/>
                <w:szCs w:val="11"/>
                <w:b w:val="1"/>
                <w:bCs w:val="1"/>
                <w:color w:val="auto"/>
              </w:rPr>
              <w:t>Helping small businesses grow</w:t>
            </w:r>
          </w:p>
        </w:tc>
        <w:tc>
          <w:tcPr>
            <w:tcW w:w="134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360" w:type="dxa"/>
            <w:vAlign w:val="bottom"/>
            <w:tcBorders>
              <w:bottom w:val="single" w:sz="8" w:color="auto"/>
              <w:right w:val="single" w:sz="8" w:color="auto"/>
            </w:tcBorders>
          </w:tcPr>
          <w:p>
            <w:pPr>
              <w:spacing w:after="0"/>
              <w:rPr>
                <w:sz w:val="9"/>
                <w:szCs w:val="9"/>
                <w:color w:val="auto"/>
              </w:rPr>
            </w:pPr>
          </w:p>
        </w:tc>
      </w:tr>
      <w:tr>
        <w:trPr>
          <w:trHeight w:val="95"/>
        </w:trPr>
        <w:tc>
          <w:tcPr>
            <w:tcW w:w="5100" w:type="dxa"/>
            <w:vAlign w:val="bottom"/>
            <w:tcBorders>
              <w:left w:val="single" w:sz="8" w:color="auto"/>
              <w:right w:val="single" w:sz="8" w:color="auto"/>
            </w:tcBorders>
          </w:tcPr>
          <w:p>
            <w:pPr>
              <w:ind w:left="100"/>
              <w:spacing w:after="0" w:line="95" w:lineRule="exact"/>
              <w:rPr>
                <w:sz w:val="20"/>
                <w:szCs w:val="20"/>
                <w:color w:val="auto"/>
              </w:rPr>
            </w:pPr>
            <w:r>
              <w:rPr>
                <w:rFonts w:ascii="Arial" w:cs="Arial" w:eastAsia="Arial" w:hAnsi="Arial"/>
                <w:sz w:val="11"/>
                <w:szCs w:val="11"/>
                <w:color w:val="auto"/>
              </w:rPr>
              <w:t>Trained via Accompanying Entrepreneurs (Contigo Emprendedor) – YTD</w:t>
            </w:r>
          </w:p>
        </w:tc>
        <w:tc>
          <w:tcPr>
            <w:tcW w:w="1340" w:type="dxa"/>
            <w:vAlign w:val="bottom"/>
            <w:tcBorders>
              <w:right w:val="single" w:sz="8" w:color="auto"/>
            </w:tcBorders>
          </w:tcPr>
          <w:p>
            <w:pPr>
              <w:jc w:val="center"/>
              <w:spacing w:after="0" w:line="95" w:lineRule="exact"/>
              <w:rPr>
                <w:sz w:val="20"/>
                <w:szCs w:val="20"/>
                <w:color w:val="auto"/>
              </w:rPr>
            </w:pPr>
            <w:r>
              <w:rPr>
                <w:rFonts w:ascii="Arial" w:cs="Arial" w:eastAsia="Arial" w:hAnsi="Arial"/>
                <w:sz w:val="11"/>
                <w:szCs w:val="11"/>
                <w:color w:val="auto"/>
                <w:w w:val="97"/>
              </w:rPr>
              <w:t>BCP</w:t>
            </w:r>
          </w:p>
        </w:tc>
        <w:tc>
          <w:tcPr>
            <w:tcW w:w="1360" w:type="dxa"/>
            <w:vAlign w:val="bottom"/>
            <w:tcBorders>
              <w:right w:val="single" w:sz="8" w:color="auto"/>
            </w:tcBorders>
          </w:tcPr>
          <w:p>
            <w:pPr>
              <w:jc w:val="center"/>
              <w:ind w:right="5"/>
              <w:spacing w:after="0" w:line="95" w:lineRule="exact"/>
              <w:rPr>
                <w:sz w:val="20"/>
                <w:szCs w:val="20"/>
                <w:color w:val="auto"/>
              </w:rPr>
            </w:pPr>
            <w:r>
              <w:rPr>
                <w:rFonts w:ascii="Arial" w:cs="Arial" w:eastAsia="Arial" w:hAnsi="Arial"/>
                <w:sz w:val="11"/>
                <w:szCs w:val="11"/>
                <w:color w:val="auto"/>
              </w:rPr>
              <w:t>44.0 thousand</w:t>
            </w:r>
          </w:p>
        </w:tc>
        <w:tc>
          <w:tcPr>
            <w:tcW w:w="1360" w:type="dxa"/>
            <w:vAlign w:val="bottom"/>
            <w:tcBorders>
              <w:right w:val="single" w:sz="8" w:color="auto"/>
            </w:tcBorders>
          </w:tcPr>
          <w:p>
            <w:pPr>
              <w:jc w:val="center"/>
              <w:ind w:right="45"/>
              <w:spacing w:after="0" w:line="95" w:lineRule="exact"/>
              <w:rPr>
                <w:sz w:val="20"/>
                <w:szCs w:val="20"/>
                <w:color w:val="auto"/>
              </w:rPr>
            </w:pPr>
            <w:r>
              <w:rPr>
                <w:rFonts w:ascii="Arial" w:cs="Arial" w:eastAsia="Arial" w:hAnsi="Arial"/>
                <w:sz w:val="11"/>
                <w:szCs w:val="11"/>
                <w:color w:val="auto"/>
                <w:w w:val="97"/>
              </w:rPr>
              <w:t>3.7 thousand</w:t>
            </w:r>
          </w:p>
        </w:tc>
        <w:tc>
          <w:tcPr>
            <w:tcW w:w="1360" w:type="dxa"/>
            <w:vAlign w:val="bottom"/>
            <w:tcBorders>
              <w:right w:val="single" w:sz="8" w:color="auto"/>
            </w:tcBorders>
          </w:tcPr>
          <w:p>
            <w:pPr>
              <w:jc w:val="center"/>
              <w:ind w:right="26"/>
              <w:spacing w:after="0" w:line="95" w:lineRule="exact"/>
              <w:rPr>
                <w:sz w:val="20"/>
                <w:szCs w:val="20"/>
                <w:color w:val="auto"/>
              </w:rPr>
            </w:pPr>
            <w:r>
              <w:rPr>
                <w:rFonts w:ascii="Arial" w:cs="Arial" w:eastAsia="Arial" w:hAnsi="Arial"/>
                <w:sz w:val="11"/>
                <w:szCs w:val="11"/>
                <w:color w:val="auto"/>
                <w:w w:val="97"/>
              </w:rPr>
              <w:t>25.3 thousand</w:t>
            </w:r>
          </w:p>
        </w:tc>
      </w:tr>
      <w:tr>
        <w:trPr>
          <w:trHeight w:val="136"/>
        </w:trPr>
        <w:tc>
          <w:tcPr>
            <w:tcW w:w="510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SME-Pymes financially included through loans (working capital and invoice discounting) – YTD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BCP</w:t>
            </w:r>
          </w:p>
        </w:tc>
        <w:tc>
          <w:tcPr>
            <w:tcW w:w="1360" w:type="dxa"/>
            <w:vAlign w:val="bottom"/>
            <w:tcBorders>
              <w:right w:val="single" w:sz="8" w:color="auto"/>
            </w:tcBorders>
          </w:tcPr>
          <w:p>
            <w:pPr>
              <w:jc w:val="center"/>
              <w:ind w:right="45"/>
              <w:spacing w:after="0"/>
              <w:rPr>
                <w:sz w:val="20"/>
                <w:szCs w:val="20"/>
                <w:color w:val="auto"/>
              </w:rPr>
            </w:pPr>
            <w:r>
              <w:rPr>
                <w:rFonts w:ascii="Arial" w:cs="Arial" w:eastAsia="Arial" w:hAnsi="Arial"/>
                <w:sz w:val="11"/>
                <w:szCs w:val="11"/>
                <w:color w:val="auto"/>
              </w:rPr>
              <w:t>14.7 thousand</w:t>
            </w:r>
          </w:p>
        </w:tc>
        <w:tc>
          <w:tcPr>
            <w:tcW w:w="1360" w:type="dxa"/>
            <w:vAlign w:val="bottom"/>
            <w:tcBorders>
              <w:right w:val="single" w:sz="8" w:color="auto"/>
            </w:tcBorders>
          </w:tcPr>
          <w:p>
            <w:pPr>
              <w:ind w:left="340"/>
              <w:spacing w:after="0"/>
              <w:rPr>
                <w:sz w:val="20"/>
                <w:szCs w:val="20"/>
                <w:color w:val="auto"/>
              </w:rPr>
            </w:pPr>
            <w:r>
              <w:rPr>
                <w:rFonts w:ascii="Arial" w:cs="Arial" w:eastAsia="Arial" w:hAnsi="Arial"/>
                <w:sz w:val="11"/>
                <w:szCs w:val="11"/>
                <w:color w:val="auto"/>
              </w:rPr>
              <w:t>9.7 thousand</w:t>
            </w:r>
          </w:p>
        </w:tc>
        <w:tc>
          <w:tcPr>
            <w:tcW w:w="1360" w:type="dxa"/>
            <w:vAlign w:val="bottom"/>
            <w:tcBorders>
              <w:right w:val="single" w:sz="8" w:color="auto"/>
            </w:tcBorders>
          </w:tcPr>
          <w:p>
            <w:pPr>
              <w:ind w:left="240"/>
              <w:spacing w:after="0" w:line="136" w:lineRule="exact"/>
              <w:rPr>
                <w:sz w:val="20"/>
                <w:szCs w:val="20"/>
                <w:color w:val="auto"/>
              </w:rPr>
            </w:pPr>
            <w:r>
              <w:rPr>
                <w:rFonts w:ascii="Arial" w:cs="Arial" w:eastAsia="Arial" w:hAnsi="Arial"/>
                <w:sz w:val="9"/>
                <w:szCs w:val="9"/>
                <w:color w:val="auto"/>
              </w:rPr>
              <w:t xml:space="preserve">19.5 thousand </w:t>
            </w:r>
            <w:r>
              <w:rPr>
                <w:rFonts w:ascii="Arial" w:cs="Arial" w:eastAsia="Arial" w:hAnsi="Arial"/>
                <w:sz w:val="15"/>
                <w:szCs w:val="15"/>
                <w:color w:val="auto"/>
                <w:vertAlign w:val="superscript"/>
              </w:rPr>
              <w:t>(4)</w:t>
            </w:r>
          </w:p>
        </w:tc>
      </w:tr>
      <w:tr>
        <w:trPr>
          <w:trHeight w:val="130"/>
        </w:trPr>
        <w:tc>
          <w:tcPr>
            <w:tcW w:w="5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Microbusiness affiliated to Yape – YTD</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BCP</w:t>
            </w:r>
          </w:p>
        </w:tc>
        <w:tc>
          <w:tcPr>
            <w:tcW w:w="1360" w:type="dxa"/>
            <w:vAlign w:val="bottom"/>
            <w:tcBorders>
              <w:bottom w:val="single" w:sz="8" w:color="auto"/>
              <w:right w:val="single" w:sz="8" w:color="auto"/>
            </w:tcBorders>
          </w:tcPr>
          <w:p>
            <w:pPr>
              <w:jc w:val="center"/>
              <w:ind w:right="5"/>
              <w:spacing w:after="0"/>
              <w:rPr>
                <w:sz w:val="20"/>
                <w:szCs w:val="20"/>
                <w:color w:val="auto"/>
              </w:rPr>
            </w:pPr>
            <w:r>
              <w:rPr>
                <w:rFonts w:ascii="Arial" w:cs="Arial" w:eastAsia="Arial" w:hAnsi="Arial"/>
                <w:sz w:val="11"/>
                <w:szCs w:val="11"/>
                <w:color w:val="auto"/>
                <w:w w:val="97"/>
              </w:rPr>
              <w:t>3.9 thousand</w:t>
            </w:r>
          </w:p>
        </w:tc>
        <w:tc>
          <w:tcPr>
            <w:tcW w:w="1360" w:type="dxa"/>
            <w:vAlign w:val="bottom"/>
            <w:tcBorders>
              <w:bottom w:val="single" w:sz="8" w:color="auto"/>
              <w:right w:val="single" w:sz="8" w:color="auto"/>
            </w:tcBorders>
          </w:tcPr>
          <w:p>
            <w:pPr>
              <w:jc w:val="center"/>
              <w:ind w:right="25"/>
              <w:spacing w:after="0"/>
              <w:rPr>
                <w:sz w:val="20"/>
                <w:szCs w:val="20"/>
                <w:color w:val="auto"/>
              </w:rPr>
            </w:pPr>
            <w:r>
              <w:rPr>
                <w:rFonts w:ascii="Arial" w:cs="Arial" w:eastAsia="Arial" w:hAnsi="Arial"/>
                <w:sz w:val="11"/>
                <w:szCs w:val="11"/>
                <w:color w:val="auto"/>
              </w:rPr>
              <w:t>8.3 thousand</w:t>
            </w:r>
          </w:p>
        </w:tc>
        <w:tc>
          <w:tcPr>
            <w:tcW w:w="1360" w:type="dxa"/>
            <w:vAlign w:val="bottom"/>
            <w:tcBorders>
              <w:bottom w:val="single" w:sz="8" w:color="auto"/>
              <w:right w:val="single" w:sz="8" w:color="auto"/>
            </w:tcBorders>
          </w:tcPr>
          <w:p>
            <w:pPr>
              <w:jc w:val="center"/>
              <w:ind w:right="26"/>
              <w:spacing w:after="0"/>
              <w:rPr>
                <w:sz w:val="20"/>
                <w:szCs w:val="20"/>
                <w:color w:val="auto"/>
              </w:rPr>
            </w:pPr>
            <w:r>
              <w:rPr>
                <w:rFonts w:ascii="Arial" w:cs="Arial" w:eastAsia="Arial" w:hAnsi="Arial"/>
                <w:sz w:val="11"/>
                <w:szCs w:val="11"/>
                <w:color w:val="auto"/>
                <w:w w:val="97"/>
              </w:rPr>
              <w:t>13.7 thousand</w:t>
            </w:r>
          </w:p>
        </w:tc>
      </w:tr>
    </w:tbl>
    <w:p>
      <w:pPr>
        <w:spacing w:after="0" w:line="117" w:lineRule="exact"/>
        <w:rPr>
          <w:sz w:val="20"/>
          <w:szCs w:val="20"/>
          <w:color w:val="auto"/>
        </w:rPr>
      </w:pPr>
    </w:p>
    <w:p>
      <w:pPr>
        <w:ind w:right="40" w:firstLine="9"/>
        <w:spacing w:after="0" w:line="243" w:lineRule="auto"/>
        <w:tabs>
          <w:tab w:leader="none" w:pos="164" w:val="left"/>
        </w:tabs>
        <w:numPr>
          <w:ilvl w:val="0"/>
          <w:numId w:val="11"/>
        </w:numPr>
        <w:rPr>
          <w:rFonts w:ascii="Arial" w:cs="Arial" w:eastAsia="Arial" w:hAnsi="Arial"/>
          <w:sz w:val="11"/>
          <w:szCs w:val="11"/>
          <w:color w:val="auto"/>
        </w:rPr>
      </w:pPr>
      <w:r>
        <w:rPr>
          <w:rFonts w:ascii="Arial" w:cs="Arial" w:eastAsia="Arial" w:hAnsi="Arial"/>
          <w:sz w:val="11"/>
          <w:szCs w:val="11"/>
          <w:color w:val="auto"/>
        </w:rPr>
        <w:t>Stock of financially included clients through BCP since 2020: (i) New clients with savings accounts or affiliated to Yape. (ii) New clients without debt in the financial system or BCP products in the last twelve months. (iii) Clients with 3 monthly average transactions in the last three months. The figure for 2Q23 has been revised.</w:t>
      </w:r>
    </w:p>
    <w:p>
      <w:pPr>
        <w:ind w:firstLine="9"/>
        <w:spacing w:after="0" w:line="234" w:lineRule="auto"/>
        <w:tabs>
          <w:tab w:leader="none" w:pos="164" w:val="left"/>
        </w:tabs>
        <w:numPr>
          <w:ilvl w:val="0"/>
          <w:numId w:val="11"/>
        </w:numPr>
        <w:rPr>
          <w:rFonts w:ascii="Arial" w:cs="Arial" w:eastAsia="Arial" w:hAnsi="Arial"/>
          <w:sz w:val="11"/>
          <w:szCs w:val="11"/>
          <w:color w:val="auto"/>
        </w:rPr>
      </w:pPr>
      <w:r>
        <w:rPr>
          <w:rFonts w:ascii="Arial" w:cs="Arial" w:eastAsia="Arial" w:hAnsi="Arial"/>
          <w:sz w:val="11"/>
          <w:szCs w:val="11"/>
          <w:color w:val="auto"/>
        </w:rPr>
        <w:t>Covers virtual or in-person trainings about risk management for businesses, entrepreneurship, and finance through our different educational strategies, such as the Basic Program for Digital Guidance, Powerful Women and Pymes.</w:t>
      </w:r>
    </w:p>
    <w:p>
      <w:pPr>
        <w:ind w:left="180" w:hanging="171"/>
        <w:spacing w:after="0" w:line="234" w:lineRule="auto"/>
        <w:tabs>
          <w:tab w:leader="none" w:pos="180" w:val="left"/>
        </w:tabs>
        <w:numPr>
          <w:ilvl w:val="0"/>
          <w:numId w:val="11"/>
        </w:numPr>
        <w:rPr>
          <w:rFonts w:ascii="Arial" w:cs="Arial" w:eastAsia="Arial" w:hAnsi="Arial"/>
          <w:sz w:val="11"/>
          <w:szCs w:val="11"/>
          <w:color w:val="auto"/>
        </w:rPr>
      </w:pPr>
      <w:r>
        <w:rPr>
          <w:rFonts w:ascii="Arial" w:cs="Arial" w:eastAsia="Arial" w:hAnsi="Arial"/>
          <w:sz w:val="11"/>
          <w:szCs w:val="11"/>
          <w:color w:val="auto"/>
        </w:rPr>
        <w:t>Non-cumulative. Figure for the period.</w:t>
      </w:r>
    </w:p>
    <w:p>
      <w:pPr>
        <w:ind w:left="180" w:hanging="171"/>
        <w:spacing w:after="0"/>
        <w:tabs>
          <w:tab w:leader="none" w:pos="180" w:val="left"/>
        </w:tabs>
        <w:numPr>
          <w:ilvl w:val="0"/>
          <w:numId w:val="11"/>
        </w:numPr>
        <w:rPr>
          <w:rFonts w:ascii="Arial" w:cs="Arial" w:eastAsia="Arial" w:hAnsi="Arial"/>
          <w:sz w:val="11"/>
          <w:szCs w:val="11"/>
          <w:color w:val="auto"/>
        </w:rPr>
      </w:pPr>
      <w:r>
        <w:rPr>
          <w:rFonts w:ascii="Arial" w:cs="Arial" w:eastAsia="Arial" w:hAnsi="Arial"/>
          <w:sz w:val="11"/>
          <w:szCs w:val="11"/>
          <w:color w:val="auto"/>
        </w:rPr>
        <w:t>Up to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753110</wp:posOffset>
            </wp:positionV>
            <wp:extent cx="7164705" cy="13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93980</wp:posOffset>
            </wp:positionV>
            <wp:extent cx="1502410" cy="44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5792470</wp:posOffset>
            </wp:positionH>
            <wp:positionV relativeFrom="paragraph">
              <wp:posOffset>243840</wp:posOffset>
            </wp:positionV>
            <wp:extent cx="1221105" cy="294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21105" cy="294005"/>
                    </a:xfrm>
                    <a:prstGeom prst="rect">
                      <a:avLst/>
                    </a:prstGeom>
                    <a:noFill/>
                  </pic:spPr>
                </pic:pic>
              </a:graphicData>
            </a:graphic>
          </wp:anchor>
        </w:drawing>
      </w:r>
    </w:p>
    <w:p>
      <w:pPr>
        <w:sectPr>
          <w:pgSz w:w="11900" w:h="16838" w:orient="portrait"/>
          <w:cols w:equalWidth="0" w:num="1">
            <w:col w:w="10700"/>
          </w:cols>
          <w:pgMar w:left="540" w:top="298" w:right="659" w:bottom="1440" w:gutter="0" w:footer="0" w:header="0"/>
        </w:sectPr>
      </w:pPr>
    </w:p>
    <w:bookmarkStart w:id="19" w:name="page20"/>
    <w:bookmarkEnd w:id="19"/>
    <w:p>
      <w:pPr>
        <w:ind w:left="2266"/>
        <w:spacing w:after="0"/>
        <w:tabs>
          <w:tab w:leader="none" w:pos="2466" w:val="left"/>
          <w:tab w:leader="none" w:pos="7426"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3397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705" cy="339725"/>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319" w:lineRule="exact"/>
        <w:rPr>
          <w:sz w:val="20"/>
          <w:szCs w:val="20"/>
          <w:color w:val="auto"/>
        </w:rPr>
      </w:pPr>
    </w:p>
    <w:p>
      <w:pPr>
        <w:ind w:left="6"/>
        <w:spacing w:after="0"/>
        <w:rPr>
          <w:sz w:val="20"/>
          <w:szCs w:val="20"/>
          <w:color w:val="auto"/>
        </w:rPr>
      </w:pPr>
      <w:r>
        <w:rPr>
          <w:rFonts w:ascii="Arial" w:cs="Arial" w:eastAsia="Arial" w:hAnsi="Arial"/>
          <w:sz w:val="40"/>
          <w:szCs w:val="40"/>
          <w:b w:val="1"/>
          <w:bCs w:val="1"/>
          <w:color w:val="E93BAC"/>
        </w:rPr>
        <w:t xml:space="preserve">01 </w:t>
      </w:r>
      <w:r>
        <w:rPr>
          <w:rFonts w:ascii="Arial" w:cs="Arial" w:eastAsia="Arial" w:hAnsi="Arial"/>
          <w:sz w:val="24"/>
          <w:szCs w:val="24"/>
          <w:color w:val="E93BAB"/>
        </w:rPr>
        <w:t>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118745</wp:posOffset>
            </wp:positionV>
            <wp:extent cx="6597015" cy="8883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97015" cy="888365"/>
                    </a:xfrm>
                    <a:prstGeom prst="rect">
                      <a:avLst/>
                    </a:prstGeom>
                    <a:noFill/>
                  </pic:spPr>
                </pic:pic>
              </a:graphicData>
            </a:graphic>
          </wp:anchor>
        </w:drawing>
      </w:r>
    </w:p>
    <w:p>
      <w:pPr>
        <w:spacing w:after="0" w:line="236" w:lineRule="exact"/>
        <w:rPr>
          <w:sz w:val="20"/>
          <w:szCs w:val="20"/>
          <w:color w:val="auto"/>
        </w:rPr>
      </w:pPr>
    </w:p>
    <w:p>
      <w:pPr>
        <w:jc w:val="both"/>
        <w:ind w:left="106" w:right="140"/>
        <w:spacing w:after="0" w:line="244" w:lineRule="auto"/>
        <w:rPr>
          <w:sz w:val="20"/>
          <w:szCs w:val="20"/>
          <w:color w:val="auto"/>
        </w:rPr>
      </w:pPr>
      <w:r>
        <w:rPr>
          <w:rFonts w:ascii="Arial" w:cs="Arial" w:eastAsia="Arial" w:hAnsi="Arial"/>
          <w:sz w:val="14"/>
          <w:szCs w:val="14"/>
          <w:color w:val="FFFFFF"/>
        </w:rPr>
        <w:t>After a challenging first quarter, total loans began to show signs of recovery. QoQ, total loans in average daily balances (ADB) increased 1.3% (+1.2% FX Neutral). This evolution was driven mainly by i) an increase in the need for short-term financing in the energy sector in Corporate Banking and ii) loan expansion, after a weak first quarter in SME-Business. Growth this quarter was partially offset by a drop in the loan balance at Mibanco, Middle Market Banking and SME-Pyme.</w:t>
      </w:r>
    </w:p>
    <w:p>
      <w:pPr>
        <w:spacing w:after="0" w:line="126" w:lineRule="exact"/>
        <w:rPr>
          <w:sz w:val="20"/>
          <w:szCs w:val="20"/>
          <w:color w:val="auto"/>
        </w:rPr>
      </w:pPr>
    </w:p>
    <w:p>
      <w:pPr>
        <w:jc w:val="both"/>
        <w:ind w:left="106" w:right="140"/>
        <w:spacing w:after="0" w:line="239" w:lineRule="auto"/>
        <w:rPr>
          <w:sz w:val="20"/>
          <w:szCs w:val="20"/>
          <w:color w:val="auto"/>
        </w:rPr>
      </w:pPr>
      <w:r>
        <w:rPr>
          <w:rFonts w:ascii="Arial" w:cs="Arial" w:eastAsia="Arial" w:hAnsi="Arial"/>
          <w:sz w:val="14"/>
          <w:szCs w:val="14"/>
          <w:color w:val="FFFFFF"/>
        </w:rPr>
        <w:t>YoY, total loans in average daily balances rose 0.2% (-0.8% FX Neutral). This evolution was driven primarily by i) an uptick in Mortgage issuances over the quarter, ii) resumption of activities for the first fishing campaign of the year, after cancellation last year, which drove growth in Middle Market loans, and iii) higher disbursements in Wholesale Banking at BCP Bolivia. This inter-annual loan growth was partially offset by a drop in the loan balance for Mibanco, SME-Pyme, SME-Business and Corporate Banking. YTD, loans in ADB dropped 1.5%, driven primarily by Corporate Banking and Mibanco.</w:t>
      </w:r>
    </w:p>
    <w:p>
      <w:pPr>
        <w:spacing w:after="0" w:line="66"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auto"/>
        </w:rPr>
        <w:t>1.1. Loans</w:t>
      </w:r>
    </w:p>
    <w:p>
      <w:pPr>
        <w:spacing w:after="0" w:line="125" w:lineRule="exact"/>
        <w:rPr>
          <w:sz w:val="20"/>
          <w:szCs w:val="20"/>
          <w:color w:val="auto"/>
        </w:rPr>
      </w:pPr>
    </w:p>
    <w:p>
      <w:pPr>
        <w:ind w:left="3986"/>
        <w:spacing w:after="0"/>
        <w:rPr>
          <w:sz w:val="20"/>
          <w:szCs w:val="20"/>
          <w:color w:val="auto"/>
        </w:rPr>
      </w:pPr>
      <w:r>
        <w:rPr>
          <w:rFonts w:ascii="Arial" w:cs="Arial" w:eastAsia="Arial" w:hAnsi="Arial"/>
          <w:sz w:val="14"/>
          <w:szCs w:val="14"/>
          <w:b w:val="1"/>
          <w:bCs w:val="1"/>
          <w:color w:val="auto"/>
        </w:rPr>
        <w:t>Total Loans (in Average Daily Balances)</w:t>
      </w:r>
      <w:r>
        <w:rPr>
          <w:rFonts w:ascii="Arial" w:cs="Arial" w:eastAsia="Arial" w:hAnsi="Arial"/>
          <w:sz w:val="22"/>
          <w:szCs w:val="22"/>
          <w:b w:val="1"/>
          <w:bCs w:val="1"/>
          <w:color w:val="auto"/>
          <w:vertAlign w:val="superscript"/>
        </w:rPr>
        <w:t>(1)(2)</w:t>
      </w:r>
    </w:p>
    <w:tbl>
      <w:tblPr>
        <w:tblLayout w:type="fixed"/>
        <w:tblInd w:w="16" w:type="dxa"/>
        <w:tblCellMar>
          <w:top w:w="0" w:type="dxa"/>
          <w:left w:w="0" w:type="dxa"/>
          <w:bottom w:w="0" w:type="dxa"/>
          <w:right w:w="0" w:type="dxa"/>
        </w:tblCellMar>
      </w:tblPr>
      <w:tr>
        <w:trPr>
          <w:trHeight w:val="124"/>
        </w:trPr>
        <w:tc>
          <w:tcPr>
            <w:tcW w:w="1900" w:type="dxa"/>
            <w:vAlign w:val="bottom"/>
            <w:tcBorders>
              <w:top w:val="single" w:sz="8" w:color="auto"/>
              <w:left w:val="single" w:sz="8" w:color="auto"/>
              <w:right w:val="single" w:sz="8" w:color="auto"/>
            </w:tcBorders>
            <w:shd w:val="clear" w:color="auto" w:fill="2AD2C9"/>
          </w:tcPr>
          <w:p>
            <w:pPr>
              <w:ind w:left="80"/>
              <w:spacing w:after="0" w:line="124" w:lineRule="exact"/>
              <w:rPr>
                <w:sz w:val="20"/>
                <w:szCs w:val="20"/>
                <w:color w:val="auto"/>
              </w:rPr>
            </w:pPr>
            <w:r>
              <w:rPr>
                <w:rFonts w:ascii="Arial" w:cs="Arial" w:eastAsia="Arial" w:hAnsi="Arial"/>
                <w:sz w:val="12"/>
                <w:szCs w:val="12"/>
                <w:b w:val="1"/>
                <w:bCs w:val="1"/>
                <w:color w:val="FFFFFF"/>
              </w:rPr>
              <w:t>Total Loans</w:t>
            </w:r>
          </w:p>
        </w:tc>
        <w:tc>
          <w:tcPr>
            <w:tcW w:w="840" w:type="dxa"/>
            <w:vAlign w:val="bottom"/>
            <w:tcBorders>
              <w:top w:val="single" w:sz="8" w:color="auto"/>
            </w:tcBorders>
            <w:shd w:val="clear" w:color="auto" w:fill="2AD2C9"/>
          </w:tcPr>
          <w:p>
            <w:pPr>
              <w:spacing w:after="0"/>
              <w:rPr>
                <w:sz w:val="10"/>
                <w:szCs w:val="10"/>
                <w:color w:val="auto"/>
              </w:rPr>
            </w:pPr>
          </w:p>
        </w:tc>
        <w:tc>
          <w:tcPr>
            <w:tcW w:w="840" w:type="dxa"/>
            <w:vAlign w:val="bottom"/>
            <w:tcBorders>
              <w:top w:val="single" w:sz="8" w:color="auto"/>
            </w:tcBorders>
            <w:vMerge w:val="restart"/>
            <w:shd w:val="clear" w:color="auto" w:fill="2AD2C9"/>
          </w:tcPr>
          <w:p>
            <w:pPr>
              <w:jc w:val="center"/>
              <w:spacing w:after="0"/>
              <w:rPr>
                <w:sz w:val="20"/>
                <w:szCs w:val="20"/>
                <w:color w:val="auto"/>
              </w:rPr>
            </w:pPr>
            <w:r>
              <w:rPr>
                <w:rFonts w:ascii="Arial" w:cs="Arial" w:eastAsia="Arial" w:hAnsi="Arial"/>
                <w:sz w:val="12"/>
                <w:szCs w:val="12"/>
                <w:b w:val="1"/>
                <w:bCs w:val="1"/>
                <w:color w:val="FFFFFF"/>
              </w:rPr>
              <w:t>As of</w:t>
            </w:r>
          </w:p>
        </w:tc>
        <w:tc>
          <w:tcPr>
            <w:tcW w:w="860" w:type="dxa"/>
            <w:vAlign w:val="bottom"/>
            <w:tcBorders>
              <w:top w:val="single" w:sz="8" w:color="auto"/>
              <w:right w:val="single" w:sz="8" w:color="auto"/>
            </w:tcBorders>
            <w:shd w:val="clear" w:color="auto" w:fill="2AD2C9"/>
          </w:tcPr>
          <w:p>
            <w:pPr>
              <w:spacing w:after="0"/>
              <w:rPr>
                <w:sz w:val="10"/>
                <w:szCs w:val="10"/>
                <w:color w:val="auto"/>
              </w:rPr>
            </w:pPr>
          </w:p>
        </w:tc>
        <w:tc>
          <w:tcPr>
            <w:tcW w:w="1780" w:type="dxa"/>
            <w:vAlign w:val="bottom"/>
            <w:tcBorders>
              <w:top w:val="single" w:sz="8" w:color="auto"/>
              <w:right w:val="single" w:sz="8" w:color="auto"/>
            </w:tcBorders>
            <w:gridSpan w:val="2"/>
            <w:vMerge w:val="restart"/>
            <w:shd w:val="clear" w:color="auto" w:fill="2AD2C9"/>
          </w:tcPr>
          <w:p>
            <w:pPr>
              <w:ind w:left="420"/>
              <w:spacing w:after="0"/>
              <w:rPr>
                <w:sz w:val="20"/>
                <w:szCs w:val="20"/>
                <w:color w:val="auto"/>
              </w:rPr>
            </w:pPr>
            <w:r>
              <w:rPr>
                <w:rFonts w:ascii="Arial" w:cs="Arial" w:eastAsia="Arial" w:hAnsi="Arial"/>
                <w:sz w:val="12"/>
                <w:szCs w:val="12"/>
                <w:b w:val="1"/>
                <w:bCs w:val="1"/>
                <w:color w:val="FFFFFF"/>
              </w:rPr>
              <w:t>Volume change</w:t>
            </w:r>
          </w:p>
        </w:tc>
        <w:tc>
          <w:tcPr>
            <w:tcW w:w="540" w:type="dxa"/>
            <w:vAlign w:val="bottom"/>
            <w:tcBorders>
              <w:top w:val="single" w:sz="8" w:color="auto"/>
            </w:tcBorders>
            <w:shd w:val="clear" w:color="auto" w:fill="2AD2C9"/>
          </w:tcPr>
          <w:p>
            <w:pPr>
              <w:spacing w:after="0"/>
              <w:rPr>
                <w:sz w:val="10"/>
                <w:szCs w:val="10"/>
                <w:color w:val="auto"/>
              </w:rPr>
            </w:pPr>
          </w:p>
        </w:tc>
        <w:tc>
          <w:tcPr>
            <w:tcW w:w="1140" w:type="dxa"/>
            <w:vAlign w:val="bottom"/>
            <w:tcBorders>
              <w:top w:val="single" w:sz="8" w:color="auto"/>
              <w:right w:val="single" w:sz="8" w:color="auto"/>
            </w:tcBorders>
            <w:vMerge w:val="restart"/>
            <w:shd w:val="clear" w:color="auto" w:fill="2AD2C9"/>
          </w:tcPr>
          <w:p>
            <w:pPr>
              <w:spacing w:after="0"/>
              <w:rPr>
                <w:sz w:val="20"/>
                <w:szCs w:val="20"/>
                <w:color w:val="auto"/>
              </w:rPr>
            </w:pPr>
            <w:r>
              <w:rPr>
                <w:rFonts w:ascii="Arial" w:cs="Arial" w:eastAsia="Arial" w:hAnsi="Arial"/>
                <w:sz w:val="12"/>
                <w:szCs w:val="12"/>
                <w:b w:val="1"/>
                <w:bCs w:val="1"/>
                <w:color w:val="FFFFFF"/>
              </w:rPr>
              <w:t>% change</w:t>
            </w:r>
          </w:p>
        </w:tc>
        <w:tc>
          <w:tcPr>
            <w:tcW w:w="620" w:type="dxa"/>
            <w:vAlign w:val="bottom"/>
            <w:tcBorders>
              <w:top w:val="single" w:sz="8" w:color="auto"/>
            </w:tcBorders>
            <w:shd w:val="clear" w:color="auto" w:fill="2AD2C9"/>
          </w:tcPr>
          <w:p>
            <w:pPr>
              <w:spacing w:after="0"/>
              <w:rPr>
                <w:sz w:val="10"/>
                <w:szCs w:val="10"/>
                <w:color w:val="auto"/>
              </w:rPr>
            </w:pPr>
          </w:p>
        </w:tc>
        <w:tc>
          <w:tcPr>
            <w:tcW w:w="1880" w:type="dxa"/>
            <w:vAlign w:val="bottom"/>
            <w:tcBorders>
              <w:top w:val="single" w:sz="8" w:color="auto"/>
              <w:right w:val="single" w:sz="8" w:color="auto"/>
            </w:tcBorders>
            <w:gridSpan w:val="2"/>
            <w:vMerge w:val="restart"/>
            <w:shd w:val="clear" w:color="auto" w:fill="2AD2C9"/>
          </w:tcPr>
          <w:p>
            <w:pPr>
              <w:jc w:val="center"/>
              <w:ind w:right="578"/>
              <w:spacing w:after="0"/>
              <w:rPr>
                <w:sz w:val="20"/>
                <w:szCs w:val="20"/>
                <w:color w:val="auto"/>
              </w:rPr>
            </w:pPr>
            <w:r>
              <w:rPr>
                <w:rFonts w:ascii="Arial" w:cs="Arial" w:eastAsia="Arial" w:hAnsi="Arial"/>
                <w:sz w:val="12"/>
                <w:szCs w:val="12"/>
                <w:b w:val="1"/>
                <w:bCs w:val="1"/>
                <w:color w:val="FFFFFF"/>
              </w:rPr>
              <w:t>% Part. in total loans</w:t>
            </w:r>
          </w:p>
        </w:tc>
        <w:tc>
          <w:tcPr>
            <w:tcW w:w="0" w:type="dxa"/>
            <w:vAlign w:val="bottom"/>
          </w:tcPr>
          <w:p>
            <w:pPr>
              <w:spacing w:after="0"/>
              <w:rPr>
                <w:sz w:val="1"/>
                <w:szCs w:val="1"/>
                <w:color w:val="auto"/>
              </w:rPr>
            </w:pPr>
          </w:p>
        </w:tc>
      </w:tr>
      <w:tr>
        <w:trPr>
          <w:trHeight w:val="98"/>
        </w:trPr>
        <w:tc>
          <w:tcPr>
            <w:tcW w:w="1900" w:type="dxa"/>
            <w:vAlign w:val="bottom"/>
            <w:tcBorders>
              <w:left w:val="single" w:sz="8" w:color="auto"/>
              <w:right w:val="single" w:sz="8" w:color="auto"/>
            </w:tcBorders>
            <w:vMerge w:val="restart"/>
            <w:shd w:val="clear" w:color="auto" w:fill="2AD2C9"/>
          </w:tcPr>
          <w:p>
            <w:pPr>
              <w:ind w:left="80"/>
              <w:spacing w:after="0"/>
              <w:rPr>
                <w:sz w:val="20"/>
                <w:szCs w:val="20"/>
                <w:color w:val="auto"/>
              </w:rPr>
            </w:pPr>
            <w:r>
              <w:rPr>
                <w:rFonts w:ascii="Arial" w:cs="Arial" w:eastAsia="Arial" w:hAnsi="Arial"/>
                <w:sz w:val="12"/>
                <w:szCs w:val="12"/>
                <w:color w:val="FFFFFF"/>
              </w:rPr>
              <w:t>(S/ millions)</w:t>
            </w:r>
          </w:p>
        </w:tc>
        <w:tc>
          <w:tcPr>
            <w:tcW w:w="840" w:type="dxa"/>
            <w:vAlign w:val="bottom"/>
            <w:shd w:val="clear" w:color="auto" w:fill="2AD2C9"/>
          </w:tcPr>
          <w:p>
            <w:pPr>
              <w:spacing w:after="0"/>
              <w:rPr>
                <w:sz w:val="8"/>
                <w:szCs w:val="8"/>
                <w:color w:val="auto"/>
              </w:rPr>
            </w:pPr>
          </w:p>
        </w:tc>
        <w:tc>
          <w:tcPr>
            <w:tcW w:w="840" w:type="dxa"/>
            <w:vAlign w:val="bottom"/>
            <w:vMerge w:val="continue"/>
            <w:shd w:val="clear" w:color="auto" w:fill="2AD2C9"/>
          </w:tcPr>
          <w:p>
            <w:pPr>
              <w:spacing w:after="0"/>
              <w:rPr>
                <w:sz w:val="8"/>
                <w:szCs w:val="8"/>
                <w:color w:val="auto"/>
              </w:rPr>
            </w:pPr>
          </w:p>
        </w:tc>
        <w:tc>
          <w:tcPr>
            <w:tcW w:w="860" w:type="dxa"/>
            <w:vAlign w:val="bottom"/>
            <w:tcBorders>
              <w:right w:val="single" w:sz="8" w:color="auto"/>
            </w:tcBorders>
            <w:shd w:val="clear" w:color="auto" w:fill="2AD2C9"/>
          </w:tcPr>
          <w:p>
            <w:pPr>
              <w:spacing w:after="0"/>
              <w:rPr>
                <w:sz w:val="8"/>
                <w:szCs w:val="8"/>
                <w:color w:val="auto"/>
              </w:rPr>
            </w:pPr>
          </w:p>
        </w:tc>
        <w:tc>
          <w:tcPr>
            <w:tcW w:w="1780" w:type="dxa"/>
            <w:vAlign w:val="bottom"/>
            <w:tcBorders>
              <w:right w:val="single" w:sz="8" w:color="auto"/>
            </w:tcBorders>
            <w:gridSpan w:val="2"/>
            <w:vMerge w:val="continue"/>
            <w:shd w:val="clear" w:color="auto" w:fill="2AD2C9"/>
          </w:tcPr>
          <w:p>
            <w:pPr>
              <w:spacing w:after="0"/>
              <w:rPr>
                <w:sz w:val="8"/>
                <w:szCs w:val="8"/>
                <w:color w:val="auto"/>
              </w:rPr>
            </w:pPr>
          </w:p>
        </w:tc>
        <w:tc>
          <w:tcPr>
            <w:tcW w:w="540" w:type="dxa"/>
            <w:vAlign w:val="bottom"/>
            <w:shd w:val="clear" w:color="auto" w:fill="2AD2C9"/>
          </w:tcPr>
          <w:p>
            <w:pPr>
              <w:spacing w:after="0"/>
              <w:rPr>
                <w:sz w:val="8"/>
                <w:szCs w:val="8"/>
                <w:color w:val="auto"/>
              </w:rPr>
            </w:pPr>
          </w:p>
        </w:tc>
        <w:tc>
          <w:tcPr>
            <w:tcW w:w="1140" w:type="dxa"/>
            <w:vAlign w:val="bottom"/>
            <w:tcBorders>
              <w:right w:val="single" w:sz="8" w:color="auto"/>
            </w:tcBorders>
            <w:vMerge w:val="continue"/>
            <w:shd w:val="clear" w:color="auto" w:fill="2AD2C9"/>
          </w:tcPr>
          <w:p>
            <w:pPr>
              <w:spacing w:after="0"/>
              <w:rPr>
                <w:sz w:val="8"/>
                <w:szCs w:val="8"/>
                <w:color w:val="auto"/>
              </w:rPr>
            </w:pPr>
          </w:p>
        </w:tc>
        <w:tc>
          <w:tcPr>
            <w:tcW w:w="620" w:type="dxa"/>
            <w:vAlign w:val="bottom"/>
            <w:shd w:val="clear" w:color="auto" w:fill="2AD2C9"/>
          </w:tcPr>
          <w:p>
            <w:pPr>
              <w:spacing w:after="0"/>
              <w:rPr>
                <w:sz w:val="8"/>
                <w:szCs w:val="8"/>
                <w:color w:val="auto"/>
              </w:rPr>
            </w:pPr>
          </w:p>
        </w:tc>
        <w:tc>
          <w:tcPr>
            <w:tcW w:w="1880" w:type="dxa"/>
            <w:vAlign w:val="bottom"/>
            <w:tcBorders>
              <w:right w:val="single" w:sz="8" w:color="auto"/>
            </w:tcBorders>
            <w:gridSpan w:val="2"/>
            <w:vMerge w:val="continue"/>
            <w:shd w:val="clear" w:color="auto" w:fill="2AD2C9"/>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900" w:type="dxa"/>
            <w:vAlign w:val="bottom"/>
            <w:tcBorders>
              <w:left w:val="single" w:sz="8" w:color="auto"/>
              <w:right w:val="single" w:sz="8" w:color="auto"/>
            </w:tcBorders>
            <w:vMerge w:val="continue"/>
            <w:shd w:val="clear" w:color="auto" w:fill="2AD2C9"/>
          </w:tcPr>
          <w:p>
            <w:pPr>
              <w:spacing w:after="0"/>
              <w:rPr>
                <w:sz w:val="4"/>
                <w:szCs w:val="4"/>
                <w:color w:val="auto"/>
              </w:rPr>
            </w:pPr>
          </w:p>
        </w:tc>
        <w:tc>
          <w:tcPr>
            <w:tcW w:w="840" w:type="dxa"/>
            <w:vAlign w:val="bottom"/>
            <w:vMerge w:val="restart"/>
            <w:shd w:val="clear" w:color="auto" w:fill="2AD2C9"/>
          </w:tcPr>
          <w:p>
            <w:pPr>
              <w:ind w:left="220"/>
              <w:spacing w:after="0"/>
              <w:rPr>
                <w:sz w:val="20"/>
                <w:szCs w:val="20"/>
                <w:color w:val="auto"/>
              </w:rPr>
            </w:pPr>
            <w:r>
              <w:rPr>
                <w:rFonts w:ascii="Arial" w:cs="Arial" w:eastAsia="Arial" w:hAnsi="Arial"/>
                <w:sz w:val="12"/>
                <w:szCs w:val="12"/>
                <w:b w:val="1"/>
                <w:bCs w:val="1"/>
                <w:color w:val="FFFFFF"/>
              </w:rPr>
              <w:t>Jun 23</w:t>
            </w:r>
          </w:p>
        </w:tc>
        <w:tc>
          <w:tcPr>
            <w:tcW w:w="840" w:type="dxa"/>
            <w:vAlign w:val="bottom"/>
            <w:vMerge w:val="restart"/>
            <w:shd w:val="clear" w:color="auto" w:fill="2AD2C9"/>
          </w:tcPr>
          <w:p>
            <w:pPr>
              <w:jc w:val="center"/>
              <w:spacing w:after="0"/>
              <w:rPr>
                <w:sz w:val="20"/>
                <w:szCs w:val="20"/>
                <w:color w:val="auto"/>
              </w:rPr>
            </w:pPr>
            <w:r>
              <w:rPr>
                <w:rFonts w:ascii="Arial" w:cs="Arial" w:eastAsia="Arial" w:hAnsi="Arial"/>
                <w:sz w:val="12"/>
                <w:szCs w:val="12"/>
                <w:b w:val="1"/>
                <w:bCs w:val="1"/>
                <w:color w:val="FFFFFF"/>
                <w:w w:val="99"/>
              </w:rPr>
              <w:t>Mar 24</w:t>
            </w:r>
          </w:p>
        </w:tc>
        <w:tc>
          <w:tcPr>
            <w:tcW w:w="860" w:type="dxa"/>
            <w:vAlign w:val="bottom"/>
            <w:tcBorders>
              <w:right w:val="single" w:sz="8" w:color="auto"/>
            </w:tcBorders>
            <w:vMerge w:val="restart"/>
            <w:shd w:val="clear" w:color="auto" w:fill="2AD2C9"/>
          </w:tcPr>
          <w:p>
            <w:pPr>
              <w:ind w:left="220"/>
              <w:spacing w:after="0"/>
              <w:rPr>
                <w:sz w:val="20"/>
                <w:szCs w:val="20"/>
                <w:color w:val="auto"/>
              </w:rPr>
            </w:pPr>
            <w:r>
              <w:rPr>
                <w:rFonts w:ascii="Arial" w:cs="Arial" w:eastAsia="Arial" w:hAnsi="Arial"/>
                <w:sz w:val="12"/>
                <w:szCs w:val="12"/>
                <w:b w:val="1"/>
                <w:bCs w:val="1"/>
                <w:color w:val="FFFFFF"/>
              </w:rPr>
              <w:t>Jun 24</w:t>
            </w:r>
          </w:p>
        </w:tc>
        <w:tc>
          <w:tcPr>
            <w:tcW w:w="820" w:type="dxa"/>
            <w:vAlign w:val="bottom"/>
            <w:vMerge w:val="restart"/>
            <w:shd w:val="clear" w:color="auto" w:fill="2AD2C9"/>
          </w:tcPr>
          <w:p>
            <w:pPr>
              <w:ind w:left="260"/>
              <w:spacing w:after="0"/>
              <w:rPr>
                <w:sz w:val="20"/>
                <w:szCs w:val="20"/>
                <w:color w:val="auto"/>
              </w:rPr>
            </w:pPr>
            <w:r>
              <w:rPr>
                <w:rFonts w:ascii="Arial" w:cs="Arial" w:eastAsia="Arial" w:hAnsi="Arial"/>
                <w:sz w:val="12"/>
                <w:szCs w:val="12"/>
                <w:b w:val="1"/>
                <w:bCs w:val="1"/>
                <w:color w:val="FFFFFF"/>
              </w:rPr>
              <w:t>QoQ</w:t>
            </w:r>
          </w:p>
        </w:tc>
        <w:tc>
          <w:tcPr>
            <w:tcW w:w="960" w:type="dxa"/>
            <w:vAlign w:val="bottom"/>
            <w:tcBorders>
              <w:right w:val="single" w:sz="8" w:color="auto"/>
            </w:tcBorders>
            <w:vMerge w:val="restart"/>
            <w:shd w:val="clear" w:color="auto" w:fill="2AD2C9"/>
          </w:tcPr>
          <w:p>
            <w:pPr>
              <w:ind w:left="360"/>
              <w:spacing w:after="0"/>
              <w:rPr>
                <w:sz w:val="20"/>
                <w:szCs w:val="20"/>
                <w:color w:val="auto"/>
              </w:rPr>
            </w:pPr>
            <w:r>
              <w:rPr>
                <w:rFonts w:ascii="Arial" w:cs="Arial" w:eastAsia="Arial" w:hAnsi="Arial"/>
                <w:sz w:val="12"/>
                <w:szCs w:val="12"/>
                <w:b w:val="1"/>
                <w:bCs w:val="1"/>
                <w:color w:val="FFFFFF"/>
              </w:rPr>
              <w:t>YoY</w:t>
            </w:r>
          </w:p>
        </w:tc>
        <w:tc>
          <w:tcPr>
            <w:tcW w:w="540" w:type="dxa"/>
            <w:vAlign w:val="bottom"/>
            <w:vMerge w:val="restart"/>
            <w:shd w:val="clear" w:color="auto" w:fill="2AD2C9"/>
          </w:tcPr>
          <w:p>
            <w:pPr>
              <w:ind w:left="220"/>
              <w:spacing w:after="0"/>
              <w:rPr>
                <w:sz w:val="20"/>
                <w:szCs w:val="20"/>
                <w:color w:val="auto"/>
              </w:rPr>
            </w:pPr>
            <w:r>
              <w:rPr>
                <w:rFonts w:ascii="Arial" w:cs="Arial" w:eastAsia="Arial" w:hAnsi="Arial"/>
                <w:sz w:val="12"/>
                <w:szCs w:val="12"/>
                <w:b w:val="1"/>
                <w:bCs w:val="1"/>
                <w:color w:val="FFFFFF"/>
              </w:rPr>
              <w:t>QoQ</w:t>
            </w:r>
          </w:p>
        </w:tc>
        <w:tc>
          <w:tcPr>
            <w:tcW w:w="1140" w:type="dxa"/>
            <w:vAlign w:val="bottom"/>
            <w:tcBorders>
              <w:right w:val="single" w:sz="8" w:color="auto"/>
            </w:tcBorders>
            <w:vMerge w:val="restart"/>
            <w:shd w:val="clear" w:color="auto" w:fill="2AD2C9"/>
          </w:tcPr>
          <w:p>
            <w:pPr>
              <w:ind w:left="540"/>
              <w:spacing w:after="0"/>
              <w:rPr>
                <w:sz w:val="20"/>
                <w:szCs w:val="20"/>
                <w:color w:val="auto"/>
              </w:rPr>
            </w:pPr>
            <w:r>
              <w:rPr>
                <w:rFonts w:ascii="Arial" w:cs="Arial" w:eastAsia="Arial" w:hAnsi="Arial"/>
                <w:sz w:val="12"/>
                <w:szCs w:val="12"/>
                <w:b w:val="1"/>
                <w:bCs w:val="1"/>
                <w:color w:val="FFFFFF"/>
              </w:rPr>
              <w:t>YoY</w:t>
            </w:r>
          </w:p>
        </w:tc>
        <w:tc>
          <w:tcPr>
            <w:tcW w:w="620" w:type="dxa"/>
            <w:vAlign w:val="bottom"/>
            <w:vMerge w:val="restart"/>
            <w:shd w:val="clear" w:color="auto" w:fill="2AD2C9"/>
          </w:tcPr>
          <w:p>
            <w:pPr>
              <w:ind w:left="200"/>
              <w:spacing w:after="0"/>
              <w:rPr>
                <w:sz w:val="20"/>
                <w:szCs w:val="20"/>
                <w:color w:val="auto"/>
              </w:rPr>
            </w:pPr>
            <w:r>
              <w:rPr>
                <w:rFonts w:ascii="Arial" w:cs="Arial" w:eastAsia="Arial" w:hAnsi="Arial"/>
                <w:sz w:val="12"/>
                <w:szCs w:val="12"/>
                <w:b w:val="1"/>
                <w:bCs w:val="1"/>
                <w:color w:val="FFFFFF"/>
              </w:rPr>
              <w:t>Jun 23</w:t>
            </w:r>
          </w:p>
        </w:tc>
        <w:tc>
          <w:tcPr>
            <w:tcW w:w="1020" w:type="dxa"/>
            <w:vAlign w:val="bottom"/>
            <w:vMerge w:val="restart"/>
            <w:shd w:val="clear" w:color="auto" w:fill="2AD2C9"/>
          </w:tcPr>
          <w:p>
            <w:pPr>
              <w:jc w:val="center"/>
              <w:ind w:left="138"/>
              <w:spacing w:after="0"/>
              <w:rPr>
                <w:sz w:val="20"/>
                <w:szCs w:val="20"/>
                <w:color w:val="auto"/>
              </w:rPr>
            </w:pPr>
            <w:r>
              <w:rPr>
                <w:rFonts w:ascii="Arial" w:cs="Arial" w:eastAsia="Arial" w:hAnsi="Arial"/>
                <w:sz w:val="12"/>
                <w:szCs w:val="12"/>
                <w:b w:val="1"/>
                <w:bCs w:val="1"/>
                <w:color w:val="FFFFFF"/>
                <w:w w:val="99"/>
              </w:rPr>
              <w:t>Mar 24</w:t>
            </w:r>
          </w:p>
        </w:tc>
        <w:tc>
          <w:tcPr>
            <w:tcW w:w="860" w:type="dxa"/>
            <w:vAlign w:val="bottom"/>
            <w:tcBorders>
              <w:right w:val="single" w:sz="8" w:color="auto"/>
            </w:tcBorders>
            <w:vMerge w:val="restart"/>
            <w:shd w:val="clear" w:color="auto" w:fill="2AD2C9"/>
          </w:tcPr>
          <w:p>
            <w:pPr>
              <w:ind w:left="240"/>
              <w:spacing w:after="0"/>
              <w:rPr>
                <w:sz w:val="20"/>
                <w:szCs w:val="20"/>
                <w:color w:val="auto"/>
              </w:rPr>
            </w:pPr>
            <w:r>
              <w:rPr>
                <w:rFonts w:ascii="Arial" w:cs="Arial" w:eastAsia="Arial" w:hAnsi="Arial"/>
                <w:sz w:val="12"/>
                <w:szCs w:val="12"/>
                <w:b w:val="1"/>
                <w:bCs w:val="1"/>
                <w:color w:val="FFFFFF"/>
              </w:rPr>
              <w:t>Jun 24</w:t>
            </w:r>
          </w:p>
        </w:tc>
        <w:tc>
          <w:tcPr>
            <w:tcW w:w="0" w:type="dxa"/>
            <w:vAlign w:val="bottom"/>
          </w:tcPr>
          <w:p>
            <w:pPr>
              <w:spacing w:after="0"/>
              <w:rPr>
                <w:sz w:val="1"/>
                <w:szCs w:val="1"/>
                <w:color w:val="auto"/>
              </w:rPr>
            </w:pPr>
          </w:p>
        </w:tc>
      </w:tr>
      <w:tr>
        <w:trPr>
          <w:trHeight w:val="144"/>
        </w:trPr>
        <w:tc>
          <w:tcPr>
            <w:tcW w:w="1900" w:type="dxa"/>
            <w:vAlign w:val="bottom"/>
            <w:tcBorders>
              <w:left w:val="single" w:sz="8" w:color="auto"/>
              <w:bottom w:val="single" w:sz="8" w:color="auto"/>
              <w:right w:val="single" w:sz="8" w:color="auto"/>
            </w:tcBorders>
            <w:shd w:val="clear" w:color="auto" w:fill="2AD2C9"/>
          </w:tcPr>
          <w:p>
            <w:pPr>
              <w:spacing w:after="0"/>
              <w:rPr>
                <w:sz w:val="12"/>
                <w:szCs w:val="12"/>
                <w:color w:val="auto"/>
              </w:rPr>
            </w:pPr>
          </w:p>
        </w:tc>
        <w:tc>
          <w:tcPr>
            <w:tcW w:w="840" w:type="dxa"/>
            <w:vAlign w:val="bottom"/>
            <w:tcBorders>
              <w:bottom w:val="single" w:sz="8" w:color="auto"/>
            </w:tcBorders>
            <w:vMerge w:val="continue"/>
            <w:shd w:val="clear" w:color="auto" w:fill="2AD2C9"/>
          </w:tcPr>
          <w:p>
            <w:pPr>
              <w:spacing w:after="0"/>
              <w:rPr>
                <w:sz w:val="12"/>
                <w:szCs w:val="12"/>
                <w:color w:val="auto"/>
              </w:rPr>
            </w:pPr>
          </w:p>
        </w:tc>
        <w:tc>
          <w:tcPr>
            <w:tcW w:w="840" w:type="dxa"/>
            <w:vAlign w:val="bottom"/>
            <w:tcBorders>
              <w:bottom w:val="single" w:sz="8" w:color="auto"/>
            </w:tcBorders>
            <w:vMerge w:val="continue"/>
            <w:shd w:val="clear" w:color="auto" w:fill="2AD2C9"/>
          </w:tcPr>
          <w:p>
            <w:pPr>
              <w:spacing w:after="0"/>
              <w:rPr>
                <w:sz w:val="12"/>
                <w:szCs w:val="12"/>
                <w:color w:val="auto"/>
              </w:rPr>
            </w:pPr>
          </w:p>
        </w:tc>
        <w:tc>
          <w:tcPr>
            <w:tcW w:w="860" w:type="dxa"/>
            <w:vAlign w:val="bottom"/>
            <w:tcBorders>
              <w:bottom w:val="single" w:sz="8" w:color="auto"/>
              <w:right w:val="single" w:sz="8" w:color="auto"/>
            </w:tcBorders>
            <w:vMerge w:val="continue"/>
            <w:shd w:val="clear" w:color="auto" w:fill="2AD2C9"/>
          </w:tcPr>
          <w:p>
            <w:pPr>
              <w:spacing w:after="0"/>
              <w:rPr>
                <w:sz w:val="12"/>
                <w:szCs w:val="12"/>
                <w:color w:val="auto"/>
              </w:rPr>
            </w:pPr>
          </w:p>
        </w:tc>
        <w:tc>
          <w:tcPr>
            <w:tcW w:w="820" w:type="dxa"/>
            <w:vAlign w:val="bottom"/>
            <w:tcBorders>
              <w:bottom w:val="single" w:sz="8" w:color="auto"/>
            </w:tcBorders>
            <w:vMerge w:val="continue"/>
            <w:shd w:val="clear" w:color="auto" w:fill="2AD2C9"/>
          </w:tcPr>
          <w:p>
            <w:pPr>
              <w:spacing w:after="0"/>
              <w:rPr>
                <w:sz w:val="12"/>
                <w:szCs w:val="12"/>
                <w:color w:val="auto"/>
              </w:rPr>
            </w:pPr>
          </w:p>
        </w:tc>
        <w:tc>
          <w:tcPr>
            <w:tcW w:w="960" w:type="dxa"/>
            <w:vAlign w:val="bottom"/>
            <w:tcBorders>
              <w:bottom w:val="single" w:sz="8" w:color="auto"/>
              <w:right w:val="single" w:sz="8" w:color="auto"/>
            </w:tcBorders>
            <w:vMerge w:val="continue"/>
            <w:shd w:val="clear" w:color="auto" w:fill="2AD2C9"/>
          </w:tcPr>
          <w:p>
            <w:pPr>
              <w:spacing w:after="0"/>
              <w:rPr>
                <w:sz w:val="12"/>
                <w:szCs w:val="12"/>
                <w:color w:val="auto"/>
              </w:rPr>
            </w:pPr>
          </w:p>
        </w:tc>
        <w:tc>
          <w:tcPr>
            <w:tcW w:w="540" w:type="dxa"/>
            <w:vAlign w:val="bottom"/>
            <w:tcBorders>
              <w:bottom w:val="single" w:sz="8" w:color="auto"/>
            </w:tcBorders>
            <w:vMerge w:val="continue"/>
            <w:shd w:val="clear" w:color="auto" w:fill="2AD2C9"/>
          </w:tcPr>
          <w:p>
            <w:pPr>
              <w:spacing w:after="0"/>
              <w:rPr>
                <w:sz w:val="12"/>
                <w:szCs w:val="12"/>
                <w:color w:val="auto"/>
              </w:rPr>
            </w:pPr>
          </w:p>
        </w:tc>
        <w:tc>
          <w:tcPr>
            <w:tcW w:w="1140" w:type="dxa"/>
            <w:vAlign w:val="bottom"/>
            <w:tcBorders>
              <w:bottom w:val="single" w:sz="8" w:color="auto"/>
              <w:right w:val="single" w:sz="8" w:color="auto"/>
            </w:tcBorders>
            <w:vMerge w:val="continue"/>
            <w:shd w:val="clear" w:color="auto" w:fill="2AD2C9"/>
          </w:tcPr>
          <w:p>
            <w:pPr>
              <w:spacing w:after="0"/>
              <w:rPr>
                <w:sz w:val="12"/>
                <w:szCs w:val="12"/>
                <w:color w:val="auto"/>
              </w:rPr>
            </w:pPr>
          </w:p>
        </w:tc>
        <w:tc>
          <w:tcPr>
            <w:tcW w:w="620" w:type="dxa"/>
            <w:vAlign w:val="bottom"/>
            <w:tcBorders>
              <w:bottom w:val="single" w:sz="8" w:color="auto"/>
            </w:tcBorders>
            <w:vMerge w:val="continue"/>
            <w:shd w:val="clear" w:color="auto" w:fill="2AD2C9"/>
          </w:tcPr>
          <w:p>
            <w:pPr>
              <w:spacing w:after="0"/>
              <w:rPr>
                <w:sz w:val="12"/>
                <w:szCs w:val="12"/>
                <w:color w:val="auto"/>
              </w:rPr>
            </w:pPr>
          </w:p>
        </w:tc>
        <w:tc>
          <w:tcPr>
            <w:tcW w:w="1020" w:type="dxa"/>
            <w:vAlign w:val="bottom"/>
            <w:tcBorders>
              <w:bottom w:val="single" w:sz="8" w:color="auto"/>
            </w:tcBorders>
            <w:vMerge w:val="continue"/>
            <w:shd w:val="clear" w:color="auto" w:fill="2AD2C9"/>
          </w:tcPr>
          <w:p>
            <w:pPr>
              <w:spacing w:after="0"/>
              <w:rPr>
                <w:sz w:val="12"/>
                <w:szCs w:val="12"/>
                <w:color w:val="auto"/>
              </w:rPr>
            </w:pPr>
          </w:p>
        </w:tc>
        <w:tc>
          <w:tcPr>
            <w:tcW w:w="860" w:type="dxa"/>
            <w:vAlign w:val="bottom"/>
            <w:tcBorders>
              <w:bottom w:val="single" w:sz="8" w:color="auto"/>
              <w:right w:val="single" w:sz="8" w:color="auto"/>
            </w:tcBorders>
            <w:vMerge w:val="continue"/>
            <w:shd w:val="clear" w:color="auto" w:fill="2AD2C9"/>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900" w:type="dxa"/>
            <w:vAlign w:val="bottom"/>
            <w:tcBorders>
              <w:left w:val="single" w:sz="8" w:color="auto"/>
              <w:right w:val="single" w:sz="8" w:color="auto"/>
            </w:tcBorders>
          </w:tcPr>
          <w:p>
            <w:pPr>
              <w:ind w:left="80"/>
              <w:spacing w:after="0" w:line="124" w:lineRule="exact"/>
              <w:rPr>
                <w:sz w:val="20"/>
                <w:szCs w:val="20"/>
                <w:color w:val="auto"/>
              </w:rPr>
            </w:pPr>
            <w:r>
              <w:rPr>
                <w:rFonts w:ascii="Arial" w:cs="Arial" w:eastAsia="Arial" w:hAnsi="Arial"/>
                <w:sz w:val="12"/>
                <w:szCs w:val="12"/>
                <w:b w:val="1"/>
                <w:bCs w:val="1"/>
                <w:color w:val="auto"/>
              </w:rPr>
              <w:t>BCP Stand-alone</w:t>
            </w:r>
          </w:p>
        </w:tc>
        <w:tc>
          <w:tcPr>
            <w:tcW w:w="84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rPr>
              <w:t>115,773</w:t>
            </w:r>
          </w:p>
        </w:tc>
        <w:tc>
          <w:tcPr>
            <w:tcW w:w="84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rPr>
              <w:t>114,383</w:t>
            </w:r>
          </w:p>
        </w:tc>
        <w:tc>
          <w:tcPr>
            <w:tcW w:w="8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b w:val="1"/>
                <w:bCs w:val="1"/>
                <w:color w:val="auto"/>
              </w:rPr>
              <w:t>116,450</w:t>
            </w:r>
          </w:p>
        </w:tc>
        <w:tc>
          <w:tcPr>
            <w:tcW w:w="820" w:type="dxa"/>
            <w:vAlign w:val="bottom"/>
          </w:tcPr>
          <w:p>
            <w:pPr>
              <w:jc w:val="center"/>
              <w:spacing w:after="0" w:line="124" w:lineRule="exact"/>
              <w:rPr>
                <w:sz w:val="20"/>
                <w:szCs w:val="20"/>
                <w:color w:val="auto"/>
              </w:rPr>
            </w:pPr>
            <w:r>
              <w:rPr>
                <w:rFonts w:ascii="Arial" w:cs="Arial" w:eastAsia="Arial" w:hAnsi="Arial"/>
                <w:sz w:val="12"/>
                <w:szCs w:val="12"/>
                <w:b w:val="1"/>
                <w:bCs w:val="1"/>
                <w:color w:val="auto"/>
              </w:rPr>
              <w:t>2,067</w:t>
            </w:r>
          </w:p>
        </w:tc>
        <w:tc>
          <w:tcPr>
            <w:tcW w:w="9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b w:val="1"/>
                <w:bCs w:val="1"/>
                <w:color w:val="auto"/>
                <w:w w:val="99"/>
              </w:rPr>
              <w:t>677</w:t>
            </w:r>
          </w:p>
        </w:tc>
        <w:tc>
          <w:tcPr>
            <w:tcW w:w="540" w:type="dxa"/>
            <w:vAlign w:val="bottom"/>
          </w:tcPr>
          <w:p>
            <w:pPr>
              <w:jc w:val="center"/>
              <w:ind w:left="118"/>
              <w:spacing w:after="0" w:line="124" w:lineRule="exact"/>
              <w:rPr>
                <w:sz w:val="20"/>
                <w:szCs w:val="20"/>
                <w:color w:val="auto"/>
              </w:rPr>
            </w:pPr>
            <w:r>
              <w:rPr>
                <w:rFonts w:ascii="Arial" w:cs="Arial" w:eastAsia="Arial" w:hAnsi="Arial"/>
                <w:sz w:val="12"/>
                <w:szCs w:val="12"/>
                <w:b w:val="1"/>
                <w:bCs w:val="1"/>
                <w:color w:val="auto"/>
              </w:rPr>
              <w:t>1.8%</w:t>
            </w:r>
          </w:p>
        </w:tc>
        <w:tc>
          <w:tcPr>
            <w:tcW w:w="1140" w:type="dxa"/>
            <w:vAlign w:val="bottom"/>
            <w:tcBorders>
              <w:right w:val="single" w:sz="8" w:color="auto"/>
            </w:tcBorders>
          </w:tcPr>
          <w:p>
            <w:pPr>
              <w:jc w:val="center"/>
              <w:ind w:left="118"/>
              <w:spacing w:after="0" w:line="124" w:lineRule="exact"/>
              <w:rPr>
                <w:sz w:val="20"/>
                <w:szCs w:val="20"/>
                <w:color w:val="auto"/>
              </w:rPr>
            </w:pPr>
            <w:r>
              <w:rPr>
                <w:rFonts w:ascii="Arial" w:cs="Arial" w:eastAsia="Arial" w:hAnsi="Arial"/>
                <w:sz w:val="12"/>
                <w:szCs w:val="12"/>
                <w:b w:val="1"/>
                <w:bCs w:val="1"/>
                <w:color w:val="auto"/>
              </w:rPr>
              <w:t>0.6%</w:t>
            </w:r>
          </w:p>
        </w:tc>
        <w:tc>
          <w:tcPr>
            <w:tcW w:w="620" w:type="dxa"/>
            <w:vAlign w:val="bottom"/>
          </w:tcPr>
          <w:p>
            <w:pPr>
              <w:jc w:val="center"/>
              <w:ind w:left="118"/>
              <w:spacing w:after="0" w:line="124" w:lineRule="exact"/>
              <w:rPr>
                <w:sz w:val="20"/>
                <w:szCs w:val="20"/>
                <w:color w:val="auto"/>
              </w:rPr>
            </w:pPr>
            <w:r>
              <w:rPr>
                <w:rFonts w:ascii="Arial" w:cs="Arial" w:eastAsia="Arial" w:hAnsi="Arial"/>
                <w:sz w:val="12"/>
                <w:szCs w:val="12"/>
                <w:b w:val="1"/>
                <w:bCs w:val="1"/>
                <w:color w:val="auto"/>
              </w:rPr>
              <w:t>81.5%</w:t>
            </w:r>
          </w:p>
        </w:tc>
        <w:tc>
          <w:tcPr>
            <w:tcW w:w="1020" w:type="dxa"/>
            <w:vAlign w:val="bottom"/>
          </w:tcPr>
          <w:p>
            <w:pPr>
              <w:jc w:val="center"/>
              <w:ind w:left="138"/>
              <w:spacing w:after="0" w:line="124" w:lineRule="exact"/>
              <w:rPr>
                <w:sz w:val="20"/>
                <w:szCs w:val="20"/>
                <w:color w:val="auto"/>
              </w:rPr>
            </w:pPr>
            <w:r>
              <w:rPr>
                <w:rFonts w:ascii="Arial" w:cs="Arial" w:eastAsia="Arial" w:hAnsi="Arial"/>
                <w:sz w:val="12"/>
                <w:szCs w:val="12"/>
                <w:b w:val="1"/>
                <w:bCs w:val="1"/>
                <w:color w:val="auto"/>
                <w:w w:val="99"/>
              </w:rPr>
              <w:t>81.5%</w:t>
            </w:r>
          </w:p>
        </w:tc>
        <w:tc>
          <w:tcPr>
            <w:tcW w:w="8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b w:val="1"/>
                <w:bCs w:val="1"/>
                <w:color w:val="auto"/>
                <w:w w:val="99"/>
              </w:rPr>
              <w:t>81.9%</w:t>
            </w:r>
          </w:p>
        </w:tc>
        <w:tc>
          <w:tcPr>
            <w:tcW w:w="0" w:type="dxa"/>
            <w:vAlign w:val="bottom"/>
          </w:tcPr>
          <w:p>
            <w:pPr>
              <w:spacing w:after="0"/>
              <w:rPr>
                <w:sz w:val="1"/>
                <w:szCs w:val="1"/>
                <w:color w:val="auto"/>
              </w:rPr>
            </w:pPr>
          </w:p>
        </w:tc>
      </w:tr>
      <w:tr>
        <w:trPr>
          <w:trHeight w:val="155"/>
        </w:trPr>
        <w:tc>
          <w:tcPr>
            <w:tcW w:w="190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2"/>
                <w:szCs w:val="12"/>
                <w:b w:val="1"/>
                <w:bCs w:val="1"/>
                <w:color w:val="auto"/>
              </w:rPr>
              <w:t>Wholesale Banking</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rPr>
              <w:t>52,944</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rPr>
              <w:t>51,266</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53,157</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1,891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213</w:t>
            </w:r>
          </w:p>
        </w:tc>
        <w:tc>
          <w:tcPr>
            <w:tcW w:w="540" w:type="dxa"/>
            <w:vAlign w:val="bottom"/>
          </w:tcPr>
          <w:p>
            <w:pPr>
              <w:jc w:val="center"/>
              <w:ind w:left="118"/>
              <w:spacing w:after="0"/>
              <w:rPr>
                <w:sz w:val="20"/>
                <w:szCs w:val="20"/>
                <w:color w:val="auto"/>
              </w:rPr>
            </w:pPr>
            <w:r>
              <w:rPr>
                <w:rFonts w:ascii="Arial" w:cs="Arial" w:eastAsia="Arial" w:hAnsi="Arial"/>
                <w:sz w:val="12"/>
                <w:szCs w:val="12"/>
                <w:b w:val="1"/>
                <w:bCs w:val="1"/>
                <w:color w:val="auto"/>
              </w:rPr>
              <w:t>3.7%</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12"/>
                <w:szCs w:val="12"/>
                <w:b w:val="1"/>
                <w:bCs w:val="1"/>
                <w:color w:val="auto"/>
              </w:rPr>
              <w:t>0.4%</w:t>
            </w:r>
          </w:p>
        </w:tc>
        <w:tc>
          <w:tcPr>
            <w:tcW w:w="620" w:type="dxa"/>
            <w:vAlign w:val="bottom"/>
          </w:tcPr>
          <w:p>
            <w:pPr>
              <w:jc w:val="center"/>
              <w:ind w:left="118"/>
              <w:spacing w:after="0"/>
              <w:rPr>
                <w:sz w:val="20"/>
                <w:szCs w:val="20"/>
                <w:color w:val="auto"/>
              </w:rPr>
            </w:pPr>
            <w:r>
              <w:rPr>
                <w:rFonts w:ascii="Arial" w:cs="Arial" w:eastAsia="Arial" w:hAnsi="Arial"/>
                <w:sz w:val="12"/>
                <w:szCs w:val="12"/>
                <w:b w:val="1"/>
                <w:bCs w:val="1"/>
                <w:color w:val="auto"/>
              </w:rPr>
              <w:t>37.3%</w:t>
            </w:r>
          </w:p>
        </w:tc>
        <w:tc>
          <w:tcPr>
            <w:tcW w:w="1020" w:type="dxa"/>
            <w:vAlign w:val="bottom"/>
          </w:tcPr>
          <w:p>
            <w:pPr>
              <w:jc w:val="center"/>
              <w:ind w:left="138"/>
              <w:spacing w:after="0"/>
              <w:rPr>
                <w:sz w:val="20"/>
                <w:szCs w:val="20"/>
                <w:color w:val="auto"/>
              </w:rPr>
            </w:pPr>
            <w:r>
              <w:rPr>
                <w:rFonts w:ascii="Arial" w:cs="Arial" w:eastAsia="Arial" w:hAnsi="Arial"/>
                <w:sz w:val="12"/>
                <w:szCs w:val="12"/>
                <w:b w:val="1"/>
                <w:bCs w:val="1"/>
                <w:color w:val="auto"/>
                <w:w w:val="99"/>
              </w:rPr>
              <w:t>36.5%</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37.4%</w:t>
            </w:r>
          </w:p>
        </w:tc>
        <w:tc>
          <w:tcPr>
            <w:tcW w:w="0" w:type="dxa"/>
            <w:vAlign w:val="bottom"/>
          </w:tcPr>
          <w:p>
            <w:pPr>
              <w:spacing w:after="0"/>
              <w:rPr>
                <w:sz w:val="1"/>
                <w:szCs w:val="1"/>
                <w:color w:val="auto"/>
              </w:rPr>
            </w:pPr>
          </w:p>
        </w:tc>
      </w:tr>
      <w:tr>
        <w:trPr>
          <w:trHeight w:val="144"/>
        </w:trPr>
        <w:tc>
          <w:tcPr>
            <w:tcW w:w="190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2"/>
                <w:szCs w:val="12"/>
                <w:color w:val="auto"/>
              </w:rPr>
              <w:t>Corporate</w:t>
            </w:r>
          </w:p>
        </w:tc>
        <w:tc>
          <w:tcPr>
            <w:tcW w:w="840" w:type="dxa"/>
            <w:vAlign w:val="bottom"/>
          </w:tcPr>
          <w:p>
            <w:pPr>
              <w:jc w:val="center"/>
              <w:spacing w:after="0"/>
              <w:rPr>
                <w:sz w:val="20"/>
                <w:szCs w:val="20"/>
                <w:color w:val="auto"/>
              </w:rPr>
            </w:pPr>
            <w:r>
              <w:rPr>
                <w:rFonts w:ascii="Arial" w:cs="Arial" w:eastAsia="Arial" w:hAnsi="Arial"/>
                <w:sz w:val="12"/>
                <w:szCs w:val="12"/>
                <w:color w:val="auto"/>
              </w:rPr>
              <w:t>32,093</w:t>
            </w:r>
          </w:p>
        </w:tc>
        <w:tc>
          <w:tcPr>
            <w:tcW w:w="840" w:type="dxa"/>
            <w:vAlign w:val="bottom"/>
          </w:tcPr>
          <w:p>
            <w:pPr>
              <w:jc w:val="center"/>
              <w:spacing w:after="0"/>
              <w:rPr>
                <w:sz w:val="20"/>
                <w:szCs w:val="20"/>
                <w:color w:val="auto"/>
              </w:rPr>
            </w:pPr>
            <w:r>
              <w:rPr>
                <w:rFonts w:ascii="Arial" w:cs="Arial" w:eastAsia="Arial" w:hAnsi="Arial"/>
                <w:sz w:val="12"/>
                <w:szCs w:val="12"/>
                <w:color w:val="auto"/>
              </w:rPr>
              <w:t>29,676</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31,879</w:t>
            </w:r>
          </w:p>
        </w:tc>
        <w:tc>
          <w:tcPr>
            <w:tcW w:w="820" w:type="dxa"/>
            <w:vAlign w:val="bottom"/>
            <w:shd w:val="clear" w:color="auto" w:fill="00D373"/>
          </w:tcPr>
          <w:p>
            <w:pPr>
              <w:jc w:val="center"/>
              <w:spacing w:after="0"/>
              <w:rPr>
                <w:sz w:val="20"/>
                <w:szCs w:val="20"/>
                <w:color w:val="auto"/>
              </w:rPr>
            </w:pPr>
            <w:r>
              <w:rPr>
                <w:rFonts w:ascii="Arial" w:cs="Arial" w:eastAsia="Arial" w:hAnsi="Arial"/>
                <w:sz w:val="12"/>
                <w:szCs w:val="12"/>
                <w:color w:val="auto"/>
              </w:rPr>
              <w:t>2,202</w:t>
            </w:r>
          </w:p>
        </w:tc>
        <w:tc>
          <w:tcPr>
            <w:tcW w:w="960" w:type="dxa"/>
            <w:vAlign w:val="bottom"/>
            <w:tcBorders>
              <w:right w:val="single" w:sz="8" w:color="auto"/>
            </w:tcBorders>
            <w:shd w:val="clear" w:color="auto" w:fill="E93CAC"/>
          </w:tcPr>
          <w:p>
            <w:pPr>
              <w:jc w:val="center"/>
              <w:spacing w:after="0"/>
              <w:rPr>
                <w:sz w:val="20"/>
                <w:szCs w:val="20"/>
                <w:color w:val="auto"/>
              </w:rPr>
            </w:pPr>
            <w:r>
              <w:rPr>
                <w:rFonts w:ascii="Arial" w:cs="Arial" w:eastAsia="Arial" w:hAnsi="Arial"/>
                <w:sz w:val="12"/>
                <w:szCs w:val="12"/>
                <w:color w:val="auto"/>
              </w:rPr>
              <w:t>-215</w:t>
            </w:r>
          </w:p>
        </w:tc>
        <w:tc>
          <w:tcPr>
            <w:tcW w:w="540" w:type="dxa"/>
            <w:vAlign w:val="bottom"/>
          </w:tcPr>
          <w:p>
            <w:pPr>
              <w:jc w:val="center"/>
              <w:ind w:left="118"/>
              <w:spacing w:after="0"/>
              <w:rPr>
                <w:sz w:val="20"/>
                <w:szCs w:val="20"/>
                <w:color w:val="auto"/>
              </w:rPr>
            </w:pPr>
            <w:r>
              <w:rPr>
                <w:rFonts w:ascii="Arial" w:cs="Arial" w:eastAsia="Arial" w:hAnsi="Arial"/>
                <w:sz w:val="12"/>
                <w:szCs w:val="12"/>
                <w:color w:val="auto"/>
              </w:rPr>
              <w:t>7.4%</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12"/>
                <w:szCs w:val="12"/>
                <w:color w:val="auto"/>
              </w:rPr>
              <w:t>-0.7%</w:t>
            </w:r>
          </w:p>
        </w:tc>
        <w:tc>
          <w:tcPr>
            <w:tcW w:w="620" w:type="dxa"/>
            <w:vAlign w:val="bottom"/>
          </w:tcPr>
          <w:p>
            <w:pPr>
              <w:jc w:val="center"/>
              <w:ind w:left="118"/>
              <w:spacing w:after="0"/>
              <w:rPr>
                <w:sz w:val="20"/>
                <w:szCs w:val="20"/>
                <w:color w:val="auto"/>
              </w:rPr>
            </w:pPr>
            <w:r>
              <w:rPr>
                <w:rFonts w:ascii="Arial" w:cs="Arial" w:eastAsia="Arial" w:hAnsi="Arial"/>
                <w:sz w:val="12"/>
                <w:szCs w:val="12"/>
                <w:color w:val="auto"/>
              </w:rPr>
              <w:t>22.6%</w:t>
            </w:r>
          </w:p>
        </w:tc>
        <w:tc>
          <w:tcPr>
            <w:tcW w:w="1020" w:type="dxa"/>
            <w:vAlign w:val="bottom"/>
          </w:tcPr>
          <w:p>
            <w:pPr>
              <w:jc w:val="center"/>
              <w:ind w:left="138"/>
              <w:spacing w:after="0"/>
              <w:rPr>
                <w:sz w:val="20"/>
                <w:szCs w:val="20"/>
                <w:color w:val="auto"/>
              </w:rPr>
            </w:pPr>
            <w:r>
              <w:rPr>
                <w:rFonts w:ascii="Arial" w:cs="Arial" w:eastAsia="Arial" w:hAnsi="Arial"/>
                <w:sz w:val="12"/>
                <w:szCs w:val="12"/>
                <w:color w:val="auto"/>
                <w:w w:val="99"/>
              </w:rPr>
              <w:t>21.1%</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22.4%</w:t>
            </w:r>
          </w:p>
        </w:tc>
        <w:tc>
          <w:tcPr>
            <w:tcW w:w="0" w:type="dxa"/>
            <w:vAlign w:val="bottom"/>
          </w:tcPr>
          <w:p>
            <w:pPr>
              <w:spacing w:after="0"/>
              <w:rPr>
                <w:sz w:val="1"/>
                <w:szCs w:val="1"/>
                <w:color w:val="auto"/>
              </w:rPr>
            </w:pPr>
          </w:p>
        </w:tc>
      </w:tr>
      <w:tr>
        <w:trPr>
          <w:trHeight w:val="144"/>
        </w:trPr>
        <w:tc>
          <w:tcPr>
            <w:tcW w:w="190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2"/>
                <w:szCs w:val="12"/>
                <w:color w:val="auto"/>
              </w:rPr>
              <w:t>Middle - Market</w:t>
            </w:r>
          </w:p>
        </w:tc>
        <w:tc>
          <w:tcPr>
            <w:tcW w:w="840" w:type="dxa"/>
            <w:vAlign w:val="bottom"/>
          </w:tcPr>
          <w:p>
            <w:pPr>
              <w:jc w:val="center"/>
              <w:spacing w:after="0"/>
              <w:rPr>
                <w:sz w:val="20"/>
                <w:szCs w:val="20"/>
                <w:color w:val="auto"/>
              </w:rPr>
            </w:pPr>
            <w:r>
              <w:rPr>
                <w:rFonts w:ascii="Arial" w:cs="Arial" w:eastAsia="Arial" w:hAnsi="Arial"/>
                <w:sz w:val="12"/>
                <w:szCs w:val="12"/>
                <w:color w:val="auto"/>
              </w:rPr>
              <w:t>20,851</w:t>
            </w:r>
          </w:p>
        </w:tc>
        <w:tc>
          <w:tcPr>
            <w:tcW w:w="840" w:type="dxa"/>
            <w:vAlign w:val="bottom"/>
          </w:tcPr>
          <w:p>
            <w:pPr>
              <w:jc w:val="center"/>
              <w:spacing w:after="0"/>
              <w:rPr>
                <w:sz w:val="20"/>
                <w:szCs w:val="20"/>
                <w:color w:val="auto"/>
              </w:rPr>
            </w:pPr>
            <w:r>
              <w:rPr>
                <w:rFonts w:ascii="Arial" w:cs="Arial" w:eastAsia="Arial" w:hAnsi="Arial"/>
                <w:sz w:val="12"/>
                <w:szCs w:val="12"/>
                <w:color w:val="auto"/>
              </w:rPr>
              <w:t>21,589</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21,278</w:t>
            </w:r>
          </w:p>
        </w:tc>
        <w:tc>
          <w:tcPr>
            <w:tcW w:w="820" w:type="dxa"/>
            <w:vAlign w:val="bottom"/>
            <w:shd w:val="clear" w:color="auto" w:fill="E93CAC"/>
          </w:tcPr>
          <w:p>
            <w:pPr>
              <w:jc w:val="center"/>
              <w:spacing w:after="0"/>
              <w:rPr>
                <w:sz w:val="20"/>
                <w:szCs w:val="20"/>
                <w:color w:val="auto"/>
              </w:rPr>
            </w:pPr>
            <w:r>
              <w:rPr>
                <w:rFonts w:ascii="Arial" w:cs="Arial" w:eastAsia="Arial" w:hAnsi="Arial"/>
                <w:sz w:val="12"/>
                <w:szCs w:val="12"/>
                <w:color w:val="auto"/>
                <w:w w:val="99"/>
              </w:rPr>
              <w:t>-311</w:t>
            </w:r>
          </w:p>
        </w:tc>
        <w:tc>
          <w:tcPr>
            <w:tcW w:w="960" w:type="dxa"/>
            <w:vAlign w:val="bottom"/>
            <w:tcBorders>
              <w:right w:val="single" w:sz="8" w:color="auto"/>
            </w:tcBorders>
            <w:shd w:val="clear" w:color="auto" w:fill="00D373"/>
          </w:tcPr>
          <w:p>
            <w:pPr>
              <w:jc w:val="center"/>
              <w:spacing w:after="0"/>
              <w:rPr>
                <w:sz w:val="20"/>
                <w:szCs w:val="20"/>
                <w:color w:val="auto"/>
              </w:rPr>
            </w:pPr>
            <w:r>
              <w:rPr>
                <w:rFonts w:ascii="Arial" w:cs="Arial" w:eastAsia="Arial" w:hAnsi="Arial"/>
                <w:sz w:val="12"/>
                <w:szCs w:val="12"/>
                <w:color w:val="auto"/>
                <w:w w:val="99"/>
              </w:rPr>
              <w:t>428</w:t>
            </w:r>
          </w:p>
        </w:tc>
        <w:tc>
          <w:tcPr>
            <w:tcW w:w="540" w:type="dxa"/>
            <w:vAlign w:val="bottom"/>
          </w:tcPr>
          <w:p>
            <w:pPr>
              <w:jc w:val="center"/>
              <w:ind w:left="118"/>
              <w:spacing w:after="0"/>
              <w:rPr>
                <w:sz w:val="20"/>
                <w:szCs w:val="20"/>
                <w:color w:val="auto"/>
              </w:rPr>
            </w:pPr>
            <w:r>
              <w:rPr>
                <w:rFonts w:ascii="Arial" w:cs="Arial" w:eastAsia="Arial" w:hAnsi="Arial"/>
                <w:sz w:val="12"/>
                <w:szCs w:val="12"/>
                <w:color w:val="auto"/>
              </w:rPr>
              <w:t>-1.4%</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12"/>
                <w:szCs w:val="12"/>
                <w:color w:val="auto"/>
              </w:rPr>
              <w:t>2.1%</w:t>
            </w:r>
          </w:p>
        </w:tc>
        <w:tc>
          <w:tcPr>
            <w:tcW w:w="620" w:type="dxa"/>
            <w:vAlign w:val="bottom"/>
          </w:tcPr>
          <w:p>
            <w:pPr>
              <w:jc w:val="center"/>
              <w:ind w:left="118"/>
              <w:spacing w:after="0"/>
              <w:rPr>
                <w:sz w:val="20"/>
                <w:szCs w:val="20"/>
                <w:color w:val="auto"/>
              </w:rPr>
            </w:pPr>
            <w:r>
              <w:rPr>
                <w:rFonts w:ascii="Arial" w:cs="Arial" w:eastAsia="Arial" w:hAnsi="Arial"/>
                <w:sz w:val="12"/>
                <w:szCs w:val="12"/>
                <w:color w:val="auto"/>
              </w:rPr>
              <w:t>14.7%</w:t>
            </w:r>
          </w:p>
        </w:tc>
        <w:tc>
          <w:tcPr>
            <w:tcW w:w="1020" w:type="dxa"/>
            <w:vAlign w:val="bottom"/>
          </w:tcPr>
          <w:p>
            <w:pPr>
              <w:jc w:val="center"/>
              <w:ind w:left="138"/>
              <w:spacing w:after="0"/>
              <w:rPr>
                <w:sz w:val="20"/>
                <w:szCs w:val="20"/>
                <w:color w:val="auto"/>
              </w:rPr>
            </w:pPr>
            <w:r>
              <w:rPr>
                <w:rFonts w:ascii="Arial" w:cs="Arial" w:eastAsia="Arial" w:hAnsi="Arial"/>
                <w:sz w:val="12"/>
                <w:szCs w:val="12"/>
                <w:color w:val="auto"/>
                <w:w w:val="99"/>
              </w:rPr>
              <w:t>15.4%</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15.0%</w:t>
            </w:r>
          </w:p>
        </w:tc>
        <w:tc>
          <w:tcPr>
            <w:tcW w:w="0" w:type="dxa"/>
            <w:vAlign w:val="bottom"/>
          </w:tcPr>
          <w:p>
            <w:pPr>
              <w:spacing w:after="0"/>
              <w:rPr>
                <w:sz w:val="1"/>
                <w:szCs w:val="1"/>
                <w:color w:val="auto"/>
              </w:rPr>
            </w:pPr>
          </w:p>
        </w:tc>
      </w:tr>
      <w:tr>
        <w:trPr>
          <w:trHeight w:val="144"/>
        </w:trPr>
        <w:tc>
          <w:tcPr>
            <w:tcW w:w="190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2"/>
                <w:szCs w:val="12"/>
                <w:b w:val="1"/>
                <w:bCs w:val="1"/>
                <w:color w:val="auto"/>
              </w:rPr>
              <w:t>Retail Banking</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rPr>
              <w:t>62,829</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rPr>
              <w:t>63,117</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63,293</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9"/>
              </w:rPr>
              <w:t>176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464</w:t>
            </w:r>
          </w:p>
        </w:tc>
        <w:tc>
          <w:tcPr>
            <w:tcW w:w="540" w:type="dxa"/>
            <w:vAlign w:val="bottom"/>
          </w:tcPr>
          <w:p>
            <w:pPr>
              <w:jc w:val="center"/>
              <w:ind w:left="118"/>
              <w:spacing w:after="0"/>
              <w:rPr>
                <w:sz w:val="20"/>
                <w:szCs w:val="20"/>
                <w:color w:val="auto"/>
              </w:rPr>
            </w:pPr>
            <w:r>
              <w:rPr>
                <w:rFonts w:ascii="Arial" w:cs="Arial" w:eastAsia="Arial" w:hAnsi="Arial"/>
                <w:sz w:val="12"/>
                <w:szCs w:val="12"/>
                <w:b w:val="1"/>
                <w:bCs w:val="1"/>
                <w:color w:val="auto"/>
              </w:rPr>
              <w:t>0.3%</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12"/>
                <w:szCs w:val="12"/>
                <w:b w:val="1"/>
                <w:bCs w:val="1"/>
                <w:color w:val="auto"/>
              </w:rPr>
              <w:t>0.7%</w:t>
            </w:r>
          </w:p>
        </w:tc>
        <w:tc>
          <w:tcPr>
            <w:tcW w:w="620" w:type="dxa"/>
            <w:vAlign w:val="bottom"/>
          </w:tcPr>
          <w:p>
            <w:pPr>
              <w:jc w:val="center"/>
              <w:ind w:left="118"/>
              <w:spacing w:after="0"/>
              <w:rPr>
                <w:sz w:val="20"/>
                <w:szCs w:val="20"/>
                <w:color w:val="auto"/>
              </w:rPr>
            </w:pPr>
            <w:r>
              <w:rPr>
                <w:rFonts w:ascii="Arial" w:cs="Arial" w:eastAsia="Arial" w:hAnsi="Arial"/>
                <w:sz w:val="12"/>
                <w:szCs w:val="12"/>
                <w:b w:val="1"/>
                <w:bCs w:val="1"/>
                <w:color w:val="auto"/>
              </w:rPr>
              <w:t>44.2%</w:t>
            </w:r>
          </w:p>
        </w:tc>
        <w:tc>
          <w:tcPr>
            <w:tcW w:w="1020" w:type="dxa"/>
            <w:vAlign w:val="bottom"/>
          </w:tcPr>
          <w:p>
            <w:pPr>
              <w:jc w:val="center"/>
              <w:ind w:left="138"/>
              <w:spacing w:after="0"/>
              <w:rPr>
                <w:sz w:val="20"/>
                <w:szCs w:val="20"/>
                <w:color w:val="auto"/>
              </w:rPr>
            </w:pPr>
            <w:r>
              <w:rPr>
                <w:rFonts w:ascii="Arial" w:cs="Arial" w:eastAsia="Arial" w:hAnsi="Arial"/>
                <w:sz w:val="12"/>
                <w:szCs w:val="12"/>
                <w:b w:val="1"/>
                <w:bCs w:val="1"/>
                <w:color w:val="auto"/>
                <w:w w:val="99"/>
              </w:rPr>
              <w:t>44.9%</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44.5%</w:t>
            </w:r>
          </w:p>
        </w:tc>
        <w:tc>
          <w:tcPr>
            <w:tcW w:w="0" w:type="dxa"/>
            <w:vAlign w:val="bottom"/>
          </w:tcPr>
          <w:p>
            <w:pPr>
              <w:spacing w:after="0"/>
              <w:rPr>
                <w:sz w:val="1"/>
                <w:szCs w:val="1"/>
                <w:color w:val="auto"/>
              </w:rPr>
            </w:pPr>
          </w:p>
        </w:tc>
      </w:tr>
      <w:tr>
        <w:trPr>
          <w:trHeight w:val="144"/>
        </w:trPr>
        <w:tc>
          <w:tcPr>
            <w:tcW w:w="190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2"/>
                <w:szCs w:val="12"/>
                <w:color w:val="auto"/>
              </w:rPr>
              <w:t>SME - Business</w:t>
            </w:r>
          </w:p>
        </w:tc>
        <w:tc>
          <w:tcPr>
            <w:tcW w:w="840" w:type="dxa"/>
            <w:vAlign w:val="bottom"/>
          </w:tcPr>
          <w:p>
            <w:pPr>
              <w:jc w:val="center"/>
              <w:spacing w:after="0"/>
              <w:rPr>
                <w:sz w:val="20"/>
                <w:szCs w:val="20"/>
                <w:color w:val="auto"/>
              </w:rPr>
            </w:pPr>
            <w:r>
              <w:rPr>
                <w:rFonts w:ascii="Arial" w:cs="Arial" w:eastAsia="Arial" w:hAnsi="Arial"/>
                <w:sz w:val="12"/>
                <w:szCs w:val="12"/>
                <w:color w:val="auto"/>
                <w:w w:val="99"/>
              </w:rPr>
              <w:t>7,420</w:t>
            </w:r>
          </w:p>
        </w:tc>
        <w:tc>
          <w:tcPr>
            <w:tcW w:w="840" w:type="dxa"/>
            <w:vAlign w:val="bottom"/>
          </w:tcPr>
          <w:p>
            <w:pPr>
              <w:jc w:val="center"/>
              <w:spacing w:after="0"/>
              <w:rPr>
                <w:sz w:val="20"/>
                <w:szCs w:val="20"/>
                <w:color w:val="auto"/>
              </w:rPr>
            </w:pPr>
            <w:r>
              <w:rPr>
                <w:rFonts w:ascii="Arial" w:cs="Arial" w:eastAsia="Arial" w:hAnsi="Arial"/>
                <w:sz w:val="12"/>
                <w:szCs w:val="12"/>
                <w:color w:val="auto"/>
                <w:w w:val="99"/>
              </w:rPr>
              <w:t>6,872</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7,121</w:t>
            </w:r>
          </w:p>
        </w:tc>
        <w:tc>
          <w:tcPr>
            <w:tcW w:w="820" w:type="dxa"/>
            <w:vAlign w:val="bottom"/>
            <w:shd w:val="clear" w:color="auto" w:fill="00D373"/>
          </w:tcPr>
          <w:p>
            <w:pPr>
              <w:jc w:val="center"/>
              <w:spacing w:after="0"/>
              <w:rPr>
                <w:sz w:val="20"/>
                <w:szCs w:val="20"/>
                <w:color w:val="auto"/>
              </w:rPr>
            </w:pPr>
            <w:r>
              <w:rPr>
                <w:rFonts w:ascii="Arial" w:cs="Arial" w:eastAsia="Arial" w:hAnsi="Arial"/>
                <w:sz w:val="12"/>
                <w:szCs w:val="12"/>
                <w:color w:val="auto"/>
                <w:w w:val="99"/>
              </w:rPr>
              <w:t>249</w:t>
            </w:r>
          </w:p>
        </w:tc>
        <w:tc>
          <w:tcPr>
            <w:tcW w:w="960" w:type="dxa"/>
            <w:vAlign w:val="bottom"/>
            <w:tcBorders>
              <w:right w:val="single" w:sz="8" w:color="auto"/>
            </w:tcBorders>
            <w:shd w:val="clear" w:color="auto" w:fill="E93CAC"/>
          </w:tcPr>
          <w:p>
            <w:pPr>
              <w:jc w:val="center"/>
              <w:spacing w:after="0"/>
              <w:rPr>
                <w:sz w:val="20"/>
                <w:szCs w:val="20"/>
                <w:color w:val="auto"/>
              </w:rPr>
            </w:pPr>
            <w:r>
              <w:rPr>
                <w:rFonts w:ascii="Arial" w:cs="Arial" w:eastAsia="Arial" w:hAnsi="Arial"/>
                <w:sz w:val="12"/>
                <w:szCs w:val="12"/>
                <w:color w:val="auto"/>
              </w:rPr>
              <w:t>-300</w:t>
            </w:r>
          </w:p>
        </w:tc>
        <w:tc>
          <w:tcPr>
            <w:tcW w:w="540" w:type="dxa"/>
            <w:vAlign w:val="bottom"/>
          </w:tcPr>
          <w:p>
            <w:pPr>
              <w:jc w:val="center"/>
              <w:ind w:left="118"/>
              <w:spacing w:after="0"/>
              <w:rPr>
                <w:sz w:val="20"/>
                <w:szCs w:val="20"/>
                <w:color w:val="auto"/>
              </w:rPr>
            </w:pPr>
            <w:r>
              <w:rPr>
                <w:rFonts w:ascii="Arial" w:cs="Arial" w:eastAsia="Arial" w:hAnsi="Arial"/>
                <w:sz w:val="12"/>
                <w:szCs w:val="12"/>
                <w:color w:val="auto"/>
              </w:rPr>
              <w:t>3.6%</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12"/>
                <w:szCs w:val="12"/>
                <w:color w:val="auto"/>
              </w:rPr>
              <w:t>-4.0%</w:t>
            </w:r>
          </w:p>
        </w:tc>
        <w:tc>
          <w:tcPr>
            <w:tcW w:w="620" w:type="dxa"/>
            <w:vAlign w:val="bottom"/>
          </w:tcPr>
          <w:p>
            <w:pPr>
              <w:jc w:val="center"/>
              <w:ind w:left="118"/>
              <w:spacing w:after="0"/>
              <w:rPr>
                <w:sz w:val="20"/>
                <w:szCs w:val="20"/>
                <w:color w:val="auto"/>
              </w:rPr>
            </w:pPr>
            <w:r>
              <w:rPr>
                <w:rFonts w:ascii="Arial" w:cs="Arial" w:eastAsia="Arial" w:hAnsi="Arial"/>
                <w:sz w:val="12"/>
                <w:szCs w:val="12"/>
                <w:color w:val="auto"/>
              </w:rPr>
              <w:t>5.2%</w:t>
            </w:r>
          </w:p>
        </w:tc>
        <w:tc>
          <w:tcPr>
            <w:tcW w:w="1020" w:type="dxa"/>
            <w:vAlign w:val="bottom"/>
          </w:tcPr>
          <w:p>
            <w:pPr>
              <w:jc w:val="center"/>
              <w:ind w:left="158"/>
              <w:spacing w:after="0"/>
              <w:rPr>
                <w:sz w:val="20"/>
                <w:szCs w:val="20"/>
                <w:color w:val="auto"/>
              </w:rPr>
            </w:pPr>
            <w:r>
              <w:rPr>
                <w:rFonts w:ascii="Arial" w:cs="Arial" w:eastAsia="Arial" w:hAnsi="Arial"/>
                <w:sz w:val="12"/>
                <w:szCs w:val="12"/>
                <w:color w:val="auto"/>
              </w:rPr>
              <w:t>4.9%</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44"/>
        </w:trPr>
        <w:tc>
          <w:tcPr>
            <w:tcW w:w="190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2"/>
                <w:szCs w:val="12"/>
                <w:color w:val="auto"/>
              </w:rPr>
              <w:t>SME - Pyme</w:t>
            </w:r>
          </w:p>
        </w:tc>
        <w:tc>
          <w:tcPr>
            <w:tcW w:w="840" w:type="dxa"/>
            <w:vAlign w:val="bottom"/>
          </w:tcPr>
          <w:p>
            <w:pPr>
              <w:jc w:val="center"/>
              <w:spacing w:after="0"/>
              <w:rPr>
                <w:sz w:val="20"/>
                <w:szCs w:val="20"/>
                <w:color w:val="auto"/>
              </w:rPr>
            </w:pPr>
            <w:r>
              <w:rPr>
                <w:rFonts w:ascii="Arial" w:cs="Arial" w:eastAsia="Arial" w:hAnsi="Arial"/>
                <w:sz w:val="12"/>
                <w:szCs w:val="12"/>
                <w:color w:val="auto"/>
              </w:rPr>
              <w:t>16,497</w:t>
            </w:r>
          </w:p>
        </w:tc>
        <w:tc>
          <w:tcPr>
            <w:tcW w:w="840" w:type="dxa"/>
            <w:vAlign w:val="bottom"/>
          </w:tcPr>
          <w:p>
            <w:pPr>
              <w:jc w:val="center"/>
              <w:spacing w:after="0"/>
              <w:rPr>
                <w:sz w:val="20"/>
                <w:szCs w:val="20"/>
                <w:color w:val="auto"/>
              </w:rPr>
            </w:pPr>
            <w:r>
              <w:rPr>
                <w:rFonts w:ascii="Arial" w:cs="Arial" w:eastAsia="Arial" w:hAnsi="Arial"/>
                <w:sz w:val="12"/>
                <w:szCs w:val="12"/>
                <w:color w:val="auto"/>
              </w:rPr>
              <w:t>16,512</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16,295</w:t>
            </w:r>
          </w:p>
        </w:tc>
        <w:tc>
          <w:tcPr>
            <w:tcW w:w="820" w:type="dxa"/>
            <w:vAlign w:val="bottom"/>
            <w:shd w:val="clear" w:color="auto" w:fill="E93CAC"/>
          </w:tcPr>
          <w:p>
            <w:pPr>
              <w:jc w:val="center"/>
              <w:spacing w:after="0"/>
              <w:rPr>
                <w:sz w:val="20"/>
                <w:szCs w:val="20"/>
                <w:color w:val="auto"/>
              </w:rPr>
            </w:pPr>
            <w:r>
              <w:rPr>
                <w:rFonts w:ascii="Arial" w:cs="Arial" w:eastAsia="Arial" w:hAnsi="Arial"/>
                <w:sz w:val="12"/>
                <w:szCs w:val="12"/>
                <w:color w:val="auto"/>
                <w:w w:val="99"/>
              </w:rPr>
              <w:t>-217</w:t>
            </w:r>
          </w:p>
        </w:tc>
        <w:tc>
          <w:tcPr>
            <w:tcW w:w="960" w:type="dxa"/>
            <w:vAlign w:val="bottom"/>
            <w:tcBorders>
              <w:right w:val="single" w:sz="8" w:color="auto"/>
            </w:tcBorders>
            <w:shd w:val="clear" w:color="auto" w:fill="E93CAC"/>
          </w:tcPr>
          <w:p>
            <w:pPr>
              <w:jc w:val="center"/>
              <w:spacing w:after="0"/>
              <w:rPr>
                <w:sz w:val="20"/>
                <w:szCs w:val="20"/>
                <w:color w:val="auto"/>
              </w:rPr>
            </w:pPr>
            <w:r>
              <w:rPr>
                <w:rFonts w:ascii="Arial" w:cs="Arial" w:eastAsia="Arial" w:hAnsi="Arial"/>
                <w:sz w:val="12"/>
                <w:szCs w:val="12"/>
                <w:color w:val="auto"/>
              </w:rPr>
              <w:t>-202</w:t>
            </w:r>
          </w:p>
        </w:tc>
        <w:tc>
          <w:tcPr>
            <w:tcW w:w="540" w:type="dxa"/>
            <w:vAlign w:val="bottom"/>
          </w:tcPr>
          <w:p>
            <w:pPr>
              <w:jc w:val="center"/>
              <w:ind w:left="118"/>
              <w:spacing w:after="0"/>
              <w:rPr>
                <w:sz w:val="20"/>
                <w:szCs w:val="20"/>
                <w:color w:val="auto"/>
              </w:rPr>
            </w:pPr>
            <w:r>
              <w:rPr>
                <w:rFonts w:ascii="Arial" w:cs="Arial" w:eastAsia="Arial" w:hAnsi="Arial"/>
                <w:sz w:val="12"/>
                <w:szCs w:val="12"/>
                <w:color w:val="auto"/>
              </w:rPr>
              <w:t>-1.3%</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12"/>
                <w:szCs w:val="12"/>
                <w:color w:val="auto"/>
              </w:rPr>
              <w:t>-1.2%</w:t>
            </w:r>
          </w:p>
        </w:tc>
        <w:tc>
          <w:tcPr>
            <w:tcW w:w="620" w:type="dxa"/>
            <w:vAlign w:val="bottom"/>
          </w:tcPr>
          <w:p>
            <w:pPr>
              <w:jc w:val="center"/>
              <w:ind w:left="138"/>
              <w:spacing w:after="0"/>
              <w:rPr>
                <w:sz w:val="20"/>
                <w:szCs w:val="20"/>
                <w:color w:val="auto"/>
              </w:rPr>
            </w:pPr>
            <w:r>
              <w:rPr>
                <w:rFonts w:ascii="Arial" w:cs="Arial" w:eastAsia="Arial" w:hAnsi="Arial"/>
                <w:sz w:val="12"/>
                <w:szCs w:val="12"/>
                <w:color w:val="auto"/>
                <w:w w:val="99"/>
              </w:rPr>
              <w:t>11.6%</w:t>
            </w:r>
          </w:p>
        </w:tc>
        <w:tc>
          <w:tcPr>
            <w:tcW w:w="1020" w:type="dxa"/>
            <w:vAlign w:val="bottom"/>
          </w:tcPr>
          <w:p>
            <w:pPr>
              <w:jc w:val="center"/>
              <w:ind w:left="138"/>
              <w:spacing w:after="0"/>
              <w:rPr>
                <w:sz w:val="20"/>
                <w:szCs w:val="20"/>
                <w:color w:val="auto"/>
              </w:rPr>
            </w:pPr>
            <w:r>
              <w:rPr>
                <w:rFonts w:ascii="Arial" w:cs="Arial" w:eastAsia="Arial" w:hAnsi="Arial"/>
                <w:sz w:val="12"/>
                <w:szCs w:val="12"/>
                <w:color w:val="auto"/>
                <w:w w:val="99"/>
              </w:rPr>
              <w:t>11.8%</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11.5%</w:t>
            </w:r>
          </w:p>
        </w:tc>
        <w:tc>
          <w:tcPr>
            <w:tcW w:w="0" w:type="dxa"/>
            <w:vAlign w:val="bottom"/>
          </w:tcPr>
          <w:p>
            <w:pPr>
              <w:spacing w:after="0"/>
              <w:rPr>
                <w:sz w:val="1"/>
                <w:szCs w:val="1"/>
                <w:color w:val="auto"/>
              </w:rPr>
            </w:pPr>
          </w:p>
        </w:tc>
      </w:tr>
      <w:tr>
        <w:trPr>
          <w:trHeight w:val="144"/>
        </w:trPr>
        <w:tc>
          <w:tcPr>
            <w:tcW w:w="190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2"/>
                <w:szCs w:val="12"/>
                <w:color w:val="auto"/>
              </w:rPr>
              <w:t>Mortgage</w:t>
            </w:r>
          </w:p>
        </w:tc>
        <w:tc>
          <w:tcPr>
            <w:tcW w:w="840" w:type="dxa"/>
            <w:vAlign w:val="bottom"/>
          </w:tcPr>
          <w:p>
            <w:pPr>
              <w:jc w:val="center"/>
              <w:spacing w:after="0"/>
              <w:rPr>
                <w:sz w:val="20"/>
                <w:szCs w:val="20"/>
                <w:color w:val="auto"/>
              </w:rPr>
            </w:pPr>
            <w:r>
              <w:rPr>
                <w:rFonts w:ascii="Arial" w:cs="Arial" w:eastAsia="Arial" w:hAnsi="Arial"/>
                <w:sz w:val="12"/>
                <w:szCs w:val="12"/>
                <w:color w:val="auto"/>
              </w:rPr>
              <w:t>20,448</w:t>
            </w:r>
          </w:p>
        </w:tc>
        <w:tc>
          <w:tcPr>
            <w:tcW w:w="840" w:type="dxa"/>
            <w:vAlign w:val="bottom"/>
          </w:tcPr>
          <w:p>
            <w:pPr>
              <w:jc w:val="center"/>
              <w:spacing w:after="0"/>
              <w:rPr>
                <w:sz w:val="20"/>
                <w:szCs w:val="20"/>
                <w:color w:val="auto"/>
              </w:rPr>
            </w:pPr>
            <w:r>
              <w:rPr>
                <w:rFonts w:ascii="Arial" w:cs="Arial" w:eastAsia="Arial" w:hAnsi="Arial"/>
                <w:sz w:val="12"/>
                <w:szCs w:val="12"/>
                <w:color w:val="auto"/>
              </w:rPr>
              <w:t>21,235</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21,432</w:t>
            </w:r>
          </w:p>
        </w:tc>
        <w:tc>
          <w:tcPr>
            <w:tcW w:w="820" w:type="dxa"/>
            <w:vAlign w:val="bottom"/>
          </w:tcPr>
          <w:p>
            <w:pPr>
              <w:jc w:val="center"/>
              <w:spacing w:after="0"/>
              <w:rPr>
                <w:sz w:val="20"/>
                <w:szCs w:val="20"/>
                <w:color w:val="auto"/>
              </w:rPr>
            </w:pPr>
            <w:r>
              <w:rPr>
                <w:rFonts w:ascii="Arial" w:cs="Arial" w:eastAsia="Arial" w:hAnsi="Arial"/>
                <w:sz w:val="12"/>
                <w:szCs w:val="12"/>
                <w:color w:val="auto"/>
                <w:w w:val="99"/>
              </w:rPr>
              <w:t>197</w:t>
            </w:r>
          </w:p>
        </w:tc>
        <w:tc>
          <w:tcPr>
            <w:tcW w:w="960" w:type="dxa"/>
            <w:vAlign w:val="bottom"/>
            <w:tcBorders>
              <w:right w:val="single" w:sz="8" w:color="auto"/>
            </w:tcBorders>
            <w:shd w:val="clear" w:color="auto" w:fill="00D373"/>
          </w:tcPr>
          <w:p>
            <w:pPr>
              <w:jc w:val="center"/>
              <w:spacing w:after="0"/>
              <w:rPr>
                <w:sz w:val="20"/>
                <w:szCs w:val="20"/>
                <w:color w:val="auto"/>
              </w:rPr>
            </w:pPr>
            <w:r>
              <w:rPr>
                <w:rFonts w:ascii="Arial" w:cs="Arial" w:eastAsia="Arial" w:hAnsi="Arial"/>
                <w:sz w:val="12"/>
                <w:szCs w:val="12"/>
                <w:color w:val="auto"/>
                <w:w w:val="99"/>
              </w:rPr>
              <w:t>984</w:t>
            </w:r>
          </w:p>
        </w:tc>
        <w:tc>
          <w:tcPr>
            <w:tcW w:w="540" w:type="dxa"/>
            <w:vAlign w:val="bottom"/>
          </w:tcPr>
          <w:p>
            <w:pPr>
              <w:jc w:val="center"/>
              <w:ind w:left="118"/>
              <w:spacing w:after="0"/>
              <w:rPr>
                <w:sz w:val="20"/>
                <w:szCs w:val="20"/>
                <w:color w:val="auto"/>
              </w:rPr>
            </w:pPr>
            <w:r>
              <w:rPr>
                <w:rFonts w:ascii="Arial" w:cs="Arial" w:eastAsia="Arial" w:hAnsi="Arial"/>
                <w:sz w:val="12"/>
                <w:szCs w:val="12"/>
                <w:color w:val="auto"/>
              </w:rPr>
              <w:t>0.9%</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12"/>
                <w:szCs w:val="12"/>
                <w:color w:val="auto"/>
              </w:rPr>
              <w:t>4.8%</w:t>
            </w:r>
          </w:p>
        </w:tc>
        <w:tc>
          <w:tcPr>
            <w:tcW w:w="620" w:type="dxa"/>
            <w:vAlign w:val="bottom"/>
          </w:tcPr>
          <w:p>
            <w:pPr>
              <w:jc w:val="center"/>
              <w:ind w:left="118"/>
              <w:spacing w:after="0"/>
              <w:rPr>
                <w:sz w:val="20"/>
                <w:szCs w:val="20"/>
                <w:color w:val="auto"/>
              </w:rPr>
            </w:pPr>
            <w:r>
              <w:rPr>
                <w:rFonts w:ascii="Arial" w:cs="Arial" w:eastAsia="Arial" w:hAnsi="Arial"/>
                <w:sz w:val="12"/>
                <w:szCs w:val="12"/>
                <w:color w:val="auto"/>
              </w:rPr>
              <w:t>14.4%</w:t>
            </w:r>
          </w:p>
        </w:tc>
        <w:tc>
          <w:tcPr>
            <w:tcW w:w="1020" w:type="dxa"/>
            <w:vAlign w:val="bottom"/>
          </w:tcPr>
          <w:p>
            <w:pPr>
              <w:jc w:val="center"/>
              <w:ind w:left="138"/>
              <w:spacing w:after="0"/>
              <w:rPr>
                <w:sz w:val="20"/>
                <w:szCs w:val="20"/>
                <w:color w:val="auto"/>
              </w:rPr>
            </w:pPr>
            <w:r>
              <w:rPr>
                <w:rFonts w:ascii="Arial" w:cs="Arial" w:eastAsia="Arial" w:hAnsi="Arial"/>
                <w:sz w:val="12"/>
                <w:szCs w:val="12"/>
                <w:color w:val="auto"/>
                <w:w w:val="99"/>
              </w:rPr>
              <w:t>15.1%</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15.1%</w:t>
            </w:r>
          </w:p>
        </w:tc>
        <w:tc>
          <w:tcPr>
            <w:tcW w:w="0" w:type="dxa"/>
            <w:vAlign w:val="bottom"/>
          </w:tcPr>
          <w:p>
            <w:pPr>
              <w:spacing w:after="0"/>
              <w:rPr>
                <w:sz w:val="1"/>
                <w:szCs w:val="1"/>
                <w:color w:val="auto"/>
              </w:rPr>
            </w:pPr>
          </w:p>
        </w:tc>
      </w:tr>
      <w:tr>
        <w:trPr>
          <w:trHeight w:val="133"/>
        </w:trPr>
        <w:tc>
          <w:tcPr>
            <w:tcW w:w="1900" w:type="dxa"/>
            <w:vAlign w:val="bottom"/>
            <w:tcBorders>
              <w:left w:val="single" w:sz="8" w:color="auto"/>
              <w:right w:val="single" w:sz="8" w:color="auto"/>
            </w:tcBorders>
          </w:tcPr>
          <w:p>
            <w:pPr>
              <w:ind w:left="320"/>
              <w:spacing w:after="0" w:line="134" w:lineRule="exact"/>
              <w:rPr>
                <w:sz w:val="20"/>
                <w:szCs w:val="20"/>
                <w:color w:val="auto"/>
              </w:rPr>
            </w:pPr>
            <w:r>
              <w:rPr>
                <w:rFonts w:ascii="Arial" w:cs="Arial" w:eastAsia="Arial" w:hAnsi="Arial"/>
                <w:sz w:val="12"/>
                <w:szCs w:val="12"/>
                <w:color w:val="auto"/>
              </w:rPr>
              <w:t>Consumer</w:t>
            </w:r>
          </w:p>
        </w:tc>
        <w:tc>
          <w:tcPr>
            <w:tcW w:w="840" w:type="dxa"/>
            <w:vAlign w:val="bottom"/>
          </w:tcPr>
          <w:p>
            <w:pPr>
              <w:jc w:val="center"/>
              <w:spacing w:after="0" w:line="134" w:lineRule="exact"/>
              <w:rPr>
                <w:sz w:val="20"/>
                <w:szCs w:val="20"/>
                <w:color w:val="auto"/>
              </w:rPr>
            </w:pPr>
            <w:r>
              <w:rPr>
                <w:rFonts w:ascii="Arial" w:cs="Arial" w:eastAsia="Arial" w:hAnsi="Arial"/>
                <w:sz w:val="12"/>
                <w:szCs w:val="12"/>
                <w:color w:val="auto"/>
              </w:rPr>
              <w:t>12,771</w:t>
            </w:r>
          </w:p>
        </w:tc>
        <w:tc>
          <w:tcPr>
            <w:tcW w:w="840" w:type="dxa"/>
            <w:vAlign w:val="bottom"/>
          </w:tcPr>
          <w:p>
            <w:pPr>
              <w:jc w:val="center"/>
              <w:spacing w:after="0" w:line="134" w:lineRule="exact"/>
              <w:rPr>
                <w:sz w:val="20"/>
                <w:szCs w:val="20"/>
                <w:color w:val="auto"/>
              </w:rPr>
            </w:pPr>
            <w:r>
              <w:rPr>
                <w:rFonts w:ascii="Arial" w:cs="Arial" w:eastAsia="Arial" w:hAnsi="Arial"/>
                <w:sz w:val="12"/>
                <w:szCs w:val="12"/>
                <w:color w:val="auto"/>
              </w:rPr>
              <w:t>12,496</w:t>
            </w:r>
          </w:p>
        </w:tc>
        <w:tc>
          <w:tcPr>
            <w:tcW w:w="8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2"/>
                <w:szCs w:val="12"/>
                <w:color w:val="auto"/>
              </w:rPr>
              <w:t>12,466</w:t>
            </w:r>
          </w:p>
        </w:tc>
        <w:tc>
          <w:tcPr>
            <w:tcW w:w="820" w:type="dxa"/>
            <w:vAlign w:val="bottom"/>
          </w:tcPr>
          <w:p>
            <w:pPr>
              <w:jc w:val="center"/>
              <w:spacing w:after="0" w:line="134" w:lineRule="exact"/>
              <w:rPr>
                <w:sz w:val="20"/>
                <w:szCs w:val="20"/>
                <w:color w:val="auto"/>
              </w:rPr>
            </w:pPr>
            <w:r>
              <w:rPr>
                <w:rFonts w:ascii="Arial" w:cs="Arial" w:eastAsia="Arial" w:hAnsi="Arial"/>
                <w:sz w:val="12"/>
                <w:szCs w:val="12"/>
                <w:color w:val="auto"/>
              </w:rPr>
              <w:t>-29</w:t>
            </w:r>
          </w:p>
        </w:tc>
        <w:tc>
          <w:tcPr>
            <w:tcW w:w="9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2"/>
                <w:szCs w:val="12"/>
                <w:color w:val="auto"/>
              </w:rPr>
              <w:t>-304</w:t>
            </w:r>
          </w:p>
        </w:tc>
        <w:tc>
          <w:tcPr>
            <w:tcW w:w="540" w:type="dxa"/>
            <w:vAlign w:val="bottom"/>
          </w:tcPr>
          <w:p>
            <w:pPr>
              <w:jc w:val="center"/>
              <w:ind w:left="118"/>
              <w:spacing w:after="0" w:line="134" w:lineRule="exact"/>
              <w:rPr>
                <w:sz w:val="20"/>
                <w:szCs w:val="20"/>
                <w:color w:val="auto"/>
              </w:rPr>
            </w:pPr>
            <w:r>
              <w:rPr>
                <w:rFonts w:ascii="Arial" w:cs="Arial" w:eastAsia="Arial" w:hAnsi="Arial"/>
                <w:sz w:val="12"/>
                <w:szCs w:val="12"/>
                <w:color w:val="auto"/>
              </w:rPr>
              <w:t>-0.2%</w:t>
            </w:r>
          </w:p>
        </w:tc>
        <w:tc>
          <w:tcPr>
            <w:tcW w:w="1140" w:type="dxa"/>
            <w:vAlign w:val="bottom"/>
            <w:tcBorders>
              <w:right w:val="single" w:sz="8" w:color="auto"/>
            </w:tcBorders>
          </w:tcPr>
          <w:p>
            <w:pPr>
              <w:jc w:val="center"/>
              <w:ind w:left="118"/>
              <w:spacing w:after="0" w:line="134" w:lineRule="exact"/>
              <w:rPr>
                <w:sz w:val="20"/>
                <w:szCs w:val="20"/>
                <w:color w:val="auto"/>
              </w:rPr>
            </w:pPr>
            <w:r>
              <w:rPr>
                <w:rFonts w:ascii="Arial" w:cs="Arial" w:eastAsia="Arial" w:hAnsi="Arial"/>
                <w:sz w:val="12"/>
                <w:szCs w:val="12"/>
                <w:color w:val="auto"/>
              </w:rPr>
              <w:t>-2.4%</w:t>
            </w:r>
          </w:p>
        </w:tc>
        <w:tc>
          <w:tcPr>
            <w:tcW w:w="620" w:type="dxa"/>
            <w:vAlign w:val="bottom"/>
          </w:tcPr>
          <w:p>
            <w:pPr>
              <w:jc w:val="center"/>
              <w:ind w:left="118"/>
              <w:spacing w:after="0" w:line="134" w:lineRule="exact"/>
              <w:rPr>
                <w:sz w:val="20"/>
                <w:szCs w:val="20"/>
                <w:color w:val="auto"/>
              </w:rPr>
            </w:pPr>
            <w:r>
              <w:rPr>
                <w:rFonts w:ascii="Arial" w:cs="Arial" w:eastAsia="Arial" w:hAnsi="Arial"/>
                <w:sz w:val="12"/>
                <w:szCs w:val="12"/>
                <w:color w:val="auto"/>
              </w:rPr>
              <w:t>9.0%</w:t>
            </w:r>
          </w:p>
        </w:tc>
        <w:tc>
          <w:tcPr>
            <w:tcW w:w="1020" w:type="dxa"/>
            <w:vAlign w:val="bottom"/>
          </w:tcPr>
          <w:p>
            <w:pPr>
              <w:jc w:val="center"/>
              <w:ind w:left="158"/>
              <w:spacing w:after="0" w:line="134" w:lineRule="exact"/>
              <w:rPr>
                <w:sz w:val="20"/>
                <w:szCs w:val="20"/>
                <w:color w:val="auto"/>
              </w:rPr>
            </w:pPr>
            <w:r>
              <w:rPr>
                <w:rFonts w:ascii="Arial" w:cs="Arial" w:eastAsia="Arial" w:hAnsi="Arial"/>
                <w:sz w:val="12"/>
                <w:szCs w:val="12"/>
                <w:color w:val="auto"/>
              </w:rPr>
              <w:t>8.9%</w:t>
            </w:r>
          </w:p>
        </w:tc>
        <w:tc>
          <w:tcPr>
            <w:tcW w:w="8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155"/>
        </w:trPr>
        <w:tc>
          <w:tcPr>
            <w:tcW w:w="190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2"/>
                <w:szCs w:val="12"/>
                <w:color w:val="auto"/>
              </w:rPr>
              <w:t>Credit Card</w:t>
            </w:r>
          </w:p>
        </w:tc>
        <w:tc>
          <w:tcPr>
            <w:tcW w:w="840" w:type="dxa"/>
            <w:vAlign w:val="bottom"/>
          </w:tcPr>
          <w:p>
            <w:pPr>
              <w:jc w:val="center"/>
              <w:spacing w:after="0"/>
              <w:rPr>
                <w:sz w:val="20"/>
                <w:szCs w:val="20"/>
                <w:color w:val="auto"/>
              </w:rPr>
            </w:pPr>
            <w:r>
              <w:rPr>
                <w:rFonts w:ascii="Arial" w:cs="Arial" w:eastAsia="Arial" w:hAnsi="Arial"/>
                <w:sz w:val="12"/>
                <w:szCs w:val="12"/>
                <w:color w:val="auto"/>
                <w:w w:val="99"/>
              </w:rPr>
              <w:t>5,692</w:t>
            </w:r>
          </w:p>
        </w:tc>
        <w:tc>
          <w:tcPr>
            <w:tcW w:w="840" w:type="dxa"/>
            <w:vAlign w:val="bottom"/>
          </w:tcPr>
          <w:p>
            <w:pPr>
              <w:jc w:val="center"/>
              <w:spacing w:after="0"/>
              <w:rPr>
                <w:sz w:val="20"/>
                <w:szCs w:val="20"/>
                <w:color w:val="auto"/>
              </w:rPr>
            </w:pPr>
            <w:r>
              <w:rPr>
                <w:rFonts w:ascii="Arial" w:cs="Arial" w:eastAsia="Arial" w:hAnsi="Arial"/>
                <w:sz w:val="12"/>
                <w:szCs w:val="12"/>
                <w:color w:val="auto"/>
                <w:w w:val="99"/>
              </w:rPr>
              <w:t>6,002</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5,978</w:t>
            </w:r>
          </w:p>
        </w:tc>
        <w:tc>
          <w:tcPr>
            <w:tcW w:w="820" w:type="dxa"/>
            <w:vAlign w:val="bottom"/>
          </w:tcPr>
          <w:p>
            <w:pPr>
              <w:jc w:val="center"/>
              <w:spacing w:after="0"/>
              <w:rPr>
                <w:sz w:val="20"/>
                <w:szCs w:val="20"/>
                <w:color w:val="auto"/>
              </w:rPr>
            </w:pPr>
            <w:r>
              <w:rPr>
                <w:rFonts w:ascii="Arial" w:cs="Arial" w:eastAsia="Arial" w:hAnsi="Arial"/>
                <w:sz w:val="12"/>
                <w:szCs w:val="12"/>
                <w:color w:val="auto"/>
              </w:rPr>
              <w:t>-24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285</w:t>
            </w:r>
          </w:p>
        </w:tc>
        <w:tc>
          <w:tcPr>
            <w:tcW w:w="540" w:type="dxa"/>
            <w:vAlign w:val="bottom"/>
          </w:tcPr>
          <w:p>
            <w:pPr>
              <w:jc w:val="center"/>
              <w:ind w:left="118"/>
              <w:spacing w:after="0"/>
              <w:rPr>
                <w:sz w:val="20"/>
                <w:szCs w:val="20"/>
                <w:color w:val="auto"/>
              </w:rPr>
            </w:pPr>
            <w:r>
              <w:rPr>
                <w:rFonts w:ascii="Arial" w:cs="Arial" w:eastAsia="Arial" w:hAnsi="Arial"/>
                <w:sz w:val="12"/>
                <w:szCs w:val="12"/>
                <w:color w:val="auto"/>
              </w:rPr>
              <w:t>-0.4%</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12"/>
                <w:szCs w:val="12"/>
                <w:color w:val="auto"/>
              </w:rPr>
              <w:t>5.0%</w:t>
            </w:r>
          </w:p>
        </w:tc>
        <w:tc>
          <w:tcPr>
            <w:tcW w:w="620" w:type="dxa"/>
            <w:vAlign w:val="bottom"/>
          </w:tcPr>
          <w:p>
            <w:pPr>
              <w:jc w:val="center"/>
              <w:ind w:left="118"/>
              <w:spacing w:after="0"/>
              <w:rPr>
                <w:sz w:val="20"/>
                <w:szCs w:val="20"/>
                <w:color w:val="auto"/>
              </w:rPr>
            </w:pPr>
            <w:r>
              <w:rPr>
                <w:rFonts w:ascii="Arial" w:cs="Arial" w:eastAsia="Arial" w:hAnsi="Arial"/>
                <w:sz w:val="12"/>
                <w:szCs w:val="12"/>
                <w:color w:val="auto"/>
              </w:rPr>
              <w:t>4.0%</w:t>
            </w:r>
          </w:p>
        </w:tc>
        <w:tc>
          <w:tcPr>
            <w:tcW w:w="1020" w:type="dxa"/>
            <w:vAlign w:val="bottom"/>
          </w:tcPr>
          <w:p>
            <w:pPr>
              <w:jc w:val="center"/>
              <w:ind w:left="158"/>
              <w:spacing w:after="0"/>
              <w:rPr>
                <w:sz w:val="20"/>
                <w:szCs w:val="20"/>
                <w:color w:val="auto"/>
              </w:rPr>
            </w:pPr>
            <w:r>
              <w:rPr>
                <w:rFonts w:ascii="Arial" w:cs="Arial" w:eastAsia="Arial" w:hAnsi="Arial"/>
                <w:sz w:val="12"/>
                <w:szCs w:val="12"/>
                <w:color w:val="auto"/>
              </w:rPr>
              <w:t>4.3%</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44"/>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2"/>
                <w:szCs w:val="12"/>
                <w:b w:val="1"/>
                <w:bCs w:val="1"/>
                <w:color w:val="auto"/>
              </w:rPr>
              <w:t>Mibanco</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rPr>
              <w:t>14,232</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rPr>
              <w:t>13,244</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12,815</w:t>
            </w:r>
          </w:p>
        </w:tc>
        <w:tc>
          <w:tcPr>
            <w:tcW w:w="820" w:type="dxa"/>
            <w:vAlign w:val="bottom"/>
            <w:shd w:val="clear" w:color="auto" w:fill="E93CAC"/>
          </w:tcPr>
          <w:p>
            <w:pPr>
              <w:jc w:val="center"/>
              <w:spacing w:after="0"/>
              <w:rPr>
                <w:sz w:val="20"/>
                <w:szCs w:val="20"/>
                <w:color w:val="auto"/>
              </w:rPr>
            </w:pPr>
            <w:r>
              <w:rPr>
                <w:rFonts w:ascii="Arial" w:cs="Arial" w:eastAsia="Arial" w:hAnsi="Arial"/>
                <w:sz w:val="12"/>
                <w:szCs w:val="12"/>
                <w:b w:val="1"/>
                <w:bCs w:val="1"/>
                <w:color w:val="auto"/>
                <w:w w:val="99"/>
              </w:rPr>
              <w:t>-429</w:t>
            </w:r>
          </w:p>
        </w:tc>
        <w:tc>
          <w:tcPr>
            <w:tcW w:w="960" w:type="dxa"/>
            <w:vAlign w:val="bottom"/>
            <w:tcBorders>
              <w:right w:val="single" w:sz="8" w:color="auto"/>
            </w:tcBorders>
            <w:shd w:val="clear" w:color="auto" w:fill="E93CAC"/>
          </w:tcPr>
          <w:p>
            <w:pPr>
              <w:jc w:val="center"/>
              <w:spacing w:after="0"/>
              <w:rPr>
                <w:sz w:val="20"/>
                <w:szCs w:val="20"/>
                <w:color w:val="auto"/>
              </w:rPr>
            </w:pPr>
            <w:r>
              <w:rPr>
                <w:rFonts w:ascii="Arial" w:cs="Arial" w:eastAsia="Arial" w:hAnsi="Arial"/>
                <w:sz w:val="12"/>
                <w:szCs w:val="12"/>
                <w:b w:val="1"/>
                <w:bCs w:val="1"/>
                <w:color w:val="auto"/>
                <w:w w:val="99"/>
              </w:rPr>
              <w:t>-1,417</w:t>
            </w:r>
          </w:p>
        </w:tc>
        <w:tc>
          <w:tcPr>
            <w:tcW w:w="540" w:type="dxa"/>
            <w:vAlign w:val="bottom"/>
          </w:tcPr>
          <w:p>
            <w:pPr>
              <w:jc w:val="center"/>
              <w:ind w:left="118"/>
              <w:spacing w:after="0"/>
              <w:rPr>
                <w:sz w:val="20"/>
                <w:szCs w:val="20"/>
                <w:color w:val="auto"/>
              </w:rPr>
            </w:pPr>
            <w:r>
              <w:rPr>
                <w:rFonts w:ascii="Arial" w:cs="Arial" w:eastAsia="Arial" w:hAnsi="Arial"/>
                <w:sz w:val="12"/>
                <w:szCs w:val="12"/>
                <w:b w:val="1"/>
                <w:bCs w:val="1"/>
                <w:color w:val="auto"/>
              </w:rPr>
              <w:t>-3.2%</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12"/>
                <w:szCs w:val="12"/>
                <w:b w:val="1"/>
                <w:bCs w:val="1"/>
                <w:color w:val="auto"/>
              </w:rPr>
              <w:t>-10.0%</w:t>
            </w:r>
          </w:p>
        </w:tc>
        <w:tc>
          <w:tcPr>
            <w:tcW w:w="620" w:type="dxa"/>
            <w:vAlign w:val="bottom"/>
          </w:tcPr>
          <w:p>
            <w:pPr>
              <w:jc w:val="center"/>
              <w:ind w:left="118"/>
              <w:spacing w:after="0"/>
              <w:rPr>
                <w:sz w:val="20"/>
                <w:szCs w:val="20"/>
                <w:color w:val="auto"/>
              </w:rPr>
            </w:pPr>
            <w:r>
              <w:rPr>
                <w:rFonts w:ascii="Arial" w:cs="Arial" w:eastAsia="Arial" w:hAnsi="Arial"/>
                <w:sz w:val="12"/>
                <w:szCs w:val="12"/>
                <w:b w:val="1"/>
                <w:bCs w:val="1"/>
                <w:color w:val="auto"/>
              </w:rPr>
              <w:t>10.0%</w:t>
            </w:r>
          </w:p>
        </w:tc>
        <w:tc>
          <w:tcPr>
            <w:tcW w:w="1020" w:type="dxa"/>
            <w:vAlign w:val="bottom"/>
          </w:tcPr>
          <w:p>
            <w:pPr>
              <w:jc w:val="center"/>
              <w:ind w:left="158"/>
              <w:spacing w:after="0"/>
              <w:rPr>
                <w:sz w:val="20"/>
                <w:szCs w:val="20"/>
                <w:color w:val="auto"/>
              </w:rPr>
            </w:pPr>
            <w:r>
              <w:rPr>
                <w:rFonts w:ascii="Arial" w:cs="Arial" w:eastAsia="Arial" w:hAnsi="Arial"/>
                <w:sz w:val="12"/>
                <w:szCs w:val="12"/>
                <w:b w:val="1"/>
                <w:bCs w:val="1"/>
                <w:color w:val="auto"/>
              </w:rPr>
              <w:t>9.4%</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9.0%</w:t>
            </w:r>
          </w:p>
        </w:tc>
        <w:tc>
          <w:tcPr>
            <w:tcW w:w="0" w:type="dxa"/>
            <w:vAlign w:val="bottom"/>
          </w:tcPr>
          <w:p>
            <w:pPr>
              <w:spacing w:after="0"/>
              <w:rPr>
                <w:sz w:val="1"/>
                <w:szCs w:val="1"/>
                <w:color w:val="auto"/>
              </w:rPr>
            </w:pPr>
          </w:p>
        </w:tc>
      </w:tr>
      <w:tr>
        <w:trPr>
          <w:trHeight w:val="144"/>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2"/>
                <w:szCs w:val="12"/>
                <w:b w:val="1"/>
                <w:bCs w:val="1"/>
                <w:color w:val="auto"/>
              </w:rPr>
              <w:t>Mibanco Colombia</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9"/>
              </w:rPr>
              <w:t>1,340</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9"/>
              </w:rPr>
              <w:t>1,730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1,738</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398</w:t>
            </w:r>
          </w:p>
        </w:tc>
        <w:tc>
          <w:tcPr>
            <w:tcW w:w="540" w:type="dxa"/>
            <w:vAlign w:val="bottom"/>
          </w:tcPr>
          <w:p>
            <w:pPr>
              <w:jc w:val="center"/>
              <w:ind w:left="118"/>
              <w:spacing w:after="0"/>
              <w:rPr>
                <w:sz w:val="20"/>
                <w:szCs w:val="20"/>
                <w:color w:val="auto"/>
              </w:rPr>
            </w:pPr>
            <w:r>
              <w:rPr>
                <w:rFonts w:ascii="Arial" w:cs="Arial" w:eastAsia="Arial" w:hAnsi="Arial"/>
                <w:sz w:val="12"/>
                <w:szCs w:val="12"/>
                <w:b w:val="1"/>
                <w:bCs w:val="1"/>
                <w:color w:val="auto"/>
              </w:rPr>
              <w:t>0.5%</w:t>
            </w:r>
          </w:p>
        </w:tc>
        <w:tc>
          <w:tcPr>
            <w:tcW w:w="1140" w:type="dxa"/>
            <w:vAlign w:val="bottom"/>
            <w:tcBorders>
              <w:right w:val="single" w:sz="8" w:color="auto"/>
            </w:tcBorders>
          </w:tcPr>
          <w:p>
            <w:pPr>
              <w:jc w:val="center"/>
              <w:ind w:left="98"/>
              <w:spacing w:after="0"/>
              <w:rPr>
                <w:sz w:val="20"/>
                <w:szCs w:val="20"/>
                <w:color w:val="auto"/>
              </w:rPr>
            </w:pPr>
            <w:r>
              <w:rPr>
                <w:rFonts w:ascii="Arial" w:cs="Arial" w:eastAsia="Arial" w:hAnsi="Arial"/>
                <w:sz w:val="12"/>
                <w:szCs w:val="12"/>
                <w:b w:val="1"/>
                <w:bCs w:val="1"/>
                <w:color w:val="auto"/>
                <w:w w:val="99"/>
              </w:rPr>
              <w:t>29.7%</w:t>
            </w:r>
          </w:p>
        </w:tc>
        <w:tc>
          <w:tcPr>
            <w:tcW w:w="620" w:type="dxa"/>
            <w:vAlign w:val="bottom"/>
          </w:tcPr>
          <w:p>
            <w:pPr>
              <w:jc w:val="center"/>
              <w:ind w:left="118"/>
              <w:spacing w:after="0"/>
              <w:rPr>
                <w:sz w:val="20"/>
                <w:szCs w:val="20"/>
                <w:color w:val="auto"/>
              </w:rPr>
            </w:pPr>
            <w:r>
              <w:rPr>
                <w:rFonts w:ascii="Arial" w:cs="Arial" w:eastAsia="Arial" w:hAnsi="Arial"/>
                <w:sz w:val="12"/>
                <w:szCs w:val="12"/>
                <w:b w:val="1"/>
                <w:bCs w:val="1"/>
                <w:color w:val="auto"/>
              </w:rPr>
              <w:t>0.9%</w:t>
            </w:r>
          </w:p>
        </w:tc>
        <w:tc>
          <w:tcPr>
            <w:tcW w:w="1020" w:type="dxa"/>
            <w:vAlign w:val="bottom"/>
          </w:tcPr>
          <w:p>
            <w:pPr>
              <w:jc w:val="center"/>
              <w:ind w:left="158"/>
              <w:spacing w:after="0"/>
              <w:rPr>
                <w:sz w:val="20"/>
                <w:szCs w:val="20"/>
                <w:color w:val="auto"/>
              </w:rPr>
            </w:pPr>
            <w:r>
              <w:rPr>
                <w:rFonts w:ascii="Arial" w:cs="Arial" w:eastAsia="Arial" w:hAnsi="Arial"/>
                <w:sz w:val="12"/>
                <w:szCs w:val="12"/>
                <w:b w:val="1"/>
                <w:bCs w:val="1"/>
                <w:color w:val="auto"/>
              </w:rPr>
              <w:t>1.2%</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1.2%</w:t>
            </w:r>
          </w:p>
        </w:tc>
        <w:tc>
          <w:tcPr>
            <w:tcW w:w="0" w:type="dxa"/>
            <w:vAlign w:val="bottom"/>
          </w:tcPr>
          <w:p>
            <w:pPr>
              <w:spacing w:after="0"/>
              <w:rPr>
                <w:sz w:val="1"/>
                <w:szCs w:val="1"/>
                <w:color w:val="auto"/>
              </w:rPr>
            </w:pPr>
          </w:p>
        </w:tc>
      </w:tr>
      <w:tr>
        <w:trPr>
          <w:trHeight w:val="144"/>
        </w:trPr>
        <w:tc>
          <w:tcPr>
            <w:tcW w:w="19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2"/>
                <w:szCs w:val="12"/>
                <w:b w:val="1"/>
                <w:bCs w:val="1"/>
                <w:color w:val="auto"/>
              </w:rPr>
              <w:t>Bolivia</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9"/>
              </w:rPr>
              <w:t>8,834</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9"/>
              </w:rPr>
              <w:t>9,362</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9,645</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9"/>
              </w:rPr>
              <w:t>284</w:t>
            </w:r>
          </w:p>
        </w:tc>
        <w:tc>
          <w:tcPr>
            <w:tcW w:w="960" w:type="dxa"/>
            <w:vAlign w:val="bottom"/>
            <w:tcBorders>
              <w:right w:val="single" w:sz="8" w:color="auto"/>
            </w:tcBorders>
            <w:shd w:val="clear" w:color="auto" w:fill="00D373"/>
          </w:tcPr>
          <w:p>
            <w:pPr>
              <w:jc w:val="center"/>
              <w:spacing w:after="0"/>
              <w:rPr>
                <w:sz w:val="20"/>
                <w:szCs w:val="20"/>
                <w:color w:val="auto"/>
              </w:rPr>
            </w:pPr>
            <w:r>
              <w:rPr>
                <w:rFonts w:ascii="Arial" w:cs="Arial" w:eastAsia="Arial" w:hAnsi="Arial"/>
                <w:sz w:val="12"/>
                <w:szCs w:val="12"/>
                <w:b w:val="1"/>
                <w:bCs w:val="1"/>
                <w:color w:val="auto"/>
                <w:w w:val="99"/>
              </w:rPr>
              <w:t>811</w:t>
            </w:r>
          </w:p>
        </w:tc>
        <w:tc>
          <w:tcPr>
            <w:tcW w:w="540" w:type="dxa"/>
            <w:vAlign w:val="bottom"/>
          </w:tcPr>
          <w:p>
            <w:pPr>
              <w:jc w:val="center"/>
              <w:ind w:left="118"/>
              <w:spacing w:after="0"/>
              <w:rPr>
                <w:sz w:val="20"/>
                <w:szCs w:val="20"/>
                <w:color w:val="auto"/>
              </w:rPr>
            </w:pPr>
            <w:r>
              <w:rPr>
                <w:rFonts w:ascii="Arial" w:cs="Arial" w:eastAsia="Arial" w:hAnsi="Arial"/>
                <w:sz w:val="12"/>
                <w:szCs w:val="12"/>
                <w:b w:val="1"/>
                <w:bCs w:val="1"/>
                <w:color w:val="auto"/>
              </w:rPr>
              <w:t>3.0%</w:t>
            </w:r>
          </w:p>
        </w:tc>
        <w:tc>
          <w:tcPr>
            <w:tcW w:w="1140" w:type="dxa"/>
            <w:vAlign w:val="bottom"/>
            <w:tcBorders>
              <w:right w:val="single" w:sz="8" w:color="auto"/>
            </w:tcBorders>
          </w:tcPr>
          <w:p>
            <w:pPr>
              <w:jc w:val="center"/>
              <w:ind w:left="118"/>
              <w:spacing w:after="0"/>
              <w:rPr>
                <w:sz w:val="20"/>
                <w:szCs w:val="20"/>
                <w:color w:val="auto"/>
              </w:rPr>
            </w:pPr>
            <w:r>
              <w:rPr>
                <w:rFonts w:ascii="Arial" w:cs="Arial" w:eastAsia="Arial" w:hAnsi="Arial"/>
                <w:sz w:val="12"/>
                <w:szCs w:val="12"/>
                <w:b w:val="1"/>
                <w:bCs w:val="1"/>
                <w:color w:val="auto"/>
              </w:rPr>
              <w:t>9.2%</w:t>
            </w:r>
          </w:p>
        </w:tc>
        <w:tc>
          <w:tcPr>
            <w:tcW w:w="620" w:type="dxa"/>
            <w:vAlign w:val="bottom"/>
          </w:tcPr>
          <w:p>
            <w:pPr>
              <w:jc w:val="center"/>
              <w:ind w:left="118"/>
              <w:spacing w:after="0"/>
              <w:rPr>
                <w:sz w:val="20"/>
                <w:szCs w:val="20"/>
                <w:color w:val="auto"/>
              </w:rPr>
            </w:pPr>
            <w:r>
              <w:rPr>
                <w:rFonts w:ascii="Arial" w:cs="Arial" w:eastAsia="Arial" w:hAnsi="Arial"/>
                <w:sz w:val="12"/>
                <w:szCs w:val="12"/>
                <w:b w:val="1"/>
                <w:bCs w:val="1"/>
                <w:color w:val="auto"/>
              </w:rPr>
              <w:t>6.2%</w:t>
            </w:r>
          </w:p>
        </w:tc>
        <w:tc>
          <w:tcPr>
            <w:tcW w:w="1020" w:type="dxa"/>
            <w:vAlign w:val="bottom"/>
          </w:tcPr>
          <w:p>
            <w:pPr>
              <w:jc w:val="center"/>
              <w:ind w:left="158"/>
              <w:spacing w:after="0"/>
              <w:rPr>
                <w:sz w:val="20"/>
                <w:szCs w:val="20"/>
                <w:color w:val="auto"/>
              </w:rPr>
            </w:pPr>
            <w:r>
              <w:rPr>
                <w:rFonts w:ascii="Arial" w:cs="Arial" w:eastAsia="Arial" w:hAnsi="Arial"/>
                <w:sz w:val="12"/>
                <w:szCs w:val="12"/>
                <w:b w:val="1"/>
                <w:bCs w:val="1"/>
                <w:color w:val="auto"/>
              </w:rPr>
              <w:t>6.7%</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6.8%</w:t>
            </w:r>
          </w:p>
        </w:tc>
        <w:tc>
          <w:tcPr>
            <w:tcW w:w="0" w:type="dxa"/>
            <w:vAlign w:val="bottom"/>
          </w:tcPr>
          <w:p>
            <w:pPr>
              <w:spacing w:after="0"/>
              <w:rPr>
                <w:sz w:val="1"/>
                <w:szCs w:val="1"/>
                <w:color w:val="auto"/>
              </w:rPr>
            </w:pPr>
          </w:p>
        </w:tc>
      </w:tr>
      <w:tr>
        <w:trPr>
          <w:trHeight w:val="144"/>
        </w:trPr>
        <w:tc>
          <w:tcPr>
            <w:tcW w:w="19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2"/>
                <w:szCs w:val="12"/>
                <w:b w:val="1"/>
                <w:bCs w:val="1"/>
                <w:color w:val="auto"/>
              </w:rPr>
              <w:t>ASB Bank Corp.</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1,831</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1,711</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1,605</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-106</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-226</w:t>
            </w:r>
          </w:p>
        </w:tc>
        <w:tc>
          <w:tcPr>
            <w:tcW w:w="540" w:type="dxa"/>
            <w:vAlign w:val="bottom"/>
            <w:tcBorders>
              <w:bottom w:val="single" w:sz="8" w:color="auto"/>
            </w:tcBorders>
          </w:tcPr>
          <w:p>
            <w:pPr>
              <w:jc w:val="center"/>
              <w:ind w:left="118"/>
              <w:spacing w:after="0"/>
              <w:rPr>
                <w:sz w:val="20"/>
                <w:szCs w:val="20"/>
                <w:color w:val="auto"/>
              </w:rPr>
            </w:pPr>
            <w:r>
              <w:rPr>
                <w:rFonts w:ascii="Arial" w:cs="Arial" w:eastAsia="Arial" w:hAnsi="Arial"/>
                <w:sz w:val="12"/>
                <w:szCs w:val="12"/>
                <w:b w:val="1"/>
                <w:bCs w:val="1"/>
                <w:color w:val="auto"/>
              </w:rPr>
              <w:t>-6.2%</w:t>
            </w:r>
          </w:p>
        </w:tc>
        <w:tc>
          <w:tcPr>
            <w:tcW w:w="1140" w:type="dxa"/>
            <w:vAlign w:val="bottom"/>
            <w:tcBorders>
              <w:bottom w:val="single" w:sz="8" w:color="auto"/>
              <w:right w:val="single" w:sz="8" w:color="auto"/>
            </w:tcBorders>
          </w:tcPr>
          <w:p>
            <w:pPr>
              <w:jc w:val="center"/>
              <w:ind w:left="118"/>
              <w:spacing w:after="0"/>
              <w:rPr>
                <w:sz w:val="20"/>
                <w:szCs w:val="20"/>
                <w:color w:val="auto"/>
              </w:rPr>
            </w:pPr>
            <w:r>
              <w:rPr>
                <w:rFonts w:ascii="Arial" w:cs="Arial" w:eastAsia="Arial" w:hAnsi="Arial"/>
                <w:sz w:val="12"/>
                <w:szCs w:val="12"/>
                <w:b w:val="1"/>
                <w:bCs w:val="1"/>
                <w:color w:val="auto"/>
              </w:rPr>
              <w:t>-12.4%</w:t>
            </w:r>
          </w:p>
        </w:tc>
        <w:tc>
          <w:tcPr>
            <w:tcW w:w="620" w:type="dxa"/>
            <w:vAlign w:val="bottom"/>
            <w:tcBorders>
              <w:bottom w:val="single" w:sz="8" w:color="auto"/>
            </w:tcBorders>
          </w:tcPr>
          <w:p>
            <w:pPr>
              <w:jc w:val="center"/>
              <w:ind w:left="118"/>
              <w:spacing w:after="0"/>
              <w:rPr>
                <w:sz w:val="20"/>
                <w:szCs w:val="20"/>
                <w:color w:val="auto"/>
              </w:rPr>
            </w:pPr>
            <w:r>
              <w:rPr>
                <w:rFonts w:ascii="Arial" w:cs="Arial" w:eastAsia="Arial" w:hAnsi="Arial"/>
                <w:sz w:val="12"/>
                <w:szCs w:val="12"/>
                <w:b w:val="1"/>
                <w:bCs w:val="1"/>
                <w:color w:val="auto"/>
              </w:rPr>
              <w:t>1.3%</w:t>
            </w:r>
          </w:p>
        </w:tc>
        <w:tc>
          <w:tcPr>
            <w:tcW w:w="1020" w:type="dxa"/>
            <w:vAlign w:val="bottom"/>
            <w:tcBorders>
              <w:bottom w:val="single" w:sz="8" w:color="auto"/>
            </w:tcBorders>
          </w:tcPr>
          <w:p>
            <w:pPr>
              <w:jc w:val="center"/>
              <w:ind w:left="158"/>
              <w:spacing w:after="0"/>
              <w:rPr>
                <w:sz w:val="20"/>
                <w:szCs w:val="20"/>
                <w:color w:val="auto"/>
              </w:rPr>
            </w:pPr>
            <w:r>
              <w:rPr>
                <w:rFonts w:ascii="Arial" w:cs="Arial" w:eastAsia="Arial" w:hAnsi="Arial"/>
                <w:sz w:val="12"/>
                <w:szCs w:val="12"/>
                <w:b w:val="1"/>
                <w:bCs w:val="1"/>
                <w:color w:val="auto"/>
              </w:rPr>
              <w:t>1.2%</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1.1%</w:t>
            </w:r>
          </w:p>
        </w:tc>
        <w:tc>
          <w:tcPr>
            <w:tcW w:w="0" w:type="dxa"/>
            <w:vAlign w:val="bottom"/>
          </w:tcPr>
          <w:p>
            <w:pPr>
              <w:spacing w:after="0"/>
              <w:rPr>
                <w:sz w:val="1"/>
                <w:szCs w:val="1"/>
                <w:color w:val="auto"/>
              </w:rPr>
            </w:pPr>
          </w:p>
        </w:tc>
      </w:tr>
      <w:tr>
        <w:trPr>
          <w:trHeight w:val="134"/>
        </w:trPr>
        <w:tc>
          <w:tcPr>
            <w:tcW w:w="1900" w:type="dxa"/>
            <w:vAlign w:val="bottom"/>
            <w:tcBorders>
              <w:left w:val="single" w:sz="8" w:color="auto"/>
              <w:bottom w:val="single" w:sz="8" w:color="auto"/>
              <w:right w:val="single" w:sz="8" w:color="auto"/>
            </w:tcBorders>
          </w:tcPr>
          <w:p>
            <w:pPr>
              <w:ind w:left="80"/>
              <w:spacing w:after="0" w:line="134" w:lineRule="exact"/>
              <w:rPr>
                <w:sz w:val="20"/>
                <w:szCs w:val="20"/>
                <w:color w:val="auto"/>
              </w:rPr>
            </w:pPr>
            <w:r>
              <w:rPr>
                <w:rFonts w:ascii="Arial" w:cs="Arial" w:eastAsia="Arial" w:hAnsi="Arial"/>
                <w:sz w:val="12"/>
                <w:szCs w:val="12"/>
                <w:b w:val="1"/>
                <w:bCs w:val="1"/>
                <w:color w:val="auto"/>
              </w:rPr>
              <w:t>BAP’s total loans</w:t>
            </w:r>
          </w:p>
        </w:tc>
        <w:tc>
          <w:tcPr>
            <w:tcW w:w="84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2"/>
                <w:szCs w:val="12"/>
                <w:b w:val="1"/>
                <w:bCs w:val="1"/>
                <w:color w:val="auto"/>
              </w:rPr>
              <w:t>142,011</w:t>
            </w:r>
          </w:p>
        </w:tc>
        <w:tc>
          <w:tcPr>
            <w:tcW w:w="84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2"/>
                <w:szCs w:val="12"/>
                <w:b w:val="1"/>
                <w:bCs w:val="1"/>
                <w:color w:val="auto"/>
              </w:rPr>
              <w:t>140,429</w:t>
            </w:r>
          </w:p>
        </w:tc>
        <w:tc>
          <w:tcPr>
            <w:tcW w:w="860" w:type="dxa"/>
            <w:vAlign w:val="bottom"/>
            <w:tcBorders>
              <w:bottom w:val="single" w:sz="8" w:color="auto"/>
              <w:right w:val="single" w:sz="8" w:color="auto"/>
            </w:tcBorders>
          </w:tcPr>
          <w:p>
            <w:pPr>
              <w:jc w:val="center"/>
              <w:spacing w:after="0" w:line="134" w:lineRule="exact"/>
              <w:rPr>
                <w:sz w:val="20"/>
                <w:szCs w:val="20"/>
                <w:color w:val="auto"/>
              </w:rPr>
            </w:pPr>
            <w:r>
              <w:rPr>
                <w:rFonts w:ascii="Arial" w:cs="Arial" w:eastAsia="Arial" w:hAnsi="Arial"/>
                <w:sz w:val="12"/>
                <w:szCs w:val="12"/>
                <w:b w:val="1"/>
                <w:bCs w:val="1"/>
                <w:color w:val="auto"/>
              </w:rPr>
              <w:t>142,253</w:t>
            </w:r>
          </w:p>
        </w:tc>
        <w:tc>
          <w:tcPr>
            <w:tcW w:w="82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2"/>
                <w:szCs w:val="12"/>
                <w:b w:val="1"/>
                <w:bCs w:val="1"/>
                <w:color w:val="auto"/>
              </w:rPr>
              <w:t>1,824</w:t>
            </w:r>
          </w:p>
        </w:tc>
        <w:tc>
          <w:tcPr>
            <w:tcW w:w="960" w:type="dxa"/>
            <w:vAlign w:val="bottom"/>
            <w:tcBorders>
              <w:bottom w:val="single" w:sz="8" w:color="auto"/>
              <w:right w:val="single" w:sz="8" w:color="auto"/>
            </w:tcBorders>
          </w:tcPr>
          <w:p>
            <w:pPr>
              <w:jc w:val="center"/>
              <w:spacing w:after="0" w:line="134" w:lineRule="exact"/>
              <w:rPr>
                <w:sz w:val="20"/>
                <w:szCs w:val="20"/>
                <w:color w:val="auto"/>
              </w:rPr>
            </w:pPr>
            <w:r>
              <w:rPr>
                <w:rFonts w:ascii="Arial" w:cs="Arial" w:eastAsia="Arial" w:hAnsi="Arial"/>
                <w:sz w:val="12"/>
                <w:szCs w:val="12"/>
                <w:b w:val="1"/>
                <w:bCs w:val="1"/>
                <w:color w:val="auto"/>
                <w:w w:val="99"/>
              </w:rPr>
              <w:t>242</w:t>
            </w:r>
          </w:p>
        </w:tc>
        <w:tc>
          <w:tcPr>
            <w:tcW w:w="540" w:type="dxa"/>
            <w:vAlign w:val="bottom"/>
            <w:tcBorders>
              <w:bottom w:val="single" w:sz="8" w:color="auto"/>
            </w:tcBorders>
          </w:tcPr>
          <w:p>
            <w:pPr>
              <w:jc w:val="center"/>
              <w:ind w:left="118"/>
              <w:spacing w:after="0" w:line="134" w:lineRule="exact"/>
              <w:rPr>
                <w:sz w:val="20"/>
                <w:szCs w:val="20"/>
                <w:color w:val="auto"/>
              </w:rPr>
            </w:pPr>
            <w:r>
              <w:rPr>
                <w:rFonts w:ascii="Arial" w:cs="Arial" w:eastAsia="Arial" w:hAnsi="Arial"/>
                <w:sz w:val="12"/>
                <w:szCs w:val="12"/>
                <w:b w:val="1"/>
                <w:bCs w:val="1"/>
                <w:color w:val="auto"/>
              </w:rPr>
              <w:t>1.3%</w:t>
            </w:r>
          </w:p>
        </w:tc>
        <w:tc>
          <w:tcPr>
            <w:tcW w:w="1140" w:type="dxa"/>
            <w:vAlign w:val="bottom"/>
            <w:tcBorders>
              <w:bottom w:val="single" w:sz="8" w:color="auto"/>
              <w:right w:val="single" w:sz="8" w:color="auto"/>
            </w:tcBorders>
          </w:tcPr>
          <w:p>
            <w:pPr>
              <w:jc w:val="center"/>
              <w:ind w:left="118"/>
              <w:spacing w:after="0" w:line="134" w:lineRule="exact"/>
              <w:rPr>
                <w:sz w:val="20"/>
                <w:szCs w:val="20"/>
                <w:color w:val="auto"/>
              </w:rPr>
            </w:pPr>
            <w:r>
              <w:rPr>
                <w:rFonts w:ascii="Arial" w:cs="Arial" w:eastAsia="Arial" w:hAnsi="Arial"/>
                <w:sz w:val="12"/>
                <w:szCs w:val="12"/>
                <w:b w:val="1"/>
                <w:bCs w:val="1"/>
                <w:color w:val="auto"/>
              </w:rPr>
              <w:t>0.2%</w:t>
            </w:r>
          </w:p>
        </w:tc>
        <w:tc>
          <w:tcPr>
            <w:tcW w:w="620" w:type="dxa"/>
            <w:vAlign w:val="bottom"/>
            <w:tcBorders>
              <w:bottom w:val="single" w:sz="8" w:color="auto"/>
            </w:tcBorders>
          </w:tcPr>
          <w:p>
            <w:pPr>
              <w:jc w:val="center"/>
              <w:ind w:left="138"/>
              <w:spacing w:after="0" w:line="134" w:lineRule="exact"/>
              <w:rPr>
                <w:sz w:val="20"/>
                <w:szCs w:val="20"/>
                <w:color w:val="auto"/>
              </w:rPr>
            </w:pPr>
            <w:r>
              <w:rPr>
                <w:rFonts w:ascii="Arial" w:cs="Arial" w:eastAsia="Arial" w:hAnsi="Arial"/>
                <w:sz w:val="12"/>
                <w:szCs w:val="12"/>
                <w:b w:val="1"/>
                <w:bCs w:val="1"/>
                <w:color w:val="auto"/>
              </w:rPr>
              <w:t>100.0%</w:t>
            </w:r>
          </w:p>
        </w:tc>
        <w:tc>
          <w:tcPr>
            <w:tcW w:w="1020" w:type="dxa"/>
            <w:vAlign w:val="bottom"/>
            <w:tcBorders>
              <w:bottom w:val="single" w:sz="8" w:color="auto"/>
            </w:tcBorders>
          </w:tcPr>
          <w:p>
            <w:pPr>
              <w:jc w:val="center"/>
              <w:ind w:left="138"/>
              <w:spacing w:after="0" w:line="134" w:lineRule="exact"/>
              <w:rPr>
                <w:sz w:val="20"/>
                <w:szCs w:val="20"/>
                <w:color w:val="auto"/>
              </w:rPr>
            </w:pPr>
            <w:r>
              <w:rPr>
                <w:rFonts w:ascii="Arial" w:cs="Arial" w:eastAsia="Arial" w:hAnsi="Arial"/>
                <w:sz w:val="12"/>
                <w:szCs w:val="12"/>
                <w:b w:val="1"/>
                <w:bCs w:val="1"/>
                <w:color w:val="auto"/>
              </w:rPr>
              <w:t>100.0%</w:t>
            </w:r>
          </w:p>
        </w:tc>
        <w:tc>
          <w:tcPr>
            <w:tcW w:w="860" w:type="dxa"/>
            <w:vAlign w:val="bottom"/>
            <w:tcBorders>
              <w:bottom w:val="single" w:sz="8" w:color="auto"/>
              <w:right w:val="single" w:sz="8" w:color="auto"/>
            </w:tcBorders>
          </w:tcPr>
          <w:p>
            <w:pPr>
              <w:jc w:val="center"/>
              <w:spacing w:after="0" w:line="134" w:lineRule="exact"/>
              <w:rPr>
                <w:sz w:val="20"/>
                <w:szCs w:val="20"/>
                <w:color w:val="auto"/>
              </w:rPr>
            </w:pPr>
            <w:r>
              <w:rPr>
                <w:rFonts w:ascii="Arial" w:cs="Arial" w:eastAsia="Arial" w:hAnsi="Arial"/>
                <w:sz w:val="12"/>
                <w:szCs w:val="12"/>
                <w:b w:val="1"/>
                <w:bCs w:val="1"/>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-1403350</wp:posOffset>
            </wp:positionV>
            <wp:extent cx="2159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6350"/>
                    </a:xfrm>
                    <a:prstGeom prst="rect">
                      <a:avLst/>
                    </a:prstGeom>
                    <a:noFill/>
                  </pic:spPr>
                </pic:pic>
              </a:graphicData>
            </a:graphic>
          </wp:anchor>
        </w:drawing>
      </w:r>
    </w:p>
    <w:p>
      <w:pPr>
        <w:ind w:left="6"/>
        <w:spacing w:after="0"/>
        <w:rPr>
          <w:sz w:val="20"/>
          <w:szCs w:val="20"/>
          <w:color w:val="auto"/>
        </w:rPr>
      </w:pPr>
      <w:r>
        <w:rPr>
          <w:rFonts w:ascii="Arial" w:cs="Arial" w:eastAsia="Arial" w:hAnsi="Arial"/>
          <w:sz w:val="10"/>
          <w:szCs w:val="10"/>
          <w:color w:val="auto"/>
        </w:rPr>
        <w:t>For consolidation purposes. Loans generated in Foreign Currency (FC) are converted into Local Currency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4997450</wp:posOffset>
            </wp:positionH>
            <wp:positionV relativeFrom="paragraph">
              <wp:posOffset>-29210</wp:posOffset>
            </wp:positionV>
            <wp:extent cx="81661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16610" cy="137160"/>
                    </a:xfrm>
                    <a:prstGeom prst="rect">
                      <a:avLst/>
                    </a:prstGeom>
                    <a:noFill/>
                  </pic:spPr>
                </pic:pic>
              </a:graphicData>
            </a:graphic>
          </wp:anchor>
        </w:drawing>
      </w:r>
    </w:p>
    <w:p>
      <w:pPr>
        <w:ind w:left="146" w:hanging="146"/>
        <w:spacing w:after="0" w:line="214" w:lineRule="auto"/>
        <w:tabs>
          <w:tab w:leader="none" w:pos="146" w:val="left"/>
        </w:tabs>
        <w:numPr>
          <w:ilvl w:val="0"/>
          <w:numId w:val="12"/>
        </w:numPr>
        <w:rPr>
          <w:rFonts w:ascii="Arial" w:cs="Arial" w:eastAsia="Arial" w:hAnsi="Arial"/>
          <w:sz w:val="10"/>
          <w:szCs w:val="10"/>
          <w:color w:val="auto"/>
        </w:rPr>
      </w:pPr>
      <w:r>
        <w:rPr>
          <w:rFonts w:ascii="Arial" w:cs="Arial" w:eastAsia="Arial" w:hAnsi="Arial"/>
          <w:sz w:val="10"/>
          <w:szCs w:val="10"/>
          <w:color w:val="auto"/>
        </w:rPr>
        <w:t>Includes Workout unit and other banking. For Quarter-end balance figures, please refer to “12. Annexes – 12.3 Loan Portfolio Quality”</w:t>
      </w:r>
    </w:p>
    <w:p>
      <w:pPr>
        <w:ind w:left="146" w:hanging="146"/>
        <w:spacing w:after="0"/>
        <w:tabs>
          <w:tab w:leader="none" w:pos="146" w:val="left"/>
        </w:tabs>
        <w:numPr>
          <w:ilvl w:val="0"/>
          <w:numId w:val="12"/>
        </w:numPr>
        <w:rPr>
          <w:rFonts w:ascii="Arial" w:cs="Arial" w:eastAsia="Arial" w:hAnsi="Arial"/>
          <w:sz w:val="10"/>
          <w:szCs w:val="10"/>
          <w:color w:val="auto"/>
        </w:rPr>
      </w:pPr>
      <w:r>
        <w:rPr>
          <w:rFonts w:ascii="Arial" w:cs="Arial" w:eastAsia="Arial" w:hAnsi="Arial"/>
          <w:sz w:val="10"/>
          <w:szCs w:val="10"/>
          <w:color w:val="auto"/>
        </w:rPr>
        <w:t>Internal Management Figures</w:t>
      </w:r>
    </w:p>
    <w:p>
      <w:pPr>
        <w:sectPr>
          <w:pgSz w:w="11900" w:h="16838" w:orient="portrait"/>
          <w:cols w:equalWidth="0" w:num="1">
            <w:col w:w="10406"/>
          </w:cols>
          <w:pgMar w:left="754" w:top="298" w:right="739" w:bottom="1440" w:gutter="0" w:footer="0" w:header="0"/>
        </w:sectPr>
      </w:pPr>
    </w:p>
    <w:p>
      <w:pPr>
        <w:spacing w:after="0" w:line="132" w:lineRule="exact"/>
        <w:rPr>
          <w:sz w:val="20"/>
          <w:szCs w:val="20"/>
          <w:color w:val="auto"/>
        </w:rPr>
      </w:pPr>
    </w:p>
    <w:p>
      <w:pPr>
        <w:ind w:left="6" w:right="80"/>
        <w:spacing w:after="0" w:line="261" w:lineRule="auto"/>
        <w:rPr>
          <w:sz w:val="20"/>
          <w:szCs w:val="20"/>
          <w:color w:val="auto"/>
        </w:rPr>
      </w:pPr>
      <w:r>
        <w:rPr>
          <w:rFonts w:ascii="Arial" w:cs="Arial" w:eastAsia="Arial" w:hAnsi="Arial"/>
          <w:sz w:val="14"/>
          <w:szCs w:val="14"/>
          <w:b w:val="1"/>
          <w:bCs w:val="1"/>
          <w:color w:val="auto"/>
        </w:rPr>
        <w:t xml:space="preserve">QoQ, </w:t>
      </w:r>
      <w:r>
        <w:rPr>
          <w:rFonts w:ascii="Arial" w:cs="Arial" w:eastAsia="Arial" w:hAnsi="Arial"/>
          <w:sz w:val="14"/>
          <w:szCs w:val="14"/>
          <w:color w:val="auto"/>
        </w:rPr>
        <w:t>total loans in average daily balances rose 1.3% (+1.2% FX Neutral). This</w:t>
      </w:r>
      <w:r>
        <w:rPr>
          <w:rFonts w:ascii="Arial" w:cs="Arial" w:eastAsia="Arial" w:hAnsi="Arial"/>
          <w:sz w:val="14"/>
          <w:szCs w:val="14"/>
          <w:b w:val="1"/>
          <w:bCs w:val="1"/>
          <w:color w:val="auto"/>
        </w:rPr>
        <w:t xml:space="preserve"> </w:t>
      </w:r>
      <w:r>
        <w:rPr>
          <w:rFonts w:ascii="Arial" w:cs="Arial" w:eastAsia="Arial" w:hAnsi="Arial"/>
          <w:sz w:val="14"/>
          <w:szCs w:val="14"/>
          <w:color w:val="auto"/>
        </w:rPr>
        <w:t>growth was driven primarily by:</w:t>
      </w:r>
    </w:p>
    <w:p>
      <w:pPr>
        <w:spacing w:after="0" w:line="113" w:lineRule="exact"/>
        <w:rPr>
          <w:sz w:val="20"/>
          <w:szCs w:val="20"/>
          <w:color w:val="auto"/>
        </w:rPr>
      </w:pPr>
    </w:p>
    <w:p>
      <w:pPr>
        <w:ind w:left="486" w:hanging="240"/>
        <w:spacing w:after="0"/>
        <w:tabs>
          <w:tab w:leader="none" w:pos="486" w:val="left"/>
        </w:tabs>
        <w:numPr>
          <w:ilvl w:val="0"/>
          <w:numId w:val="13"/>
        </w:numPr>
        <w:rPr>
          <w:rFonts w:ascii="Arial" w:cs="Arial" w:eastAsia="Arial" w:hAnsi="Arial"/>
          <w:sz w:val="14"/>
          <w:szCs w:val="14"/>
          <w:color w:val="auto"/>
          <w:strike w:val="1"/>
        </w:rPr>
      </w:pPr>
      <w:r>
        <w:rPr>
          <w:rFonts w:ascii="Arial" w:cs="Arial" w:eastAsia="Arial" w:hAnsi="Arial"/>
          <w:sz w:val="14"/>
          <w:szCs w:val="14"/>
          <w:b w:val="1"/>
          <w:bCs w:val="1"/>
          <w:color w:val="auto"/>
        </w:rPr>
        <w:t>Corporate Banking</w:t>
      </w:r>
      <w:r>
        <w:rPr>
          <w:rFonts w:ascii="Arial" w:cs="Arial" w:eastAsia="Arial" w:hAnsi="Arial"/>
          <w:sz w:val="14"/>
          <w:szCs w:val="14"/>
          <w:color w:val="auto"/>
        </w:rPr>
        <w:t>, fueled by an uptick in the need for short-term</w:t>
      </w:r>
      <w:r>
        <w:rPr>
          <w:rFonts w:ascii="Arial" w:cs="Arial" w:eastAsia="Arial" w:hAnsi="Arial"/>
          <w:sz w:val="14"/>
          <w:szCs w:val="14"/>
          <w:b w:val="1"/>
          <w:bCs w:val="1"/>
          <w:color w:val="auto"/>
        </w:rPr>
        <w:t xml:space="preserve"> </w:t>
      </w:r>
      <w:r>
        <w:rPr>
          <w:rFonts w:ascii="Arial" w:cs="Arial" w:eastAsia="Arial" w:hAnsi="Arial"/>
          <w:sz w:val="14"/>
          <w:szCs w:val="14"/>
          <w:color w:val="auto"/>
        </w:rPr>
        <w:t>working capital, primarily in the energy sector.</w:t>
      </w:r>
    </w:p>
    <w:p>
      <w:pPr>
        <w:ind w:left="486" w:hanging="240"/>
        <w:spacing w:after="0"/>
        <w:tabs>
          <w:tab w:leader="none" w:pos="486" w:val="left"/>
        </w:tabs>
        <w:numPr>
          <w:ilvl w:val="0"/>
          <w:numId w:val="13"/>
        </w:numPr>
        <w:rPr>
          <w:rFonts w:ascii="Arial" w:cs="Arial" w:eastAsia="Arial" w:hAnsi="Arial"/>
          <w:sz w:val="14"/>
          <w:szCs w:val="14"/>
          <w:color w:val="auto"/>
          <w:strike w:val="1"/>
        </w:rPr>
      </w:pPr>
      <w:r>
        <w:rPr>
          <w:rFonts w:ascii="Arial" w:cs="Arial" w:eastAsia="Arial" w:hAnsi="Arial"/>
          <w:sz w:val="14"/>
          <w:szCs w:val="14"/>
          <w:b w:val="1"/>
          <w:bCs w:val="1"/>
          <w:color w:val="auto"/>
        </w:rPr>
        <w:t xml:space="preserve">SME-Business, </w:t>
      </w:r>
      <w:r>
        <w:rPr>
          <w:rFonts w:ascii="Arial" w:cs="Arial" w:eastAsia="Arial" w:hAnsi="Arial"/>
          <w:sz w:val="14"/>
          <w:szCs w:val="14"/>
          <w:color w:val="auto"/>
        </w:rPr>
        <w:t>after a weak first quarter, in which working capital</w:t>
      </w:r>
      <w:r>
        <w:rPr>
          <w:rFonts w:ascii="Arial" w:cs="Arial" w:eastAsia="Arial" w:hAnsi="Arial"/>
          <w:sz w:val="14"/>
          <w:szCs w:val="14"/>
          <w:b w:val="1"/>
          <w:bCs w:val="1"/>
          <w:color w:val="auto"/>
        </w:rPr>
        <w:t xml:space="preserve"> </w:t>
      </w:r>
      <w:r>
        <w:rPr>
          <w:rFonts w:ascii="Arial" w:cs="Arial" w:eastAsia="Arial" w:hAnsi="Arial"/>
          <w:sz w:val="14"/>
          <w:szCs w:val="14"/>
          <w:color w:val="auto"/>
        </w:rPr>
        <w:t>loans taken at year-end campaigns were amortized.</w:t>
      </w:r>
    </w:p>
    <w:p>
      <w:pPr>
        <w:spacing w:after="0" w:line="129" w:lineRule="exact"/>
        <w:rPr>
          <w:sz w:val="20"/>
          <w:szCs w:val="20"/>
          <w:color w:val="auto"/>
        </w:rPr>
      </w:pPr>
    </w:p>
    <w:p>
      <w:pPr>
        <w:ind w:left="6"/>
        <w:spacing w:after="0"/>
        <w:rPr>
          <w:sz w:val="20"/>
          <w:szCs w:val="20"/>
          <w:color w:val="auto"/>
        </w:rPr>
      </w:pPr>
      <w:r>
        <w:rPr>
          <w:rFonts w:ascii="Arial" w:cs="Arial" w:eastAsia="Arial" w:hAnsi="Arial"/>
          <w:sz w:val="14"/>
          <w:szCs w:val="14"/>
          <w:color w:val="auto"/>
        </w:rPr>
        <w:t>The aforementioned was partially offset by a drop in loans at:</w:t>
      </w:r>
    </w:p>
    <w:p>
      <w:pPr>
        <w:spacing w:after="0" w:line="146" w:lineRule="exact"/>
        <w:rPr>
          <w:sz w:val="20"/>
          <w:szCs w:val="20"/>
          <w:color w:val="auto"/>
        </w:rPr>
      </w:pPr>
    </w:p>
    <w:p>
      <w:pPr>
        <w:jc w:val="both"/>
        <w:ind w:left="486" w:hanging="240"/>
        <w:spacing w:after="0"/>
        <w:tabs>
          <w:tab w:leader="none" w:pos="486" w:val="left"/>
        </w:tabs>
        <w:numPr>
          <w:ilvl w:val="0"/>
          <w:numId w:val="14"/>
        </w:numPr>
        <w:rPr>
          <w:rFonts w:ascii="Arial" w:cs="Arial" w:eastAsia="Arial" w:hAnsi="Arial"/>
          <w:sz w:val="14"/>
          <w:szCs w:val="14"/>
          <w:color w:val="auto"/>
          <w:strike w:val="1"/>
        </w:rPr>
      </w:pPr>
      <w:r>
        <w:rPr>
          <w:rFonts w:ascii="Arial" w:cs="Arial" w:eastAsia="Arial" w:hAnsi="Arial"/>
          <w:sz w:val="14"/>
          <w:szCs w:val="14"/>
          <w:b w:val="1"/>
          <w:bCs w:val="1"/>
          <w:color w:val="auto"/>
        </w:rPr>
        <w:t>Mibanco</w:t>
      </w:r>
      <w:r>
        <w:rPr>
          <w:rFonts w:ascii="Arial" w:cs="Arial" w:eastAsia="Arial" w:hAnsi="Arial"/>
          <w:sz w:val="14"/>
          <w:szCs w:val="14"/>
          <w:color w:val="auto"/>
        </w:rPr>
        <w:t>, after lending guidelines were tightened and the industry</w:t>
      </w:r>
      <w:r>
        <w:rPr>
          <w:rFonts w:ascii="Arial" w:cs="Arial" w:eastAsia="Arial" w:hAnsi="Arial"/>
          <w:sz w:val="14"/>
          <w:szCs w:val="14"/>
          <w:b w:val="1"/>
          <w:bCs w:val="1"/>
          <w:color w:val="auto"/>
        </w:rPr>
        <w:t xml:space="preserve"> </w:t>
      </w:r>
      <w:r>
        <w:rPr>
          <w:rFonts w:ascii="Arial" w:cs="Arial" w:eastAsia="Arial" w:hAnsi="Arial"/>
          <w:sz w:val="14"/>
          <w:szCs w:val="14"/>
          <w:color w:val="auto"/>
        </w:rPr>
        <w:t>continued to face challenges. This drop reflects a contraction in higher tickets loans, which was partially offset by growth in small-ticket, higher-yield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90170</wp:posOffset>
            </wp:positionV>
            <wp:extent cx="1502410" cy="44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02410" cy="4438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480" w:right="260" w:hanging="239"/>
        <w:spacing w:after="0"/>
        <w:tabs>
          <w:tab w:leader="none" w:pos="480" w:val="left"/>
        </w:tabs>
        <w:numPr>
          <w:ilvl w:val="0"/>
          <w:numId w:val="15"/>
        </w:numPr>
        <w:rPr>
          <w:rFonts w:ascii="Arial" w:cs="Arial" w:eastAsia="Arial" w:hAnsi="Arial"/>
          <w:sz w:val="14"/>
          <w:szCs w:val="14"/>
          <w:color w:val="auto"/>
          <w:strike w:val="1"/>
        </w:rPr>
      </w:pPr>
      <w:r>
        <w:rPr>
          <w:rFonts w:ascii="Arial" w:cs="Arial" w:eastAsia="Arial" w:hAnsi="Arial"/>
          <w:sz w:val="14"/>
          <w:szCs w:val="14"/>
          <w:b w:val="1"/>
          <w:bCs w:val="1"/>
          <w:color w:val="auto"/>
        </w:rPr>
        <w:t xml:space="preserve">Middle Market, </w:t>
      </w:r>
      <w:r>
        <w:rPr>
          <w:rFonts w:ascii="Arial" w:cs="Arial" w:eastAsia="Arial" w:hAnsi="Arial"/>
          <w:sz w:val="14"/>
          <w:szCs w:val="14"/>
          <w:color w:val="auto"/>
        </w:rPr>
        <w:t>due primarily to a reduction in balances due to</w:t>
      </w:r>
      <w:r>
        <w:rPr>
          <w:rFonts w:ascii="Arial" w:cs="Arial" w:eastAsia="Arial" w:hAnsi="Arial"/>
          <w:sz w:val="14"/>
          <w:szCs w:val="14"/>
          <w:b w:val="1"/>
          <w:bCs w:val="1"/>
          <w:color w:val="auto"/>
        </w:rPr>
        <w:t xml:space="preserve"> </w:t>
      </w:r>
      <w:r>
        <w:rPr>
          <w:rFonts w:ascii="Arial" w:cs="Arial" w:eastAsia="Arial" w:hAnsi="Arial"/>
          <w:sz w:val="14"/>
          <w:szCs w:val="14"/>
          <w:color w:val="auto"/>
        </w:rPr>
        <w:t>amortizations of short-term loans in the agriculture sector.</w:t>
      </w:r>
    </w:p>
    <w:p>
      <w:pPr>
        <w:jc w:val="both"/>
        <w:ind w:left="480" w:right="260" w:hanging="239"/>
        <w:spacing w:after="0" w:line="236" w:lineRule="auto"/>
        <w:tabs>
          <w:tab w:leader="none" w:pos="480" w:val="left"/>
        </w:tabs>
        <w:numPr>
          <w:ilvl w:val="0"/>
          <w:numId w:val="15"/>
        </w:numPr>
        <w:rPr>
          <w:rFonts w:ascii="Arial" w:cs="Arial" w:eastAsia="Arial" w:hAnsi="Arial"/>
          <w:sz w:val="14"/>
          <w:szCs w:val="14"/>
          <w:color w:val="auto"/>
          <w:strike w:val="1"/>
        </w:rPr>
      </w:pPr>
      <w:r>
        <w:rPr>
          <w:rFonts w:ascii="Arial" w:cs="Arial" w:eastAsia="Arial" w:hAnsi="Arial"/>
          <w:sz w:val="14"/>
          <w:szCs w:val="14"/>
          <w:b w:val="1"/>
          <w:bCs w:val="1"/>
          <w:color w:val="auto"/>
        </w:rPr>
        <w:t xml:space="preserve">SME-Pyme, </w:t>
      </w:r>
      <w:r>
        <w:rPr>
          <w:rFonts w:ascii="Arial" w:cs="Arial" w:eastAsia="Arial" w:hAnsi="Arial"/>
          <w:sz w:val="14"/>
          <w:szCs w:val="14"/>
          <w:color w:val="auto"/>
        </w:rPr>
        <w:t>given that amortizations of Government Program (GP)</w:t>
      </w:r>
      <w:r>
        <w:rPr>
          <w:rFonts w:ascii="Arial" w:cs="Arial" w:eastAsia="Arial" w:hAnsi="Arial"/>
          <w:sz w:val="14"/>
          <w:szCs w:val="14"/>
          <w:b w:val="1"/>
          <w:bCs w:val="1"/>
          <w:color w:val="auto"/>
        </w:rPr>
        <w:t xml:space="preserve"> </w:t>
      </w:r>
      <w:r>
        <w:rPr>
          <w:rFonts w:ascii="Arial" w:cs="Arial" w:eastAsia="Arial" w:hAnsi="Arial"/>
          <w:sz w:val="14"/>
          <w:szCs w:val="14"/>
          <w:color w:val="auto"/>
        </w:rPr>
        <w:t>loans rose over the period. If we exclude this effect, the segment registers slight growth.</w:t>
      </w:r>
    </w:p>
    <w:p>
      <w:pPr>
        <w:spacing w:after="0" w:line="128" w:lineRule="exact"/>
        <w:rPr>
          <w:sz w:val="20"/>
          <w:szCs w:val="20"/>
          <w:color w:val="auto"/>
        </w:rPr>
      </w:pPr>
    </w:p>
    <w:p>
      <w:pPr>
        <w:ind w:right="420"/>
        <w:spacing w:after="0" w:line="261" w:lineRule="auto"/>
        <w:rPr>
          <w:sz w:val="20"/>
          <w:szCs w:val="20"/>
          <w:color w:val="auto"/>
        </w:rPr>
      </w:pPr>
      <w:r>
        <w:rPr>
          <w:rFonts w:ascii="Arial" w:cs="Arial" w:eastAsia="Arial" w:hAnsi="Arial"/>
          <w:sz w:val="14"/>
          <w:szCs w:val="14"/>
          <w:b w:val="1"/>
          <w:bCs w:val="1"/>
          <w:color w:val="auto"/>
        </w:rPr>
        <w:t xml:space="preserve">YoY, </w:t>
      </w:r>
      <w:r>
        <w:rPr>
          <w:rFonts w:ascii="Arial" w:cs="Arial" w:eastAsia="Arial" w:hAnsi="Arial"/>
          <w:sz w:val="14"/>
          <w:szCs w:val="14"/>
          <w:color w:val="auto"/>
        </w:rPr>
        <w:t>total loans in average daily balances rose 0.2% (-0.8% FX Neutral). This</w:t>
      </w:r>
      <w:r>
        <w:rPr>
          <w:rFonts w:ascii="Arial" w:cs="Arial" w:eastAsia="Arial" w:hAnsi="Arial"/>
          <w:sz w:val="14"/>
          <w:szCs w:val="14"/>
          <w:b w:val="1"/>
          <w:bCs w:val="1"/>
          <w:color w:val="auto"/>
        </w:rPr>
        <w:t xml:space="preserve"> </w:t>
      </w:r>
      <w:r>
        <w:rPr>
          <w:rFonts w:ascii="Arial" w:cs="Arial" w:eastAsia="Arial" w:hAnsi="Arial"/>
          <w:sz w:val="14"/>
          <w:szCs w:val="14"/>
          <w:color w:val="auto"/>
        </w:rPr>
        <w:t>growth was driven primarily by:</w:t>
      </w:r>
    </w:p>
    <w:p>
      <w:pPr>
        <w:spacing w:after="0" w:line="113" w:lineRule="exact"/>
        <w:rPr>
          <w:sz w:val="20"/>
          <w:szCs w:val="20"/>
          <w:color w:val="auto"/>
        </w:rPr>
      </w:pPr>
    </w:p>
    <w:p>
      <w:pPr>
        <w:ind w:left="480" w:right="260" w:hanging="239"/>
        <w:spacing w:after="0" w:line="258" w:lineRule="auto"/>
        <w:tabs>
          <w:tab w:leader="none" w:pos="480" w:val="left"/>
        </w:tabs>
        <w:numPr>
          <w:ilvl w:val="0"/>
          <w:numId w:val="16"/>
        </w:numPr>
        <w:rPr>
          <w:rFonts w:ascii="Arial" w:cs="Arial" w:eastAsia="Arial" w:hAnsi="Arial"/>
          <w:sz w:val="13"/>
          <w:szCs w:val="13"/>
          <w:color w:val="auto"/>
          <w:strike w:val="1"/>
        </w:rPr>
      </w:pPr>
      <w:r>
        <w:rPr>
          <w:rFonts w:ascii="Arial" w:cs="Arial" w:eastAsia="Arial" w:hAnsi="Arial"/>
          <w:sz w:val="13"/>
          <w:szCs w:val="13"/>
          <w:b w:val="1"/>
          <w:bCs w:val="1"/>
          <w:color w:val="auto"/>
        </w:rPr>
        <w:t xml:space="preserve">Mortgage, </w:t>
      </w:r>
      <w:r>
        <w:rPr>
          <w:rFonts w:ascii="Arial" w:cs="Arial" w:eastAsia="Arial" w:hAnsi="Arial"/>
          <w:sz w:val="13"/>
          <w:szCs w:val="13"/>
          <w:color w:val="auto"/>
        </w:rPr>
        <w:t>due to an uptick in issuances this quarter after clients moved</w:t>
      </w:r>
      <w:r>
        <w:rPr>
          <w:rFonts w:ascii="Arial" w:cs="Arial" w:eastAsia="Arial" w:hAnsi="Arial"/>
          <w:sz w:val="13"/>
          <w:szCs w:val="13"/>
          <w:b w:val="1"/>
          <w:bCs w:val="1"/>
          <w:color w:val="auto"/>
        </w:rPr>
        <w:t xml:space="preserve"> </w:t>
      </w:r>
      <w:r>
        <w:rPr>
          <w:rFonts w:ascii="Arial" w:cs="Arial" w:eastAsia="Arial" w:hAnsi="Arial"/>
          <w:sz w:val="13"/>
          <w:szCs w:val="13"/>
          <w:color w:val="auto"/>
        </w:rPr>
        <w:t>to take advantage of new loan modalities that were created in 2023.</w:t>
      </w:r>
    </w:p>
    <w:p>
      <w:pPr>
        <w:spacing w:after="0" w:line="1" w:lineRule="exact"/>
        <w:rPr>
          <w:rFonts w:ascii="Arial" w:cs="Arial" w:eastAsia="Arial" w:hAnsi="Arial"/>
          <w:sz w:val="13"/>
          <w:szCs w:val="13"/>
          <w:color w:val="auto"/>
          <w:strike w:val="1"/>
        </w:rPr>
      </w:pPr>
    </w:p>
    <w:p>
      <w:pPr>
        <w:ind w:left="480" w:right="260" w:hanging="239"/>
        <w:spacing w:after="0" w:line="230" w:lineRule="auto"/>
        <w:tabs>
          <w:tab w:leader="none" w:pos="480" w:val="left"/>
        </w:tabs>
        <w:numPr>
          <w:ilvl w:val="0"/>
          <w:numId w:val="16"/>
        </w:numPr>
        <w:rPr>
          <w:rFonts w:ascii="Arial" w:cs="Arial" w:eastAsia="Arial" w:hAnsi="Arial"/>
          <w:sz w:val="14"/>
          <w:szCs w:val="14"/>
          <w:color w:val="auto"/>
          <w:strike w:val="1"/>
        </w:rPr>
      </w:pPr>
      <w:r>
        <w:rPr>
          <w:rFonts w:ascii="Arial" w:cs="Arial" w:eastAsia="Arial" w:hAnsi="Arial"/>
          <w:sz w:val="14"/>
          <w:szCs w:val="14"/>
          <w:b w:val="1"/>
          <w:bCs w:val="1"/>
          <w:color w:val="auto"/>
        </w:rPr>
        <w:t xml:space="preserve">Middle Market Banking, </w:t>
      </w:r>
      <w:r>
        <w:rPr>
          <w:rFonts w:ascii="Arial" w:cs="Arial" w:eastAsia="Arial" w:hAnsi="Arial"/>
          <w:sz w:val="14"/>
          <w:szCs w:val="14"/>
          <w:color w:val="auto"/>
        </w:rPr>
        <w:t>reflecting the resumption of the first fishing</w:t>
      </w:r>
      <w:r>
        <w:rPr>
          <w:rFonts w:ascii="Arial" w:cs="Arial" w:eastAsia="Arial" w:hAnsi="Arial"/>
          <w:sz w:val="14"/>
          <w:szCs w:val="14"/>
          <w:b w:val="1"/>
          <w:bCs w:val="1"/>
          <w:color w:val="auto"/>
        </w:rPr>
        <w:t xml:space="preserve"> </w:t>
      </w:r>
      <w:r>
        <w:rPr>
          <w:rFonts w:ascii="Arial" w:cs="Arial" w:eastAsia="Arial" w:hAnsi="Arial"/>
          <w:sz w:val="14"/>
          <w:szCs w:val="14"/>
          <w:color w:val="auto"/>
        </w:rPr>
        <w:t>campaign of the year after cancelation last year due to climate effects.</w:t>
      </w:r>
    </w:p>
    <w:p>
      <w:pPr>
        <w:ind w:left="480" w:hanging="239"/>
        <w:spacing w:after="0"/>
        <w:tabs>
          <w:tab w:leader="none" w:pos="480" w:val="left"/>
        </w:tabs>
        <w:numPr>
          <w:ilvl w:val="0"/>
          <w:numId w:val="16"/>
        </w:numPr>
        <w:rPr>
          <w:rFonts w:ascii="Arial" w:cs="Arial" w:eastAsia="Arial" w:hAnsi="Arial"/>
          <w:sz w:val="14"/>
          <w:szCs w:val="14"/>
          <w:color w:val="auto"/>
          <w:strike w:val="1"/>
        </w:rPr>
      </w:pPr>
      <w:r>
        <w:rPr>
          <w:rFonts w:ascii="Arial" w:cs="Arial" w:eastAsia="Arial" w:hAnsi="Arial"/>
          <w:sz w:val="14"/>
          <w:szCs w:val="14"/>
          <w:b w:val="1"/>
          <w:bCs w:val="1"/>
          <w:color w:val="auto"/>
        </w:rPr>
        <w:t xml:space="preserve">BCP Bolivia, </w:t>
      </w:r>
      <w:r>
        <w:rPr>
          <w:rFonts w:ascii="Arial" w:cs="Arial" w:eastAsia="Arial" w:hAnsi="Arial"/>
          <w:sz w:val="14"/>
          <w:szCs w:val="14"/>
          <w:color w:val="auto"/>
        </w:rPr>
        <w:t>due to higher disbursements in Wholesale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753745</wp:posOffset>
            </wp:positionV>
            <wp:extent cx="7164705" cy="133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192405</wp:posOffset>
            </wp:positionV>
            <wp:extent cx="1697990" cy="3460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97990" cy="346075"/>
                    </a:xfrm>
                    <a:prstGeom prst="rect">
                      <a:avLst/>
                    </a:prstGeom>
                    <a:noFill/>
                  </pic:spPr>
                </pic:pic>
              </a:graphicData>
            </a:graphic>
          </wp:anchor>
        </w:drawing>
      </w:r>
    </w:p>
    <w:p>
      <w:pPr>
        <w:sectPr>
          <w:pgSz w:w="11900" w:h="16838" w:orient="portrait"/>
          <w:cols w:equalWidth="0" w:num="2">
            <w:col w:w="4866" w:space="420"/>
            <w:col w:w="5120"/>
          </w:cols>
          <w:pgMar w:left="754" w:top="298" w:right="739" w:bottom="1440" w:gutter="0" w:footer="0" w:header="0"/>
          <w:type w:val="continuous"/>
        </w:sectPr>
      </w:pPr>
    </w:p>
    <w:bookmarkStart w:id="20" w:name="page21"/>
    <w:bookmarkEnd w:id="20"/>
    <w:p>
      <w:pPr>
        <w:ind w:left="2480"/>
        <w:spacing w:after="0"/>
        <w:tabs>
          <w:tab w:leader="none" w:pos="2680" w:val="left"/>
        </w:tabs>
        <w:rPr>
          <w:sz w:val="20"/>
          <w:szCs w:val="20"/>
          <w:color w:val="auto"/>
        </w:rPr>
      </w:pPr>
      <w:r>
        <w:rPr>
          <w:rFonts w:ascii="Arial" w:cs="Arial" w:eastAsia="Arial" w:hAnsi="Arial"/>
          <w:sz w:val="15"/>
          <w:szCs w:val="15"/>
          <w:color w:val="A6A6A6"/>
        </w:rPr>
        <w:t>|</w:t>
      </w:r>
      <w:r>
        <w:rPr>
          <w:sz w:val="20"/>
          <w:szCs w:val="20"/>
          <w:color w:val="auto"/>
        </w:rPr>
        <w:tab/>
      </w:r>
      <w:r>
        <w:rPr>
          <w:rFonts w:ascii="Arial" w:cs="Arial" w:eastAsia="Arial" w:hAnsi="Arial"/>
          <w:sz w:val="14"/>
          <w:szCs w:val="14"/>
          <w:b w:val="1"/>
          <w:bCs w:val="1"/>
          <w:color w:val="A6A6A6"/>
        </w:rPr>
        <w:t>Earnings Release 2Q / 2024</w:t>
      </w:r>
    </w:p>
    <w:p>
      <w:pPr>
        <w:spacing w:after="0" w:line="26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01. Loan Portfolio</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The aforementioned was partially offset by a reduction in loans via:</w:t>
      </w:r>
    </w:p>
    <w:p>
      <w:pPr>
        <w:spacing w:after="0" w:line="146" w:lineRule="exact"/>
        <w:rPr>
          <w:sz w:val="20"/>
          <w:szCs w:val="20"/>
          <w:color w:val="auto"/>
        </w:rPr>
      </w:pPr>
    </w:p>
    <w:p>
      <w:pPr>
        <w:ind w:left="700" w:hanging="240"/>
        <w:spacing w:after="0"/>
        <w:tabs>
          <w:tab w:leader="none" w:pos="700" w:val="left"/>
        </w:tabs>
        <w:numPr>
          <w:ilvl w:val="0"/>
          <w:numId w:val="17"/>
        </w:numPr>
        <w:rPr>
          <w:rFonts w:ascii="Arial" w:cs="Arial" w:eastAsia="Arial" w:hAnsi="Arial"/>
          <w:sz w:val="14"/>
          <w:szCs w:val="14"/>
          <w:color w:val="auto"/>
          <w:strike w:val="1"/>
        </w:rPr>
      </w:pPr>
      <w:r>
        <w:rPr>
          <w:rFonts w:ascii="Arial" w:cs="Arial" w:eastAsia="Arial" w:hAnsi="Arial"/>
          <w:sz w:val="14"/>
          <w:szCs w:val="14"/>
          <w:b w:val="1"/>
          <w:bCs w:val="1"/>
          <w:color w:val="auto"/>
        </w:rPr>
        <w:t xml:space="preserve">Mibanco, </w:t>
      </w:r>
      <w:r>
        <w:rPr>
          <w:rFonts w:ascii="Arial" w:cs="Arial" w:eastAsia="Arial" w:hAnsi="Arial"/>
          <w:sz w:val="14"/>
          <w:szCs w:val="14"/>
          <w:color w:val="auto"/>
        </w:rPr>
        <w:t>due to the same dynamics that drove the</w:t>
      </w:r>
      <w:r>
        <w:rPr>
          <w:rFonts w:ascii="Arial" w:cs="Arial" w:eastAsia="Arial" w:hAnsi="Arial"/>
          <w:sz w:val="14"/>
          <w:szCs w:val="14"/>
          <w:b w:val="1"/>
          <w:bCs w:val="1"/>
          <w:color w:val="auto"/>
        </w:rPr>
        <w:t xml:space="preserve"> QoQ </w:t>
      </w:r>
      <w:r>
        <w:rPr>
          <w:rFonts w:ascii="Arial" w:cs="Arial" w:eastAsia="Arial" w:hAnsi="Arial"/>
          <w:sz w:val="14"/>
          <w:szCs w:val="14"/>
          <w:color w:val="auto"/>
        </w:rPr>
        <w:t>evolution.</w:t>
      </w:r>
    </w:p>
    <w:p>
      <w:pPr>
        <w:spacing w:after="0" w:line="7" w:lineRule="exact"/>
        <w:rPr>
          <w:rFonts w:ascii="Arial" w:cs="Arial" w:eastAsia="Arial" w:hAnsi="Arial"/>
          <w:sz w:val="14"/>
          <w:szCs w:val="14"/>
          <w:color w:val="auto"/>
          <w:strike w:val="1"/>
        </w:rPr>
      </w:pPr>
    </w:p>
    <w:p>
      <w:pPr>
        <w:jc w:val="both"/>
        <w:ind w:left="700" w:hanging="240"/>
        <w:spacing w:after="0" w:line="236" w:lineRule="auto"/>
        <w:tabs>
          <w:tab w:leader="none" w:pos="700" w:val="left"/>
        </w:tabs>
        <w:numPr>
          <w:ilvl w:val="0"/>
          <w:numId w:val="17"/>
        </w:numPr>
        <w:rPr>
          <w:rFonts w:ascii="Arial" w:cs="Arial" w:eastAsia="Arial" w:hAnsi="Arial"/>
          <w:sz w:val="14"/>
          <w:szCs w:val="14"/>
          <w:color w:val="auto"/>
          <w:strike w:val="1"/>
        </w:rPr>
      </w:pPr>
      <w:r>
        <w:rPr>
          <w:rFonts w:ascii="Arial" w:cs="Arial" w:eastAsia="Arial" w:hAnsi="Arial"/>
          <w:sz w:val="14"/>
          <w:szCs w:val="14"/>
          <w:b w:val="1"/>
          <w:bCs w:val="1"/>
          <w:color w:val="auto"/>
        </w:rPr>
        <w:t>SME-Pyme and SME-Business</w:t>
      </w:r>
      <w:r>
        <w:rPr>
          <w:rFonts w:ascii="Arial" w:cs="Arial" w:eastAsia="Arial" w:hAnsi="Arial"/>
          <w:sz w:val="14"/>
          <w:szCs w:val="14"/>
          <w:color w:val="auto"/>
        </w:rPr>
        <w:t>, affected by a drop in balances due to</w:t>
      </w:r>
      <w:r>
        <w:rPr>
          <w:rFonts w:ascii="Arial" w:cs="Arial" w:eastAsia="Arial" w:hAnsi="Arial"/>
          <w:sz w:val="14"/>
          <w:szCs w:val="14"/>
          <w:b w:val="1"/>
          <w:bCs w:val="1"/>
          <w:color w:val="auto"/>
        </w:rPr>
        <w:t xml:space="preserve"> </w:t>
      </w:r>
      <w:r>
        <w:rPr>
          <w:rFonts w:ascii="Arial" w:cs="Arial" w:eastAsia="Arial" w:hAnsi="Arial"/>
          <w:sz w:val="14"/>
          <w:szCs w:val="14"/>
          <w:color w:val="auto"/>
        </w:rPr>
        <w:t>amortizations of Government Program Loans (GP). If we exclude this effect, both</w:t>
      </w:r>
    </w:p>
    <w:p>
      <w:pPr>
        <w:spacing w:after="0" w:line="20" w:lineRule="exact"/>
        <w:rPr>
          <w:sz w:val="20"/>
          <w:szCs w:val="20"/>
          <w:color w:val="auto"/>
        </w:rPr>
      </w:pPr>
      <w:r>
        <w:rPr>
          <w:sz w:val="20"/>
          <w:szCs w:val="20"/>
          <w:color w:val="auto"/>
        </w:rPr>
        <w:br w:type="column"/>
      </w:r>
    </w:p>
    <w:p>
      <w:pPr>
        <w:ind w:left="2160"/>
        <w:spacing w:after="0"/>
        <w:rPr>
          <w:sz w:val="20"/>
          <w:szCs w:val="20"/>
          <w:color w:val="auto"/>
        </w:rPr>
      </w:pPr>
      <w:r>
        <w:rPr>
          <w:rFonts w:ascii="Arial" w:cs="Arial" w:eastAsia="Arial" w:hAnsi="Arial"/>
          <w:sz w:val="14"/>
          <w:szCs w:val="14"/>
          <w:b w:val="1"/>
          <w:bCs w:val="1"/>
          <w:color w:val="E93BAC"/>
        </w:rPr>
        <w:t>Analysis of 2Q24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-209550</wp:posOffset>
            </wp:positionV>
            <wp:extent cx="7164705" cy="5619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705" cy="561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80" w:right="560"/>
        <w:spacing w:after="0" w:line="238" w:lineRule="auto"/>
        <w:rPr>
          <w:sz w:val="20"/>
          <w:szCs w:val="20"/>
          <w:color w:val="auto"/>
        </w:rPr>
      </w:pPr>
      <w:r>
        <w:rPr>
          <w:rFonts w:ascii="Arial" w:cs="Arial" w:eastAsia="Arial" w:hAnsi="Arial"/>
          <w:sz w:val="14"/>
          <w:szCs w:val="14"/>
          <w:color w:val="auto"/>
        </w:rPr>
        <w:t>portfolios register growth due to higher disbursements in working capital loans.</w:t>
      </w:r>
    </w:p>
    <w:p>
      <w:pPr>
        <w:spacing w:after="0" w:line="1" w:lineRule="exact"/>
        <w:rPr>
          <w:sz w:val="20"/>
          <w:szCs w:val="20"/>
          <w:color w:val="auto"/>
        </w:rPr>
      </w:pPr>
    </w:p>
    <w:p>
      <w:pPr>
        <w:ind w:left="480" w:right="560" w:hanging="239"/>
        <w:spacing w:after="0"/>
        <w:tabs>
          <w:tab w:leader="none" w:pos="480" w:val="left"/>
        </w:tabs>
        <w:numPr>
          <w:ilvl w:val="0"/>
          <w:numId w:val="18"/>
        </w:numPr>
        <w:rPr>
          <w:rFonts w:ascii="Arial" w:cs="Arial" w:eastAsia="Arial" w:hAnsi="Arial"/>
          <w:sz w:val="14"/>
          <w:szCs w:val="14"/>
          <w:color w:val="auto"/>
          <w:strike w:val="1"/>
        </w:rPr>
      </w:pPr>
      <w:r>
        <w:rPr>
          <w:rFonts w:ascii="Arial" w:cs="Arial" w:eastAsia="Arial" w:hAnsi="Arial"/>
          <w:sz w:val="14"/>
          <w:szCs w:val="14"/>
          <w:b w:val="1"/>
          <w:bCs w:val="1"/>
          <w:color w:val="auto"/>
        </w:rPr>
        <w:t xml:space="preserve">Corporate Banking, </w:t>
      </w:r>
      <w:r>
        <w:rPr>
          <w:rFonts w:ascii="Arial" w:cs="Arial" w:eastAsia="Arial" w:hAnsi="Arial"/>
          <w:sz w:val="14"/>
          <w:szCs w:val="14"/>
          <w:color w:val="auto"/>
        </w:rPr>
        <w:t>due to a decrease in businesses’ appetite for</w:t>
      </w:r>
      <w:r>
        <w:rPr>
          <w:rFonts w:ascii="Arial" w:cs="Arial" w:eastAsia="Arial" w:hAnsi="Arial"/>
          <w:sz w:val="14"/>
          <w:szCs w:val="14"/>
          <w:b w:val="1"/>
          <w:bCs w:val="1"/>
          <w:color w:val="auto"/>
        </w:rPr>
        <w:t xml:space="preserve"> </w:t>
      </w:r>
      <w:r>
        <w:rPr>
          <w:rFonts w:ascii="Arial" w:cs="Arial" w:eastAsia="Arial" w:hAnsi="Arial"/>
          <w:sz w:val="14"/>
          <w:szCs w:val="14"/>
          <w:color w:val="auto"/>
        </w:rPr>
        <w:t>long-term financing.</w:t>
      </w:r>
    </w:p>
    <w:p>
      <w:pPr>
        <w:spacing w:after="0" w:line="127" w:lineRule="exact"/>
        <w:rPr>
          <w:sz w:val="20"/>
          <w:szCs w:val="20"/>
          <w:color w:val="auto"/>
        </w:rPr>
      </w:pPr>
    </w:p>
    <w:p>
      <w:pPr>
        <w:jc w:val="both"/>
        <w:ind w:right="560"/>
        <w:spacing w:after="0" w:line="250" w:lineRule="auto"/>
        <w:rPr>
          <w:sz w:val="20"/>
          <w:szCs w:val="20"/>
          <w:color w:val="auto"/>
        </w:rPr>
      </w:pPr>
      <w:r>
        <w:rPr>
          <w:rFonts w:ascii="Arial" w:cs="Arial" w:eastAsia="Arial" w:hAnsi="Arial"/>
          <w:sz w:val="14"/>
          <w:szCs w:val="14"/>
          <w:b w:val="1"/>
          <w:bCs w:val="1"/>
          <w:color w:val="auto"/>
        </w:rPr>
        <w:t xml:space="preserve">YTD, </w:t>
      </w:r>
      <w:r>
        <w:rPr>
          <w:rFonts w:ascii="Arial" w:cs="Arial" w:eastAsia="Arial" w:hAnsi="Arial"/>
          <w:sz w:val="14"/>
          <w:szCs w:val="14"/>
          <w:color w:val="auto"/>
        </w:rPr>
        <w:t>loans in average daily balances fell 1.5%. This drop was mainly</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attributable to </w:t>
      </w:r>
      <w:r>
        <w:rPr>
          <w:rFonts w:ascii="Arial" w:cs="Arial" w:eastAsia="Arial" w:hAnsi="Arial"/>
          <w:sz w:val="14"/>
          <w:szCs w:val="14"/>
          <w:b w:val="1"/>
          <w:bCs w:val="1"/>
          <w:color w:val="auto"/>
        </w:rPr>
        <w:t>Corporate Banking</w:t>
      </w:r>
      <w:r>
        <w:rPr>
          <w:rFonts w:ascii="Arial" w:cs="Arial" w:eastAsia="Arial" w:hAnsi="Arial"/>
          <w:sz w:val="14"/>
          <w:szCs w:val="14"/>
          <w:color w:val="auto"/>
        </w:rPr>
        <w:t xml:space="preserve"> and </w:t>
      </w:r>
      <w:r>
        <w:rPr>
          <w:rFonts w:ascii="Arial" w:cs="Arial" w:eastAsia="Arial" w:hAnsi="Arial"/>
          <w:sz w:val="14"/>
          <w:szCs w:val="14"/>
          <w:b w:val="1"/>
          <w:bCs w:val="1"/>
          <w:color w:val="auto"/>
        </w:rPr>
        <w:t>Mibanco</w:t>
      </w:r>
      <w:r>
        <w:rPr>
          <w:rFonts w:ascii="Arial" w:cs="Arial" w:eastAsia="Arial" w:hAnsi="Arial"/>
          <w:sz w:val="14"/>
          <w:szCs w:val="14"/>
          <w:color w:val="auto"/>
        </w:rPr>
        <w:t xml:space="preserve"> and was driven by the same dynamics as those seen </w:t>
      </w:r>
      <w:r>
        <w:rPr>
          <w:rFonts w:ascii="Arial" w:cs="Arial" w:eastAsia="Arial" w:hAnsi="Arial"/>
          <w:sz w:val="14"/>
          <w:szCs w:val="14"/>
          <w:b w:val="1"/>
          <w:bCs w:val="1"/>
          <w:color w:val="auto"/>
        </w:rPr>
        <w:t>YoY</w:t>
      </w:r>
      <w:r>
        <w:rPr>
          <w:rFonts w:ascii="Arial" w:cs="Arial" w:eastAsia="Arial" w:hAnsi="Arial"/>
          <w:sz w:val="14"/>
          <w:szCs w:val="14"/>
          <w:color w:val="auto"/>
        </w:rPr>
        <w:t>.</w:t>
      </w:r>
    </w:p>
    <w:p>
      <w:pPr>
        <w:spacing w:after="0" w:line="200" w:lineRule="exact"/>
        <w:rPr>
          <w:sz w:val="20"/>
          <w:szCs w:val="20"/>
          <w:color w:val="auto"/>
        </w:rPr>
      </w:pPr>
    </w:p>
    <w:p>
      <w:pPr>
        <w:sectPr>
          <w:pgSz w:w="11900" w:h="16838" w:orient="portrait"/>
          <w:cols w:equalWidth="0" w:num="2">
            <w:col w:w="5080" w:space="420"/>
            <w:col w:w="5420"/>
          </w:cols>
          <w:pgMar w:left="540" w:top="298" w:right="439" w:bottom="1440" w:gutter="0" w:footer="0" w:header="0"/>
        </w:sectPr>
      </w:pPr>
    </w:p>
    <w:p>
      <w:pPr>
        <w:spacing w:after="0" w:line="24" w:lineRule="exact"/>
        <w:rPr>
          <w:sz w:val="20"/>
          <w:szCs w:val="20"/>
          <w:color w:val="auto"/>
        </w:rPr>
      </w:pPr>
    </w:p>
    <w:p>
      <w:pPr>
        <w:jc w:val="center"/>
        <w:ind w:right="120"/>
        <w:spacing w:after="0"/>
        <w:rPr>
          <w:sz w:val="20"/>
          <w:szCs w:val="20"/>
          <w:color w:val="auto"/>
        </w:rPr>
      </w:pPr>
      <w:r>
        <w:rPr>
          <w:rFonts w:ascii="Arial" w:cs="Arial" w:eastAsia="Arial" w:hAnsi="Arial"/>
          <w:sz w:val="10"/>
          <w:szCs w:val="10"/>
          <w:b w:val="1"/>
          <w:bCs w:val="1"/>
          <w:color w:val="auto"/>
        </w:rPr>
        <w:t xml:space="preserve">Evolution of Loan Dollarization (in Average Daily Balances) </w:t>
      </w:r>
      <w:r>
        <w:rPr>
          <w:rFonts w:ascii="Arial" w:cs="Arial" w:eastAsia="Arial" w:hAnsi="Arial"/>
          <w:sz w:val="15"/>
          <w:szCs w:val="15"/>
          <w:b w:val="1"/>
          <w:bCs w:val="1"/>
          <w:color w:val="auto"/>
          <w:vertAlign w:val="superscript"/>
        </w:rPr>
        <w:t>(1)(2)</w:t>
      </w:r>
    </w:p>
    <w:tbl>
      <w:tblPr>
        <w:tblLayout w:type="fixed"/>
        <w:tblInd w:w="330" w:type="dxa"/>
        <w:tblCellMar>
          <w:top w:w="0" w:type="dxa"/>
          <w:left w:w="0" w:type="dxa"/>
          <w:bottom w:w="0" w:type="dxa"/>
          <w:right w:w="0" w:type="dxa"/>
        </w:tblCellMar>
      </w:tblPr>
      <w:tr>
        <w:trPr>
          <w:trHeight w:val="79"/>
        </w:trPr>
        <w:tc>
          <w:tcPr>
            <w:tcW w:w="1800" w:type="dxa"/>
            <w:vAlign w:val="bottom"/>
            <w:tcBorders>
              <w:top w:val="single" w:sz="8" w:color="auto"/>
              <w:left w:val="single" w:sz="8" w:color="auto"/>
              <w:right w:val="single" w:sz="8" w:color="auto"/>
            </w:tcBorders>
            <w:shd w:val="clear" w:color="auto" w:fill="2AD2C9"/>
          </w:tcPr>
          <w:p>
            <w:pPr>
              <w:ind w:left="100"/>
              <w:spacing w:after="0" w:line="79" w:lineRule="exact"/>
              <w:rPr>
                <w:sz w:val="20"/>
                <w:szCs w:val="20"/>
                <w:color w:val="auto"/>
              </w:rPr>
            </w:pPr>
            <w:r>
              <w:rPr>
                <w:rFonts w:ascii="Arial" w:cs="Arial" w:eastAsia="Arial" w:hAnsi="Arial"/>
                <w:sz w:val="8"/>
                <w:szCs w:val="8"/>
                <w:b w:val="1"/>
                <w:bCs w:val="1"/>
                <w:color w:val="FFFFFF"/>
              </w:rPr>
              <w:t>Total Loans</w:t>
            </w:r>
          </w:p>
        </w:tc>
        <w:tc>
          <w:tcPr>
            <w:tcW w:w="2180" w:type="dxa"/>
            <w:vAlign w:val="bottom"/>
            <w:tcBorders>
              <w:top w:val="single" w:sz="8" w:color="auto"/>
              <w:right w:val="single" w:sz="8" w:color="auto"/>
            </w:tcBorders>
            <w:gridSpan w:val="3"/>
            <w:shd w:val="clear" w:color="auto" w:fill="2AD2C9"/>
          </w:tcPr>
          <w:p>
            <w:pPr>
              <w:jc w:val="center"/>
              <w:spacing w:after="0" w:line="79" w:lineRule="exact"/>
              <w:rPr>
                <w:sz w:val="20"/>
                <w:szCs w:val="20"/>
                <w:color w:val="auto"/>
              </w:rPr>
            </w:pPr>
            <w:r>
              <w:rPr>
                <w:rFonts w:ascii="Arial" w:cs="Arial" w:eastAsia="Arial" w:hAnsi="Arial"/>
                <w:sz w:val="8"/>
                <w:szCs w:val="8"/>
                <w:b w:val="1"/>
                <w:bCs w:val="1"/>
                <w:color w:val="FFFFFF"/>
              </w:rPr>
              <w:t>Local Currency (LC) - S/ millions</w:t>
            </w:r>
          </w:p>
        </w:tc>
        <w:tc>
          <w:tcPr>
            <w:tcW w:w="500" w:type="dxa"/>
            <w:vAlign w:val="bottom"/>
            <w:tcBorders>
              <w:top w:val="single" w:sz="8" w:color="auto"/>
            </w:tcBorders>
            <w:shd w:val="clear" w:color="auto" w:fill="2AD2C9"/>
          </w:tcPr>
          <w:p>
            <w:pPr>
              <w:spacing w:after="0"/>
              <w:rPr>
                <w:sz w:val="6"/>
                <w:szCs w:val="6"/>
                <w:color w:val="auto"/>
              </w:rPr>
            </w:pPr>
          </w:p>
        </w:tc>
        <w:tc>
          <w:tcPr>
            <w:tcW w:w="960" w:type="dxa"/>
            <w:vAlign w:val="bottom"/>
            <w:tcBorders>
              <w:top w:val="single" w:sz="8" w:color="auto"/>
              <w:right w:val="single" w:sz="8" w:color="auto"/>
            </w:tcBorders>
            <w:gridSpan w:val="2"/>
            <w:vMerge w:val="restart"/>
            <w:shd w:val="clear" w:color="auto" w:fill="2AD2C9"/>
          </w:tcPr>
          <w:p>
            <w:pPr>
              <w:spacing w:after="0"/>
              <w:rPr>
                <w:sz w:val="20"/>
                <w:szCs w:val="20"/>
                <w:color w:val="auto"/>
              </w:rPr>
            </w:pPr>
            <w:r>
              <w:rPr>
                <w:rFonts w:ascii="Arial" w:cs="Arial" w:eastAsia="Arial" w:hAnsi="Arial"/>
                <w:sz w:val="10"/>
                <w:szCs w:val="10"/>
                <w:b w:val="1"/>
                <w:bCs w:val="1"/>
                <w:color w:val="FFFFFF"/>
              </w:rPr>
              <w:t>% change</w:t>
            </w:r>
          </w:p>
        </w:tc>
        <w:tc>
          <w:tcPr>
            <w:tcW w:w="2180" w:type="dxa"/>
            <w:vAlign w:val="bottom"/>
            <w:tcBorders>
              <w:top w:val="single" w:sz="8" w:color="auto"/>
              <w:right w:val="single" w:sz="8" w:color="auto"/>
            </w:tcBorders>
            <w:gridSpan w:val="3"/>
            <w:shd w:val="clear" w:color="auto" w:fill="2AD2C9"/>
          </w:tcPr>
          <w:p>
            <w:pPr>
              <w:jc w:val="center"/>
              <w:spacing w:after="0" w:line="79" w:lineRule="exact"/>
              <w:rPr>
                <w:sz w:val="20"/>
                <w:szCs w:val="20"/>
                <w:color w:val="auto"/>
              </w:rPr>
            </w:pPr>
            <w:r>
              <w:rPr>
                <w:rFonts w:ascii="Arial" w:cs="Arial" w:eastAsia="Arial" w:hAnsi="Arial"/>
                <w:sz w:val="8"/>
                <w:szCs w:val="8"/>
                <w:b w:val="1"/>
                <w:bCs w:val="1"/>
                <w:color w:val="FFFFFF"/>
              </w:rPr>
              <w:t>Foreign Currency (FC) - US$ millions</w:t>
            </w:r>
          </w:p>
        </w:tc>
        <w:tc>
          <w:tcPr>
            <w:tcW w:w="1440" w:type="dxa"/>
            <w:vAlign w:val="bottom"/>
            <w:tcBorders>
              <w:top w:val="single" w:sz="8" w:color="auto"/>
              <w:right w:val="single" w:sz="8" w:color="auto"/>
            </w:tcBorders>
            <w:gridSpan w:val="2"/>
            <w:vMerge w:val="restart"/>
            <w:shd w:val="clear" w:color="auto" w:fill="2AD2C9"/>
          </w:tcPr>
          <w:p>
            <w:pPr>
              <w:ind w:left="480"/>
              <w:spacing w:after="0"/>
              <w:rPr>
                <w:sz w:val="20"/>
                <w:szCs w:val="20"/>
                <w:color w:val="auto"/>
              </w:rPr>
            </w:pPr>
            <w:r>
              <w:rPr>
                <w:rFonts w:ascii="Arial" w:cs="Arial" w:eastAsia="Arial" w:hAnsi="Arial"/>
                <w:sz w:val="10"/>
                <w:szCs w:val="10"/>
                <w:b w:val="1"/>
                <w:bCs w:val="1"/>
                <w:color w:val="FFFFFF"/>
              </w:rPr>
              <w:t>% change</w:t>
            </w:r>
          </w:p>
        </w:tc>
        <w:tc>
          <w:tcPr>
            <w:tcW w:w="1340" w:type="dxa"/>
            <w:vAlign w:val="bottom"/>
            <w:tcBorders>
              <w:top w:val="single" w:sz="8" w:color="auto"/>
              <w:right w:val="single" w:sz="8" w:color="auto"/>
            </w:tcBorders>
            <w:gridSpan w:val="2"/>
            <w:shd w:val="clear" w:color="auto" w:fill="2AD2C9"/>
          </w:tcPr>
          <w:p>
            <w:pPr>
              <w:ind w:left="200"/>
              <w:spacing w:after="0" w:line="79" w:lineRule="exact"/>
              <w:rPr>
                <w:sz w:val="20"/>
                <w:szCs w:val="20"/>
                <w:color w:val="auto"/>
              </w:rPr>
            </w:pPr>
            <w:r>
              <w:rPr>
                <w:rFonts w:ascii="Arial" w:cs="Arial" w:eastAsia="Arial" w:hAnsi="Arial"/>
                <w:sz w:val="8"/>
                <w:szCs w:val="8"/>
                <w:b w:val="1"/>
                <w:bCs w:val="1"/>
                <w:color w:val="FFFFFF"/>
              </w:rPr>
              <w:t>% part. by currency</w:t>
            </w:r>
          </w:p>
        </w:tc>
        <w:tc>
          <w:tcPr>
            <w:tcW w:w="0" w:type="dxa"/>
            <w:vAlign w:val="bottom"/>
          </w:tcPr>
          <w:p>
            <w:pPr>
              <w:spacing w:after="0"/>
              <w:rPr>
                <w:sz w:val="1"/>
                <w:szCs w:val="1"/>
                <w:color w:val="auto"/>
              </w:rPr>
            </w:pPr>
          </w:p>
        </w:tc>
      </w:tr>
      <w:tr>
        <w:trPr>
          <w:trHeight w:val="79"/>
        </w:trPr>
        <w:tc>
          <w:tcPr>
            <w:tcW w:w="1800" w:type="dxa"/>
            <w:vAlign w:val="bottom"/>
            <w:tcBorders>
              <w:left w:val="single" w:sz="8" w:color="auto"/>
              <w:right w:val="single" w:sz="8" w:color="auto"/>
            </w:tcBorders>
            <w:vMerge w:val="restart"/>
            <w:shd w:val="clear" w:color="auto" w:fill="2AD2C9"/>
          </w:tcPr>
          <w:p>
            <w:pPr>
              <w:ind w:left="100"/>
              <w:spacing w:after="0" w:line="103" w:lineRule="exact"/>
              <w:rPr>
                <w:sz w:val="20"/>
                <w:szCs w:val="20"/>
                <w:color w:val="auto"/>
              </w:rPr>
            </w:pPr>
            <w:r>
              <w:rPr>
                <w:rFonts w:ascii="Arial" w:cs="Arial" w:eastAsia="Arial" w:hAnsi="Arial"/>
                <w:sz w:val="10"/>
                <w:szCs w:val="10"/>
                <w:color w:val="FFFFFF"/>
              </w:rPr>
              <w:t>(S/ millions)</w:t>
            </w:r>
          </w:p>
        </w:tc>
        <w:tc>
          <w:tcPr>
            <w:tcW w:w="780" w:type="dxa"/>
            <w:vAlign w:val="bottom"/>
            <w:shd w:val="clear" w:color="auto" w:fill="2AD2C9"/>
          </w:tcPr>
          <w:p>
            <w:pPr>
              <w:spacing w:after="0"/>
              <w:rPr>
                <w:sz w:val="6"/>
                <w:szCs w:val="6"/>
                <w:color w:val="auto"/>
              </w:rPr>
            </w:pPr>
          </w:p>
        </w:tc>
        <w:tc>
          <w:tcPr>
            <w:tcW w:w="660" w:type="dxa"/>
            <w:vAlign w:val="bottom"/>
            <w:vMerge w:val="restart"/>
            <w:shd w:val="clear" w:color="auto" w:fill="2AD2C9"/>
          </w:tcPr>
          <w:p>
            <w:pPr>
              <w:jc w:val="center"/>
              <w:ind w:right="32"/>
              <w:spacing w:after="0" w:line="103" w:lineRule="exact"/>
              <w:rPr>
                <w:sz w:val="20"/>
                <w:szCs w:val="20"/>
                <w:color w:val="auto"/>
              </w:rPr>
            </w:pPr>
            <w:r>
              <w:rPr>
                <w:rFonts w:ascii="Arial" w:cs="Arial" w:eastAsia="Arial" w:hAnsi="Arial"/>
                <w:sz w:val="10"/>
                <w:szCs w:val="10"/>
                <w:b w:val="1"/>
                <w:bCs w:val="1"/>
                <w:color w:val="FFFFFF"/>
                <w:w w:val="91"/>
              </w:rPr>
              <w:t>Total</w:t>
            </w:r>
          </w:p>
        </w:tc>
        <w:tc>
          <w:tcPr>
            <w:tcW w:w="740" w:type="dxa"/>
            <w:vAlign w:val="bottom"/>
            <w:tcBorders>
              <w:right w:val="single" w:sz="8" w:color="auto"/>
            </w:tcBorders>
            <w:shd w:val="clear" w:color="auto" w:fill="2AD2C9"/>
          </w:tcPr>
          <w:p>
            <w:pPr>
              <w:spacing w:after="0"/>
              <w:rPr>
                <w:sz w:val="6"/>
                <w:szCs w:val="6"/>
                <w:color w:val="auto"/>
              </w:rPr>
            </w:pPr>
          </w:p>
        </w:tc>
        <w:tc>
          <w:tcPr>
            <w:tcW w:w="500" w:type="dxa"/>
            <w:vAlign w:val="bottom"/>
            <w:shd w:val="clear" w:color="auto" w:fill="2AD2C9"/>
          </w:tcPr>
          <w:p>
            <w:pPr>
              <w:spacing w:after="0"/>
              <w:rPr>
                <w:sz w:val="6"/>
                <w:szCs w:val="6"/>
                <w:color w:val="auto"/>
              </w:rPr>
            </w:pPr>
          </w:p>
        </w:tc>
        <w:tc>
          <w:tcPr>
            <w:tcW w:w="960" w:type="dxa"/>
            <w:vAlign w:val="bottom"/>
            <w:tcBorders>
              <w:right w:val="single" w:sz="8" w:color="auto"/>
            </w:tcBorders>
            <w:gridSpan w:val="2"/>
            <w:vMerge w:val="continue"/>
            <w:shd w:val="clear" w:color="auto" w:fill="2AD2C9"/>
          </w:tcPr>
          <w:p>
            <w:pPr>
              <w:spacing w:after="0"/>
              <w:rPr>
                <w:sz w:val="6"/>
                <w:szCs w:val="6"/>
                <w:color w:val="auto"/>
              </w:rPr>
            </w:pPr>
          </w:p>
        </w:tc>
        <w:tc>
          <w:tcPr>
            <w:tcW w:w="720" w:type="dxa"/>
            <w:vAlign w:val="bottom"/>
            <w:shd w:val="clear" w:color="auto" w:fill="2AD2C9"/>
          </w:tcPr>
          <w:p>
            <w:pPr>
              <w:spacing w:after="0"/>
              <w:rPr>
                <w:sz w:val="6"/>
                <w:szCs w:val="6"/>
                <w:color w:val="auto"/>
              </w:rPr>
            </w:pPr>
          </w:p>
        </w:tc>
        <w:tc>
          <w:tcPr>
            <w:tcW w:w="720" w:type="dxa"/>
            <w:vAlign w:val="bottom"/>
            <w:vMerge w:val="restart"/>
            <w:shd w:val="clear" w:color="auto" w:fill="2AD2C9"/>
          </w:tcPr>
          <w:p>
            <w:pPr>
              <w:jc w:val="center"/>
              <w:spacing w:after="0" w:line="103" w:lineRule="exact"/>
              <w:rPr>
                <w:sz w:val="20"/>
                <w:szCs w:val="20"/>
                <w:color w:val="auto"/>
              </w:rPr>
            </w:pPr>
            <w:r>
              <w:rPr>
                <w:rFonts w:ascii="Arial" w:cs="Arial" w:eastAsia="Arial" w:hAnsi="Arial"/>
                <w:sz w:val="10"/>
                <w:szCs w:val="10"/>
                <w:b w:val="1"/>
                <w:bCs w:val="1"/>
                <w:color w:val="FFFFFF"/>
                <w:w w:val="91"/>
              </w:rPr>
              <w:t>Total</w:t>
            </w:r>
          </w:p>
        </w:tc>
        <w:tc>
          <w:tcPr>
            <w:tcW w:w="740" w:type="dxa"/>
            <w:vAlign w:val="bottom"/>
            <w:tcBorders>
              <w:right w:val="single" w:sz="8" w:color="auto"/>
            </w:tcBorders>
            <w:shd w:val="clear" w:color="auto" w:fill="2AD2C9"/>
          </w:tcPr>
          <w:p>
            <w:pPr>
              <w:spacing w:after="0"/>
              <w:rPr>
                <w:sz w:val="6"/>
                <w:szCs w:val="6"/>
                <w:color w:val="auto"/>
              </w:rPr>
            </w:pPr>
          </w:p>
        </w:tc>
        <w:tc>
          <w:tcPr>
            <w:tcW w:w="1440" w:type="dxa"/>
            <w:vAlign w:val="bottom"/>
            <w:tcBorders>
              <w:right w:val="single" w:sz="8" w:color="auto"/>
            </w:tcBorders>
            <w:gridSpan w:val="2"/>
            <w:vMerge w:val="continue"/>
            <w:shd w:val="clear" w:color="auto" w:fill="2AD2C9"/>
          </w:tcPr>
          <w:p>
            <w:pPr>
              <w:spacing w:after="0"/>
              <w:rPr>
                <w:sz w:val="6"/>
                <w:szCs w:val="6"/>
                <w:color w:val="auto"/>
              </w:rPr>
            </w:pPr>
          </w:p>
        </w:tc>
        <w:tc>
          <w:tcPr>
            <w:tcW w:w="840" w:type="dxa"/>
            <w:vAlign w:val="bottom"/>
            <w:vMerge w:val="restart"/>
            <w:shd w:val="clear" w:color="auto" w:fill="2AD2C9"/>
          </w:tcPr>
          <w:p>
            <w:pPr>
              <w:jc w:val="right"/>
              <w:spacing w:after="0" w:line="103" w:lineRule="exact"/>
              <w:rPr>
                <w:sz w:val="20"/>
                <w:szCs w:val="20"/>
                <w:color w:val="auto"/>
              </w:rPr>
            </w:pPr>
            <w:r>
              <w:rPr>
                <w:rFonts w:ascii="Arial" w:cs="Arial" w:eastAsia="Arial" w:hAnsi="Arial"/>
                <w:sz w:val="10"/>
                <w:szCs w:val="10"/>
                <w:b w:val="1"/>
                <w:bCs w:val="1"/>
                <w:color w:val="FFFFFF"/>
              </w:rPr>
              <w:t>Jun 24</w:t>
            </w:r>
          </w:p>
        </w:tc>
        <w:tc>
          <w:tcPr>
            <w:tcW w:w="500" w:type="dxa"/>
            <w:vAlign w:val="bottom"/>
            <w:tcBorders>
              <w:right w:val="single" w:sz="8" w:color="auto"/>
            </w:tcBorders>
            <w:shd w:val="clear" w:color="auto" w:fill="2AD2C9"/>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1800" w:type="dxa"/>
            <w:vAlign w:val="bottom"/>
            <w:tcBorders>
              <w:left w:val="single" w:sz="8" w:color="auto"/>
              <w:right w:val="single" w:sz="8" w:color="auto"/>
            </w:tcBorders>
            <w:vMerge w:val="continue"/>
            <w:shd w:val="clear" w:color="auto" w:fill="2AD2C9"/>
          </w:tcPr>
          <w:p>
            <w:pPr>
              <w:spacing w:after="0"/>
              <w:rPr>
                <w:sz w:val="2"/>
                <w:szCs w:val="2"/>
                <w:color w:val="auto"/>
              </w:rPr>
            </w:pPr>
          </w:p>
        </w:tc>
        <w:tc>
          <w:tcPr>
            <w:tcW w:w="780" w:type="dxa"/>
            <w:vAlign w:val="bottom"/>
            <w:shd w:val="clear" w:color="auto" w:fill="2AD2C9"/>
          </w:tcPr>
          <w:p>
            <w:pPr>
              <w:spacing w:after="0"/>
              <w:rPr>
                <w:sz w:val="2"/>
                <w:szCs w:val="2"/>
                <w:color w:val="auto"/>
              </w:rPr>
            </w:pPr>
          </w:p>
        </w:tc>
        <w:tc>
          <w:tcPr>
            <w:tcW w:w="660" w:type="dxa"/>
            <w:vAlign w:val="bottom"/>
            <w:vMerge w:val="continue"/>
            <w:shd w:val="clear" w:color="auto" w:fill="2AD2C9"/>
          </w:tcPr>
          <w:p>
            <w:pPr>
              <w:spacing w:after="0"/>
              <w:rPr>
                <w:sz w:val="2"/>
                <w:szCs w:val="2"/>
                <w:color w:val="auto"/>
              </w:rPr>
            </w:pPr>
          </w:p>
        </w:tc>
        <w:tc>
          <w:tcPr>
            <w:tcW w:w="740" w:type="dxa"/>
            <w:vAlign w:val="bottom"/>
            <w:tcBorders>
              <w:right w:val="single" w:sz="8" w:color="auto"/>
            </w:tcBorders>
            <w:shd w:val="clear" w:color="auto" w:fill="2AD2C9"/>
          </w:tcPr>
          <w:p>
            <w:pPr>
              <w:spacing w:after="0"/>
              <w:rPr>
                <w:sz w:val="2"/>
                <w:szCs w:val="2"/>
                <w:color w:val="auto"/>
              </w:rPr>
            </w:pPr>
          </w:p>
        </w:tc>
        <w:tc>
          <w:tcPr>
            <w:tcW w:w="500" w:type="dxa"/>
            <w:vAlign w:val="bottom"/>
            <w:shd w:val="clear" w:color="auto" w:fill="2AD2C9"/>
          </w:tcPr>
          <w:p>
            <w:pPr>
              <w:spacing w:after="0"/>
              <w:rPr>
                <w:sz w:val="2"/>
                <w:szCs w:val="2"/>
                <w:color w:val="auto"/>
              </w:rPr>
            </w:pPr>
          </w:p>
        </w:tc>
        <w:tc>
          <w:tcPr>
            <w:tcW w:w="220" w:type="dxa"/>
            <w:vAlign w:val="bottom"/>
            <w:shd w:val="clear" w:color="auto" w:fill="2AD2C9"/>
          </w:tcPr>
          <w:p>
            <w:pPr>
              <w:spacing w:after="0"/>
              <w:rPr>
                <w:sz w:val="2"/>
                <w:szCs w:val="2"/>
                <w:color w:val="auto"/>
              </w:rPr>
            </w:pPr>
          </w:p>
        </w:tc>
        <w:tc>
          <w:tcPr>
            <w:tcW w:w="740" w:type="dxa"/>
            <w:vAlign w:val="bottom"/>
            <w:tcBorders>
              <w:right w:val="single" w:sz="8" w:color="auto"/>
            </w:tcBorders>
            <w:shd w:val="clear" w:color="auto" w:fill="2AD2C9"/>
          </w:tcPr>
          <w:p>
            <w:pPr>
              <w:spacing w:after="0"/>
              <w:rPr>
                <w:sz w:val="2"/>
                <w:szCs w:val="2"/>
                <w:color w:val="auto"/>
              </w:rPr>
            </w:pPr>
          </w:p>
        </w:tc>
        <w:tc>
          <w:tcPr>
            <w:tcW w:w="720" w:type="dxa"/>
            <w:vAlign w:val="bottom"/>
            <w:shd w:val="clear" w:color="auto" w:fill="2AD2C9"/>
          </w:tcPr>
          <w:p>
            <w:pPr>
              <w:spacing w:after="0"/>
              <w:rPr>
                <w:sz w:val="2"/>
                <w:szCs w:val="2"/>
                <w:color w:val="auto"/>
              </w:rPr>
            </w:pPr>
          </w:p>
        </w:tc>
        <w:tc>
          <w:tcPr>
            <w:tcW w:w="720" w:type="dxa"/>
            <w:vAlign w:val="bottom"/>
            <w:vMerge w:val="continue"/>
            <w:shd w:val="clear" w:color="auto" w:fill="2AD2C9"/>
          </w:tcPr>
          <w:p>
            <w:pPr>
              <w:spacing w:after="0"/>
              <w:rPr>
                <w:sz w:val="2"/>
                <w:szCs w:val="2"/>
                <w:color w:val="auto"/>
              </w:rPr>
            </w:pPr>
          </w:p>
        </w:tc>
        <w:tc>
          <w:tcPr>
            <w:tcW w:w="740" w:type="dxa"/>
            <w:vAlign w:val="bottom"/>
            <w:tcBorders>
              <w:right w:val="single" w:sz="8" w:color="auto"/>
            </w:tcBorders>
            <w:shd w:val="clear" w:color="auto" w:fill="2AD2C9"/>
          </w:tcPr>
          <w:p>
            <w:pPr>
              <w:spacing w:after="0"/>
              <w:rPr>
                <w:sz w:val="2"/>
                <w:szCs w:val="2"/>
                <w:color w:val="auto"/>
              </w:rPr>
            </w:pPr>
          </w:p>
        </w:tc>
        <w:tc>
          <w:tcPr>
            <w:tcW w:w="700" w:type="dxa"/>
            <w:vAlign w:val="bottom"/>
            <w:shd w:val="clear" w:color="auto" w:fill="2AD2C9"/>
          </w:tcPr>
          <w:p>
            <w:pPr>
              <w:spacing w:after="0"/>
              <w:rPr>
                <w:sz w:val="2"/>
                <w:szCs w:val="2"/>
                <w:color w:val="auto"/>
              </w:rPr>
            </w:pPr>
          </w:p>
        </w:tc>
        <w:tc>
          <w:tcPr>
            <w:tcW w:w="740" w:type="dxa"/>
            <w:vAlign w:val="bottom"/>
            <w:tcBorders>
              <w:right w:val="single" w:sz="8" w:color="auto"/>
            </w:tcBorders>
            <w:shd w:val="clear" w:color="auto" w:fill="2AD2C9"/>
          </w:tcPr>
          <w:p>
            <w:pPr>
              <w:spacing w:after="0"/>
              <w:rPr>
                <w:sz w:val="2"/>
                <w:szCs w:val="2"/>
                <w:color w:val="auto"/>
              </w:rPr>
            </w:pPr>
          </w:p>
        </w:tc>
        <w:tc>
          <w:tcPr>
            <w:tcW w:w="840" w:type="dxa"/>
            <w:vAlign w:val="bottom"/>
            <w:vMerge w:val="continue"/>
            <w:shd w:val="clear" w:color="auto" w:fill="2AD2C9"/>
          </w:tcPr>
          <w:p>
            <w:pPr>
              <w:spacing w:after="0"/>
              <w:rPr>
                <w:sz w:val="2"/>
                <w:szCs w:val="2"/>
                <w:color w:val="auto"/>
              </w:rPr>
            </w:pPr>
          </w:p>
        </w:tc>
        <w:tc>
          <w:tcPr>
            <w:tcW w:w="500" w:type="dxa"/>
            <w:vAlign w:val="bottom"/>
            <w:tcBorders>
              <w:right w:val="single" w:sz="8" w:color="auto"/>
            </w:tcBorders>
            <w:shd w:val="clear" w:color="auto" w:fill="2AD2C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1800" w:type="dxa"/>
            <w:vAlign w:val="bottom"/>
            <w:tcBorders>
              <w:left w:val="single" w:sz="8" w:color="auto"/>
              <w:bottom w:val="single" w:sz="8" w:color="auto"/>
              <w:right w:val="single" w:sz="8" w:color="auto"/>
            </w:tcBorders>
            <w:shd w:val="clear" w:color="auto" w:fill="2AD2C9"/>
          </w:tcPr>
          <w:p>
            <w:pPr>
              <w:spacing w:after="0"/>
              <w:rPr>
                <w:sz w:val="11"/>
                <w:szCs w:val="11"/>
                <w:color w:val="auto"/>
              </w:rPr>
            </w:pPr>
          </w:p>
        </w:tc>
        <w:tc>
          <w:tcPr>
            <w:tcW w:w="780" w:type="dxa"/>
            <w:vAlign w:val="bottom"/>
            <w:tcBorders>
              <w:bottom w:val="single" w:sz="8" w:color="auto"/>
            </w:tcBorders>
            <w:shd w:val="clear" w:color="auto" w:fill="2AD2C9"/>
          </w:tcPr>
          <w:p>
            <w:pPr>
              <w:ind w:left="200"/>
              <w:spacing w:after="0"/>
              <w:rPr>
                <w:sz w:val="20"/>
                <w:szCs w:val="20"/>
                <w:color w:val="auto"/>
              </w:rPr>
            </w:pPr>
            <w:r>
              <w:rPr>
                <w:rFonts w:ascii="Arial" w:cs="Arial" w:eastAsia="Arial" w:hAnsi="Arial"/>
                <w:sz w:val="10"/>
                <w:szCs w:val="10"/>
                <w:b w:val="1"/>
                <w:bCs w:val="1"/>
                <w:color w:val="FFFFFF"/>
              </w:rPr>
              <w:t>Jun 23</w:t>
            </w:r>
          </w:p>
        </w:tc>
        <w:tc>
          <w:tcPr>
            <w:tcW w:w="660" w:type="dxa"/>
            <w:vAlign w:val="bottom"/>
            <w:tcBorders>
              <w:bottom w:val="single" w:sz="8" w:color="auto"/>
            </w:tcBorders>
            <w:shd w:val="clear" w:color="auto" w:fill="2AD2C9"/>
          </w:tcPr>
          <w:p>
            <w:pPr>
              <w:jc w:val="center"/>
              <w:ind w:right="32"/>
              <w:spacing w:after="0"/>
              <w:rPr>
                <w:sz w:val="20"/>
                <w:szCs w:val="20"/>
                <w:color w:val="auto"/>
              </w:rPr>
            </w:pPr>
            <w:r>
              <w:rPr>
                <w:rFonts w:ascii="Arial" w:cs="Arial" w:eastAsia="Arial" w:hAnsi="Arial"/>
                <w:sz w:val="10"/>
                <w:szCs w:val="10"/>
                <w:b w:val="1"/>
                <w:bCs w:val="1"/>
                <w:color w:val="FFFFFF"/>
                <w:w w:val="94"/>
              </w:rPr>
              <w:t>Mar 24</w:t>
            </w:r>
          </w:p>
        </w:tc>
        <w:tc>
          <w:tcPr>
            <w:tcW w:w="740" w:type="dxa"/>
            <w:vAlign w:val="bottom"/>
            <w:tcBorders>
              <w:bottom w:val="single" w:sz="8" w:color="auto"/>
              <w:right w:val="single" w:sz="8" w:color="auto"/>
            </w:tcBorders>
            <w:shd w:val="clear" w:color="auto" w:fill="2AD2C9"/>
          </w:tcPr>
          <w:p>
            <w:pPr>
              <w:jc w:val="right"/>
              <w:ind w:right="172"/>
              <w:spacing w:after="0"/>
              <w:rPr>
                <w:sz w:val="20"/>
                <w:szCs w:val="20"/>
                <w:color w:val="auto"/>
              </w:rPr>
            </w:pPr>
            <w:r>
              <w:rPr>
                <w:rFonts w:ascii="Arial" w:cs="Arial" w:eastAsia="Arial" w:hAnsi="Arial"/>
                <w:sz w:val="10"/>
                <w:szCs w:val="10"/>
                <w:b w:val="1"/>
                <w:bCs w:val="1"/>
                <w:color w:val="FFFFFF"/>
              </w:rPr>
              <w:t>Jun 24</w:t>
            </w:r>
          </w:p>
        </w:tc>
        <w:tc>
          <w:tcPr>
            <w:tcW w:w="500" w:type="dxa"/>
            <w:vAlign w:val="bottom"/>
            <w:tcBorders>
              <w:bottom w:val="single" w:sz="8" w:color="auto"/>
            </w:tcBorders>
            <w:shd w:val="clear" w:color="auto" w:fill="2AD2C9"/>
          </w:tcPr>
          <w:p>
            <w:pPr>
              <w:ind w:left="260"/>
              <w:spacing w:after="0"/>
              <w:rPr>
                <w:sz w:val="20"/>
                <w:szCs w:val="20"/>
                <w:color w:val="auto"/>
              </w:rPr>
            </w:pPr>
            <w:r>
              <w:rPr>
                <w:rFonts w:ascii="Arial" w:cs="Arial" w:eastAsia="Arial" w:hAnsi="Arial"/>
                <w:sz w:val="10"/>
                <w:szCs w:val="10"/>
                <w:b w:val="1"/>
                <w:bCs w:val="1"/>
                <w:color w:val="FFFFFF"/>
              </w:rPr>
              <w:t>QoQ</w:t>
            </w:r>
          </w:p>
        </w:tc>
        <w:tc>
          <w:tcPr>
            <w:tcW w:w="220" w:type="dxa"/>
            <w:vAlign w:val="bottom"/>
            <w:tcBorders>
              <w:bottom w:val="single" w:sz="8" w:color="auto"/>
            </w:tcBorders>
            <w:shd w:val="clear" w:color="auto" w:fill="2AD2C9"/>
          </w:tcPr>
          <w:p>
            <w:pPr>
              <w:spacing w:after="0"/>
              <w:rPr>
                <w:sz w:val="11"/>
                <w:szCs w:val="11"/>
                <w:color w:val="auto"/>
              </w:rPr>
            </w:pPr>
          </w:p>
        </w:tc>
        <w:tc>
          <w:tcPr>
            <w:tcW w:w="740" w:type="dxa"/>
            <w:vAlign w:val="bottom"/>
            <w:tcBorders>
              <w:bottom w:val="single" w:sz="8" w:color="auto"/>
              <w:right w:val="single" w:sz="8" w:color="auto"/>
            </w:tcBorders>
            <w:shd w:val="clear" w:color="auto" w:fill="2AD2C9"/>
          </w:tcPr>
          <w:p>
            <w:pPr>
              <w:ind w:left="280"/>
              <w:spacing w:after="0"/>
              <w:rPr>
                <w:sz w:val="20"/>
                <w:szCs w:val="20"/>
                <w:color w:val="auto"/>
              </w:rPr>
            </w:pPr>
            <w:r>
              <w:rPr>
                <w:rFonts w:ascii="Arial" w:cs="Arial" w:eastAsia="Arial" w:hAnsi="Arial"/>
                <w:sz w:val="10"/>
                <w:szCs w:val="10"/>
                <w:b w:val="1"/>
                <w:bCs w:val="1"/>
                <w:color w:val="FFFFFF"/>
              </w:rPr>
              <w:t>YoY</w:t>
            </w:r>
          </w:p>
        </w:tc>
        <w:tc>
          <w:tcPr>
            <w:tcW w:w="720" w:type="dxa"/>
            <w:vAlign w:val="bottom"/>
            <w:tcBorders>
              <w:bottom w:val="single" w:sz="8" w:color="auto"/>
            </w:tcBorders>
            <w:shd w:val="clear" w:color="auto" w:fill="2AD2C9"/>
          </w:tcPr>
          <w:p>
            <w:pPr>
              <w:ind w:left="200"/>
              <w:spacing w:after="0"/>
              <w:rPr>
                <w:sz w:val="20"/>
                <w:szCs w:val="20"/>
                <w:color w:val="auto"/>
              </w:rPr>
            </w:pPr>
            <w:r>
              <w:rPr>
                <w:rFonts w:ascii="Arial" w:cs="Arial" w:eastAsia="Arial" w:hAnsi="Arial"/>
                <w:sz w:val="10"/>
                <w:szCs w:val="10"/>
                <w:b w:val="1"/>
                <w:bCs w:val="1"/>
                <w:color w:val="FFFFFF"/>
              </w:rPr>
              <w:t>Jun 23</w:t>
            </w:r>
          </w:p>
        </w:tc>
        <w:tc>
          <w:tcPr>
            <w:tcW w:w="7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4"/>
              </w:rPr>
              <w:t>Mar 24</w:t>
            </w:r>
          </w:p>
        </w:tc>
        <w:tc>
          <w:tcPr>
            <w:tcW w:w="740" w:type="dxa"/>
            <w:vAlign w:val="bottom"/>
            <w:tcBorders>
              <w:bottom w:val="single" w:sz="8" w:color="auto"/>
              <w:right w:val="single" w:sz="8" w:color="auto"/>
            </w:tcBorders>
            <w:shd w:val="clear" w:color="auto" w:fill="2AD2C9"/>
          </w:tcPr>
          <w:p>
            <w:pPr>
              <w:ind w:left="200"/>
              <w:spacing w:after="0"/>
              <w:rPr>
                <w:sz w:val="20"/>
                <w:szCs w:val="20"/>
                <w:color w:val="auto"/>
              </w:rPr>
            </w:pPr>
            <w:r>
              <w:rPr>
                <w:rFonts w:ascii="Arial" w:cs="Arial" w:eastAsia="Arial" w:hAnsi="Arial"/>
                <w:sz w:val="10"/>
                <w:szCs w:val="10"/>
                <w:b w:val="1"/>
                <w:bCs w:val="1"/>
                <w:color w:val="FFFFFF"/>
              </w:rPr>
              <w:t>Jun 24</w:t>
            </w:r>
          </w:p>
        </w:tc>
        <w:tc>
          <w:tcPr>
            <w:tcW w:w="700" w:type="dxa"/>
            <w:vAlign w:val="bottom"/>
            <w:tcBorders>
              <w:bottom w:val="single" w:sz="8" w:color="auto"/>
            </w:tcBorders>
            <w:shd w:val="clear" w:color="auto" w:fill="2AD2C9"/>
          </w:tcPr>
          <w:p>
            <w:pPr>
              <w:ind w:left="240"/>
              <w:spacing w:after="0"/>
              <w:rPr>
                <w:sz w:val="20"/>
                <w:szCs w:val="20"/>
                <w:color w:val="auto"/>
              </w:rPr>
            </w:pPr>
            <w:r>
              <w:rPr>
                <w:rFonts w:ascii="Arial" w:cs="Arial" w:eastAsia="Arial" w:hAnsi="Arial"/>
                <w:sz w:val="10"/>
                <w:szCs w:val="10"/>
                <w:b w:val="1"/>
                <w:bCs w:val="1"/>
                <w:color w:val="FFFFFF"/>
              </w:rPr>
              <w:t>QoQ</w:t>
            </w:r>
          </w:p>
        </w:tc>
        <w:tc>
          <w:tcPr>
            <w:tcW w:w="740" w:type="dxa"/>
            <w:vAlign w:val="bottom"/>
            <w:tcBorders>
              <w:bottom w:val="single" w:sz="8" w:color="auto"/>
              <w:right w:val="single" w:sz="8" w:color="auto"/>
            </w:tcBorders>
            <w:shd w:val="clear" w:color="auto" w:fill="2AD2C9"/>
          </w:tcPr>
          <w:p>
            <w:pPr>
              <w:ind w:left="260"/>
              <w:spacing w:after="0"/>
              <w:rPr>
                <w:sz w:val="20"/>
                <w:szCs w:val="20"/>
                <w:color w:val="auto"/>
              </w:rPr>
            </w:pPr>
            <w:r>
              <w:rPr>
                <w:rFonts w:ascii="Arial" w:cs="Arial" w:eastAsia="Arial" w:hAnsi="Arial"/>
                <w:sz w:val="10"/>
                <w:szCs w:val="10"/>
                <w:b w:val="1"/>
                <w:bCs w:val="1"/>
                <w:color w:val="FFFFFF"/>
              </w:rPr>
              <w:t>YoY</w:t>
            </w:r>
          </w:p>
        </w:tc>
        <w:tc>
          <w:tcPr>
            <w:tcW w:w="840" w:type="dxa"/>
            <w:vAlign w:val="bottom"/>
            <w:tcBorders>
              <w:bottom w:val="single" w:sz="8" w:color="auto"/>
            </w:tcBorders>
            <w:shd w:val="clear" w:color="auto" w:fill="2AD2C9"/>
          </w:tcPr>
          <w:p>
            <w:pPr>
              <w:jc w:val="right"/>
              <w:ind w:right="333"/>
              <w:spacing w:after="0"/>
              <w:rPr>
                <w:sz w:val="20"/>
                <w:szCs w:val="20"/>
                <w:color w:val="auto"/>
              </w:rPr>
            </w:pPr>
            <w:r>
              <w:rPr>
                <w:rFonts w:ascii="Arial" w:cs="Arial" w:eastAsia="Arial" w:hAnsi="Arial"/>
                <w:sz w:val="10"/>
                <w:szCs w:val="10"/>
                <w:b w:val="1"/>
                <w:bCs w:val="1"/>
                <w:color w:val="FFFFFF"/>
              </w:rPr>
              <w:t>LC</w:t>
            </w:r>
          </w:p>
        </w:tc>
        <w:tc>
          <w:tcPr>
            <w:tcW w:w="500" w:type="dxa"/>
            <w:vAlign w:val="bottom"/>
            <w:tcBorders>
              <w:bottom w:val="single" w:sz="8" w:color="auto"/>
              <w:right w:val="single" w:sz="8" w:color="auto"/>
            </w:tcBorders>
            <w:shd w:val="clear" w:color="auto" w:fill="2AD2C9"/>
          </w:tcPr>
          <w:p>
            <w:pPr>
              <w:ind w:left="160"/>
              <w:spacing w:after="0"/>
              <w:rPr>
                <w:sz w:val="20"/>
                <w:szCs w:val="20"/>
                <w:color w:val="auto"/>
              </w:rPr>
            </w:pPr>
            <w:r>
              <w:rPr>
                <w:rFonts w:ascii="Arial" w:cs="Arial" w:eastAsia="Arial" w:hAnsi="Arial"/>
                <w:sz w:val="10"/>
                <w:szCs w:val="10"/>
                <w:b w:val="1"/>
                <w:bCs w:val="1"/>
                <w:color w:val="FFFFFF"/>
              </w:rPr>
              <w:t>FC</w:t>
            </w:r>
          </w:p>
        </w:tc>
        <w:tc>
          <w:tcPr>
            <w:tcW w:w="0" w:type="dxa"/>
            <w:vAlign w:val="bottom"/>
          </w:tcPr>
          <w:p>
            <w:pPr>
              <w:spacing w:after="0"/>
              <w:rPr>
                <w:sz w:val="1"/>
                <w:szCs w:val="1"/>
                <w:color w:val="auto"/>
              </w:rPr>
            </w:pPr>
          </w:p>
        </w:tc>
      </w:tr>
      <w:tr>
        <w:trPr>
          <w:trHeight w:val="79"/>
        </w:trPr>
        <w:tc>
          <w:tcPr>
            <w:tcW w:w="1800" w:type="dxa"/>
            <w:vAlign w:val="bottom"/>
            <w:tcBorders>
              <w:left w:val="single" w:sz="8" w:color="auto"/>
              <w:right w:val="single" w:sz="8" w:color="auto"/>
            </w:tcBorders>
          </w:tcPr>
          <w:p>
            <w:pPr>
              <w:ind w:left="100"/>
              <w:spacing w:after="0" w:line="79" w:lineRule="exact"/>
              <w:rPr>
                <w:sz w:val="20"/>
                <w:szCs w:val="20"/>
                <w:color w:val="auto"/>
              </w:rPr>
            </w:pPr>
            <w:r>
              <w:rPr>
                <w:rFonts w:ascii="Arial" w:cs="Arial" w:eastAsia="Arial" w:hAnsi="Arial"/>
                <w:sz w:val="8"/>
                <w:szCs w:val="8"/>
                <w:b w:val="1"/>
                <w:bCs w:val="1"/>
                <w:color w:val="auto"/>
              </w:rPr>
              <w:t>BCP Stand-alone</w:t>
            </w:r>
          </w:p>
        </w:tc>
        <w:tc>
          <w:tcPr>
            <w:tcW w:w="780" w:type="dxa"/>
            <w:vAlign w:val="bottom"/>
          </w:tcPr>
          <w:p>
            <w:pPr>
              <w:jc w:val="center"/>
              <w:ind w:right="33"/>
              <w:spacing w:after="0" w:line="79" w:lineRule="exact"/>
              <w:rPr>
                <w:sz w:val="20"/>
                <w:szCs w:val="20"/>
                <w:color w:val="auto"/>
              </w:rPr>
            </w:pPr>
            <w:r>
              <w:rPr>
                <w:rFonts w:ascii="Arial" w:cs="Arial" w:eastAsia="Arial" w:hAnsi="Arial"/>
                <w:sz w:val="8"/>
                <w:szCs w:val="8"/>
                <w:b w:val="1"/>
                <w:bCs w:val="1"/>
                <w:color w:val="auto"/>
              </w:rPr>
              <w:t>80,560</w:t>
            </w:r>
          </w:p>
        </w:tc>
        <w:tc>
          <w:tcPr>
            <w:tcW w:w="660" w:type="dxa"/>
            <w:vAlign w:val="bottom"/>
          </w:tcPr>
          <w:p>
            <w:pPr>
              <w:jc w:val="center"/>
              <w:ind w:right="32"/>
              <w:spacing w:after="0" w:line="79" w:lineRule="exact"/>
              <w:rPr>
                <w:sz w:val="20"/>
                <w:szCs w:val="20"/>
                <w:color w:val="auto"/>
              </w:rPr>
            </w:pPr>
            <w:r>
              <w:rPr>
                <w:rFonts w:ascii="Arial" w:cs="Arial" w:eastAsia="Arial" w:hAnsi="Arial"/>
                <w:sz w:val="8"/>
                <w:szCs w:val="8"/>
                <w:b w:val="1"/>
                <w:bCs w:val="1"/>
                <w:color w:val="auto"/>
              </w:rPr>
              <w:t>78,220</w:t>
            </w:r>
          </w:p>
        </w:tc>
        <w:tc>
          <w:tcPr>
            <w:tcW w:w="740" w:type="dxa"/>
            <w:vAlign w:val="bottom"/>
            <w:tcBorders>
              <w:right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rPr>
              <w:t>79,154</w:t>
            </w:r>
          </w:p>
        </w:tc>
        <w:tc>
          <w:tcPr>
            <w:tcW w:w="500" w:type="dxa"/>
            <w:vAlign w:val="bottom"/>
          </w:tcPr>
          <w:p>
            <w:pPr>
              <w:jc w:val="center"/>
              <w:ind w:left="152"/>
              <w:spacing w:after="0" w:line="79" w:lineRule="exact"/>
              <w:rPr>
                <w:sz w:val="20"/>
                <w:szCs w:val="20"/>
                <w:color w:val="auto"/>
              </w:rPr>
            </w:pPr>
            <w:r>
              <w:rPr>
                <w:rFonts w:ascii="Arial" w:cs="Arial" w:eastAsia="Arial" w:hAnsi="Arial"/>
                <w:sz w:val="8"/>
                <w:szCs w:val="8"/>
                <w:color w:val="auto"/>
              </w:rPr>
              <w:t>1.2%</w:t>
            </w:r>
          </w:p>
        </w:tc>
        <w:tc>
          <w:tcPr>
            <w:tcW w:w="960" w:type="dxa"/>
            <w:vAlign w:val="bottom"/>
            <w:tcBorders>
              <w:right w:val="single" w:sz="8" w:color="auto"/>
            </w:tcBorders>
            <w:gridSpan w:val="2"/>
          </w:tcPr>
          <w:p>
            <w:pPr>
              <w:jc w:val="center"/>
              <w:ind w:left="153"/>
              <w:spacing w:after="0" w:line="79" w:lineRule="exact"/>
              <w:rPr>
                <w:sz w:val="20"/>
                <w:szCs w:val="20"/>
                <w:color w:val="auto"/>
              </w:rPr>
            </w:pPr>
            <w:r>
              <w:rPr>
                <w:rFonts w:ascii="Arial" w:cs="Arial" w:eastAsia="Arial" w:hAnsi="Arial"/>
                <w:sz w:val="8"/>
                <w:szCs w:val="8"/>
                <w:color w:val="auto"/>
              </w:rPr>
              <w:t>-1.7%</w:t>
            </w:r>
          </w:p>
        </w:tc>
        <w:tc>
          <w:tcPr>
            <w:tcW w:w="720" w:type="dxa"/>
            <w:vAlign w:val="bottom"/>
          </w:tcPr>
          <w:p>
            <w:pPr>
              <w:jc w:val="center"/>
              <w:spacing w:after="0" w:line="79" w:lineRule="exact"/>
              <w:rPr>
                <w:sz w:val="20"/>
                <w:szCs w:val="20"/>
                <w:color w:val="auto"/>
              </w:rPr>
            </w:pPr>
            <w:r>
              <w:rPr>
                <w:rFonts w:ascii="Arial" w:cs="Arial" w:eastAsia="Arial" w:hAnsi="Arial"/>
                <w:sz w:val="8"/>
                <w:szCs w:val="8"/>
                <w:b w:val="1"/>
                <w:bCs w:val="1"/>
                <w:color w:val="auto"/>
              </w:rPr>
              <w:t>9,585</w:t>
            </w:r>
          </w:p>
        </w:tc>
        <w:tc>
          <w:tcPr>
            <w:tcW w:w="720" w:type="dxa"/>
            <w:vAlign w:val="bottom"/>
          </w:tcPr>
          <w:p>
            <w:pPr>
              <w:jc w:val="center"/>
              <w:spacing w:after="0" w:line="79" w:lineRule="exact"/>
              <w:rPr>
                <w:sz w:val="20"/>
                <w:szCs w:val="20"/>
                <w:color w:val="auto"/>
              </w:rPr>
            </w:pPr>
            <w:r>
              <w:rPr>
                <w:rFonts w:ascii="Arial" w:cs="Arial" w:eastAsia="Arial" w:hAnsi="Arial"/>
                <w:sz w:val="8"/>
                <w:szCs w:val="8"/>
                <w:b w:val="1"/>
                <w:bCs w:val="1"/>
                <w:color w:val="auto"/>
              </w:rPr>
              <w:t>9,598</w:t>
            </w:r>
          </w:p>
        </w:tc>
        <w:tc>
          <w:tcPr>
            <w:tcW w:w="740" w:type="dxa"/>
            <w:vAlign w:val="bottom"/>
            <w:tcBorders>
              <w:right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rPr>
              <w:t>9,886</w:t>
            </w:r>
          </w:p>
        </w:tc>
        <w:tc>
          <w:tcPr>
            <w:tcW w:w="700" w:type="dxa"/>
            <w:vAlign w:val="bottom"/>
          </w:tcPr>
          <w:p>
            <w:pPr>
              <w:jc w:val="center"/>
              <w:spacing w:after="0" w:line="79" w:lineRule="exact"/>
              <w:rPr>
                <w:sz w:val="20"/>
                <w:szCs w:val="20"/>
                <w:color w:val="auto"/>
              </w:rPr>
            </w:pPr>
            <w:r>
              <w:rPr>
                <w:rFonts w:ascii="Arial" w:cs="Arial" w:eastAsia="Arial" w:hAnsi="Arial"/>
                <w:sz w:val="8"/>
                <w:szCs w:val="8"/>
                <w:color w:val="auto"/>
              </w:rPr>
              <w:t>3.0%</w:t>
            </w:r>
          </w:p>
        </w:tc>
        <w:tc>
          <w:tcPr>
            <w:tcW w:w="740" w:type="dxa"/>
            <w:vAlign w:val="bottom"/>
            <w:tcBorders>
              <w:right w:val="single" w:sz="8" w:color="auto"/>
            </w:tcBorders>
          </w:tcPr>
          <w:p>
            <w:pPr>
              <w:jc w:val="center"/>
              <w:spacing w:after="0" w:line="79" w:lineRule="exact"/>
              <w:rPr>
                <w:sz w:val="20"/>
                <w:szCs w:val="20"/>
                <w:color w:val="auto"/>
              </w:rPr>
            </w:pPr>
            <w:r>
              <w:rPr>
                <w:rFonts w:ascii="Arial" w:cs="Arial" w:eastAsia="Arial" w:hAnsi="Arial"/>
                <w:sz w:val="8"/>
                <w:szCs w:val="8"/>
                <w:color w:val="auto"/>
              </w:rPr>
              <w:t>3.1%</w:t>
            </w:r>
          </w:p>
        </w:tc>
        <w:tc>
          <w:tcPr>
            <w:tcW w:w="840" w:type="dxa"/>
            <w:vAlign w:val="bottom"/>
          </w:tcPr>
          <w:p>
            <w:pPr>
              <w:jc w:val="right"/>
              <w:ind w:right="253"/>
              <w:spacing w:after="0" w:line="79" w:lineRule="exact"/>
              <w:rPr>
                <w:sz w:val="20"/>
                <w:szCs w:val="20"/>
                <w:color w:val="auto"/>
              </w:rPr>
            </w:pPr>
            <w:r>
              <w:rPr>
                <w:rFonts w:ascii="Arial" w:cs="Arial" w:eastAsia="Arial" w:hAnsi="Arial"/>
                <w:sz w:val="8"/>
                <w:szCs w:val="8"/>
                <w:b w:val="1"/>
                <w:bCs w:val="1"/>
                <w:color w:val="auto"/>
              </w:rPr>
              <w:t>68.0%</w:t>
            </w:r>
          </w:p>
        </w:tc>
        <w:tc>
          <w:tcPr>
            <w:tcW w:w="500" w:type="dxa"/>
            <w:vAlign w:val="bottom"/>
            <w:tcBorders>
              <w:right w:val="single" w:sz="8" w:color="auto"/>
            </w:tcBorders>
          </w:tcPr>
          <w:p>
            <w:pPr>
              <w:jc w:val="center"/>
              <w:ind w:right="12"/>
              <w:spacing w:after="0" w:line="79" w:lineRule="exact"/>
              <w:rPr>
                <w:sz w:val="20"/>
                <w:szCs w:val="20"/>
                <w:color w:val="auto"/>
              </w:rPr>
            </w:pPr>
            <w:r>
              <w:rPr>
                <w:rFonts w:ascii="Arial" w:cs="Arial" w:eastAsia="Arial" w:hAnsi="Arial"/>
                <w:sz w:val="8"/>
                <w:szCs w:val="8"/>
                <w:b w:val="1"/>
                <w:bCs w:val="1"/>
                <w:color w:val="auto"/>
              </w:rPr>
              <w:t>32.0%</w:t>
            </w:r>
          </w:p>
        </w:tc>
        <w:tc>
          <w:tcPr>
            <w:tcW w:w="0" w:type="dxa"/>
            <w:vAlign w:val="bottom"/>
          </w:tcPr>
          <w:p>
            <w:pPr>
              <w:spacing w:after="0"/>
              <w:rPr>
                <w:sz w:val="1"/>
                <w:szCs w:val="1"/>
                <w:color w:val="auto"/>
              </w:rPr>
            </w:pPr>
          </w:p>
        </w:tc>
      </w:tr>
      <w:tr>
        <w:trPr>
          <w:trHeight w:val="105"/>
        </w:trPr>
        <w:tc>
          <w:tcPr>
            <w:tcW w:w="1800" w:type="dxa"/>
            <w:vAlign w:val="bottom"/>
            <w:tcBorders>
              <w:left w:val="single" w:sz="8" w:color="auto"/>
              <w:right w:val="single" w:sz="8" w:color="auto"/>
            </w:tcBorders>
          </w:tcPr>
          <w:p>
            <w:pPr>
              <w:ind w:left="220"/>
              <w:spacing w:after="0" w:line="105" w:lineRule="exact"/>
              <w:rPr>
                <w:sz w:val="20"/>
                <w:szCs w:val="20"/>
                <w:color w:val="auto"/>
              </w:rPr>
            </w:pPr>
            <w:r>
              <w:rPr>
                <w:rFonts w:ascii="Arial" w:cs="Arial" w:eastAsia="Arial" w:hAnsi="Arial"/>
                <w:sz w:val="10"/>
                <w:szCs w:val="10"/>
                <w:b w:val="1"/>
                <w:bCs w:val="1"/>
                <w:color w:val="auto"/>
              </w:rPr>
              <w:t>Wholesale Banking</w:t>
            </w:r>
          </w:p>
        </w:tc>
        <w:tc>
          <w:tcPr>
            <w:tcW w:w="780" w:type="dxa"/>
            <w:vAlign w:val="bottom"/>
          </w:tcPr>
          <w:p>
            <w:pPr>
              <w:jc w:val="center"/>
              <w:ind w:right="33"/>
              <w:spacing w:after="0" w:line="105" w:lineRule="exact"/>
              <w:rPr>
                <w:sz w:val="20"/>
                <w:szCs w:val="20"/>
                <w:color w:val="auto"/>
              </w:rPr>
            </w:pPr>
            <w:r>
              <w:rPr>
                <w:rFonts w:ascii="Arial" w:cs="Arial" w:eastAsia="Arial" w:hAnsi="Arial"/>
                <w:sz w:val="10"/>
                <w:szCs w:val="10"/>
                <w:b w:val="1"/>
                <w:bCs w:val="1"/>
                <w:color w:val="auto"/>
                <w:w w:val="97"/>
              </w:rPr>
              <w:t>25,062</w:t>
            </w:r>
          </w:p>
        </w:tc>
        <w:tc>
          <w:tcPr>
            <w:tcW w:w="660" w:type="dxa"/>
            <w:vAlign w:val="bottom"/>
          </w:tcPr>
          <w:p>
            <w:pPr>
              <w:jc w:val="center"/>
              <w:ind w:right="32"/>
              <w:spacing w:after="0" w:line="105" w:lineRule="exact"/>
              <w:rPr>
                <w:sz w:val="20"/>
                <w:szCs w:val="20"/>
                <w:color w:val="auto"/>
              </w:rPr>
            </w:pPr>
            <w:r>
              <w:rPr>
                <w:rFonts w:ascii="Arial" w:cs="Arial" w:eastAsia="Arial" w:hAnsi="Arial"/>
                <w:sz w:val="10"/>
                <w:szCs w:val="10"/>
                <w:b w:val="1"/>
                <w:bCs w:val="1"/>
                <w:color w:val="auto"/>
                <w:w w:val="97"/>
              </w:rPr>
              <w:t>22,587</w:t>
            </w:r>
          </w:p>
        </w:tc>
        <w:tc>
          <w:tcPr>
            <w:tcW w:w="74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0"/>
                <w:szCs w:val="10"/>
                <w:b w:val="1"/>
                <w:bCs w:val="1"/>
                <w:color w:val="auto"/>
                <w:w w:val="91"/>
              </w:rPr>
              <w:t>23,361</w:t>
            </w:r>
          </w:p>
        </w:tc>
        <w:tc>
          <w:tcPr>
            <w:tcW w:w="500" w:type="dxa"/>
            <w:vAlign w:val="bottom"/>
          </w:tcPr>
          <w:p>
            <w:pPr>
              <w:jc w:val="center"/>
              <w:ind w:left="152"/>
              <w:spacing w:after="0" w:line="105" w:lineRule="exact"/>
              <w:rPr>
                <w:sz w:val="20"/>
                <w:szCs w:val="20"/>
                <w:color w:val="auto"/>
              </w:rPr>
            </w:pPr>
            <w:r>
              <w:rPr>
                <w:rFonts w:ascii="Arial" w:cs="Arial" w:eastAsia="Arial" w:hAnsi="Arial"/>
                <w:sz w:val="10"/>
                <w:szCs w:val="10"/>
                <w:color w:val="auto"/>
                <w:w w:val="96"/>
              </w:rPr>
              <w:t>3.4%</w:t>
            </w:r>
          </w:p>
        </w:tc>
        <w:tc>
          <w:tcPr>
            <w:tcW w:w="960" w:type="dxa"/>
            <w:vAlign w:val="bottom"/>
            <w:tcBorders>
              <w:right w:val="single" w:sz="8" w:color="auto"/>
            </w:tcBorders>
            <w:gridSpan w:val="2"/>
          </w:tcPr>
          <w:p>
            <w:pPr>
              <w:jc w:val="center"/>
              <w:ind w:left="153"/>
              <w:spacing w:after="0" w:line="105" w:lineRule="exact"/>
              <w:rPr>
                <w:sz w:val="20"/>
                <w:szCs w:val="20"/>
                <w:color w:val="auto"/>
              </w:rPr>
            </w:pPr>
            <w:r>
              <w:rPr>
                <w:rFonts w:ascii="Arial" w:cs="Arial" w:eastAsia="Arial" w:hAnsi="Arial"/>
                <w:sz w:val="10"/>
                <w:szCs w:val="10"/>
                <w:color w:val="auto"/>
                <w:w w:val="91"/>
              </w:rPr>
              <w:t>-6.8%</w:t>
            </w:r>
          </w:p>
        </w:tc>
        <w:tc>
          <w:tcPr>
            <w:tcW w:w="72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95"/>
              </w:rPr>
              <w:t>7,589</w:t>
            </w:r>
          </w:p>
        </w:tc>
        <w:tc>
          <w:tcPr>
            <w:tcW w:w="72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95"/>
              </w:rPr>
              <w:t>7,611</w:t>
            </w:r>
          </w:p>
        </w:tc>
        <w:tc>
          <w:tcPr>
            <w:tcW w:w="74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0"/>
                <w:szCs w:val="10"/>
                <w:b w:val="1"/>
                <w:bCs w:val="1"/>
                <w:color w:val="auto"/>
                <w:w w:val="95"/>
              </w:rPr>
              <w:t>7,898</w:t>
            </w:r>
          </w:p>
        </w:tc>
        <w:tc>
          <w:tcPr>
            <w:tcW w:w="700" w:type="dxa"/>
            <w:vAlign w:val="bottom"/>
          </w:tcPr>
          <w:p>
            <w:pPr>
              <w:jc w:val="center"/>
              <w:spacing w:after="0" w:line="105" w:lineRule="exact"/>
              <w:rPr>
                <w:sz w:val="20"/>
                <w:szCs w:val="20"/>
                <w:color w:val="auto"/>
              </w:rPr>
            </w:pPr>
            <w:r>
              <w:rPr>
                <w:rFonts w:ascii="Arial" w:cs="Arial" w:eastAsia="Arial" w:hAnsi="Arial"/>
                <w:sz w:val="10"/>
                <w:szCs w:val="10"/>
                <w:color w:val="auto"/>
                <w:w w:val="96"/>
              </w:rPr>
              <w:t>3.8%</w:t>
            </w:r>
          </w:p>
        </w:tc>
        <w:tc>
          <w:tcPr>
            <w:tcW w:w="74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0"/>
                <w:szCs w:val="10"/>
                <w:color w:val="auto"/>
                <w:w w:val="96"/>
              </w:rPr>
              <w:t>4.1%</w:t>
            </w:r>
          </w:p>
        </w:tc>
        <w:tc>
          <w:tcPr>
            <w:tcW w:w="840" w:type="dxa"/>
            <w:vAlign w:val="bottom"/>
          </w:tcPr>
          <w:p>
            <w:pPr>
              <w:jc w:val="right"/>
              <w:ind w:right="253"/>
              <w:spacing w:after="0" w:line="105" w:lineRule="exact"/>
              <w:rPr>
                <w:sz w:val="20"/>
                <w:szCs w:val="20"/>
                <w:color w:val="auto"/>
              </w:rPr>
            </w:pPr>
            <w:r>
              <w:rPr>
                <w:rFonts w:ascii="Arial" w:cs="Arial" w:eastAsia="Arial" w:hAnsi="Arial"/>
                <w:sz w:val="10"/>
                <w:szCs w:val="10"/>
                <w:b w:val="1"/>
                <w:bCs w:val="1"/>
                <w:color w:val="auto"/>
              </w:rPr>
              <w:t>43.9%</w:t>
            </w:r>
          </w:p>
        </w:tc>
        <w:tc>
          <w:tcPr>
            <w:tcW w:w="500" w:type="dxa"/>
            <w:vAlign w:val="bottom"/>
            <w:tcBorders>
              <w:right w:val="single" w:sz="8" w:color="auto"/>
            </w:tcBorders>
          </w:tcPr>
          <w:p>
            <w:pPr>
              <w:jc w:val="center"/>
              <w:ind w:right="12"/>
              <w:spacing w:after="0" w:line="105" w:lineRule="exact"/>
              <w:rPr>
                <w:sz w:val="20"/>
                <w:szCs w:val="20"/>
                <w:color w:val="auto"/>
              </w:rPr>
            </w:pPr>
            <w:r>
              <w:rPr>
                <w:rFonts w:ascii="Arial" w:cs="Arial" w:eastAsia="Arial" w:hAnsi="Arial"/>
                <w:sz w:val="10"/>
                <w:szCs w:val="10"/>
                <w:b w:val="1"/>
                <w:bCs w:val="1"/>
                <w:color w:val="auto"/>
                <w:w w:val="98"/>
              </w:rPr>
              <w:t>56.1%</w:t>
            </w:r>
          </w:p>
        </w:tc>
        <w:tc>
          <w:tcPr>
            <w:tcW w:w="0" w:type="dxa"/>
            <w:vAlign w:val="bottom"/>
          </w:tcPr>
          <w:p>
            <w:pPr>
              <w:spacing w:after="0"/>
              <w:rPr>
                <w:sz w:val="1"/>
                <w:szCs w:val="1"/>
                <w:color w:val="auto"/>
              </w:rPr>
            </w:pPr>
          </w:p>
        </w:tc>
      </w:tr>
      <w:tr>
        <w:trPr>
          <w:trHeight w:val="115"/>
        </w:trPr>
        <w:tc>
          <w:tcPr>
            <w:tcW w:w="1800" w:type="dxa"/>
            <w:vAlign w:val="bottom"/>
            <w:tcBorders>
              <w:left w:val="single" w:sz="8" w:color="auto"/>
              <w:right w:val="single" w:sz="8" w:color="auto"/>
            </w:tcBorders>
          </w:tcPr>
          <w:p>
            <w:pPr>
              <w:ind w:left="300"/>
              <w:spacing w:after="0" w:line="103" w:lineRule="exact"/>
              <w:rPr>
                <w:sz w:val="20"/>
                <w:szCs w:val="20"/>
                <w:color w:val="auto"/>
              </w:rPr>
            </w:pPr>
            <w:r>
              <w:rPr>
                <w:rFonts w:ascii="Arial" w:cs="Arial" w:eastAsia="Arial" w:hAnsi="Arial"/>
                <w:sz w:val="10"/>
                <w:szCs w:val="10"/>
                <w:color w:val="auto"/>
              </w:rPr>
              <w:t>Corporate</w:t>
            </w:r>
          </w:p>
        </w:tc>
        <w:tc>
          <w:tcPr>
            <w:tcW w:w="780" w:type="dxa"/>
            <w:vAlign w:val="bottom"/>
          </w:tcPr>
          <w:p>
            <w:pPr>
              <w:jc w:val="center"/>
              <w:ind w:right="33"/>
              <w:spacing w:after="0" w:line="103" w:lineRule="exact"/>
              <w:rPr>
                <w:sz w:val="20"/>
                <w:szCs w:val="20"/>
                <w:color w:val="auto"/>
              </w:rPr>
            </w:pPr>
            <w:r>
              <w:rPr>
                <w:rFonts w:ascii="Arial" w:cs="Arial" w:eastAsia="Arial" w:hAnsi="Arial"/>
                <w:sz w:val="10"/>
                <w:szCs w:val="10"/>
                <w:color w:val="auto"/>
                <w:w w:val="97"/>
              </w:rPr>
              <w:t>15,267</w:t>
            </w:r>
          </w:p>
        </w:tc>
        <w:tc>
          <w:tcPr>
            <w:tcW w:w="660" w:type="dxa"/>
            <w:vAlign w:val="bottom"/>
          </w:tcPr>
          <w:p>
            <w:pPr>
              <w:jc w:val="center"/>
              <w:ind w:right="32"/>
              <w:spacing w:after="0" w:line="103" w:lineRule="exact"/>
              <w:rPr>
                <w:sz w:val="20"/>
                <w:szCs w:val="20"/>
                <w:color w:val="auto"/>
              </w:rPr>
            </w:pPr>
            <w:r>
              <w:rPr>
                <w:rFonts w:ascii="Arial" w:cs="Arial" w:eastAsia="Arial" w:hAnsi="Arial"/>
                <w:sz w:val="10"/>
                <w:szCs w:val="10"/>
                <w:color w:val="auto"/>
                <w:w w:val="97"/>
              </w:rPr>
              <w:t>13,126</w:t>
            </w:r>
          </w:p>
        </w:tc>
        <w:tc>
          <w:tcPr>
            <w:tcW w:w="7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1"/>
              </w:rPr>
              <w:t>14,201</w:t>
            </w:r>
          </w:p>
        </w:tc>
        <w:tc>
          <w:tcPr>
            <w:tcW w:w="500" w:type="dxa"/>
            <w:vAlign w:val="bottom"/>
            <w:shd w:val="clear" w:color="auto" w:fill="00B050"/>
          </w:tcPr>
          <w:p>
            <w:pPr>
              <w:jc w:val="center"/>
              <w:ind w:left="152"/>
              <w:spacing w:after="0" w:line="103" w:lineRule="exact"/>
              <w:rPr>
                <w:sz w:val="20"/>
                <w:szCs w:val="20"/>
                <w:color w:val="auto"/>
              </w:rPr>
            </w:pPr>
            <w:r>
              <w:rPr>
                <w:rFonts w:ascii="Arial" w:cs="Arial" w:eastAsia="Arial" w:hAnsi="Arial"/>
                <w:sz w:val="10"/>
                <w:szCs w:val="10"/>
                <w:color w:val="auto"/>
                <w:w w:val="96"/>
              </w:rPr>
              <w:t>8.2%</w:t>
            </w:r>
          </w:p>
        </w:tc>
        <w:tc>
          <w:tcPr>
            <w:tcW w:w="220" w:type="dxa"/>
            <w:vAlign w:val="bottom"/>
            <w:shd w:val="clear" w:color="auto" w:fill="00B050"/>
          </w:tcPr>
          <w:p>
            <w:pPr>
              <w:spacing w:after="0"/>
              <w:rPr>
                <w:sz w:val="10"/>
                <w:szCs w:val="10"/>
                <w:color w:val="auto"/>
              </w:rPr>
            </w:pPr>
          </w:p>
        </w:tc>
        <w:tc>
          <w:tcPr>
            <w:tcW w:w="740" w:type="dxa"/>
            <w:vAlign w:val="bottom"/>
            <w:tcBorders>
              <w:right w:val="single" w:sz="8" w:color="auto"/>
            </w:tcBorders>
            <w:shd w:val="clear" w:color="auto" w:fill="CC3399"/>
          </w:tcPr>
          <w:p>
            <w:pPr>
              <w:jc w:val="center"/>
              <w:spacing w:after="0" w:line="103" w:lineRule="exact"/>
              <w:rPr>
                <w:sz w:val="20"/>
                <w:szCs w:val="20"/>
                <w:color w:val="auto"/>
              </w:rPr>
            </w:pPr>
            <w:r>
              <w:rPr>
                <w:rFonts w:ascii="Arial" w:cs="Arial" w:eastAsia="Arial" w:hAnsi="Arial"/>
                <w:sz w:val="10"/>
                <w:szCs w:val="10"/>
                <w:color w:val="auto"/>
                <w:w w:val="91"/>
              </w:rPr>
              <w:t>-7.0%</w:t>
            </w:r>
          </w:p>
        </w:tc>
        <w:tc>
          <w:tcPr>
            <w:tcW w:w="720" w:type="dxa"/>
            <w:vAlign w:val="bottom"/>
          </w:tcPr>
          <w:p>
            <w:pPr>
              <w:jc w:val="center"/>
              <w:spacing w:after="0" w:line="103" w:lineRule="exact"/>
              <w:rPr>
                <w:sz w:val="20"/>
                <w:szCs w:val="20"/>
                <w:color w:val="auto"/>
              </w:rPr>
            </w:pPr>
            <w:r>
              <w:rPr>
                <w:rFonts w:ascii="Arial" w:cs="Arial" w:eastAsia="Arial" w:hAnsi="Arial"/>
                <w:sz w:val="10"/>
                <w:szCs w:val="10"/>
                <w:color w:val="auto"/>
                <w:w w:val="95"/>
              </w:rPr>
              <w:t>4,580</w:t>
            </w:r>
          </w:p>
        </w:tc>
        <w:tc>
          <w:tcPr>
            <w:tcW w:w="720" w:type="dxa"/>
            <w:vAlign w:val="bottom"/>
          </w:tcPr>
          <w:p>
            <w:pPr>
              <w:jc w:val="center"/>
              <w:spacing w:after="0" w:line="103" w:lineRule="exact"/>
              <w:rPr>
                <w:sz w:val="20"/>
                <w:szCs w:val="20"/>
                <w:color w:val="auto"/>
              </w:rPr>
            </w:pPr>
            <w:r>
              <w:rPr>
                <w:rFonts w:ascii="Arial" w:cs="Arial" w:eastAsia="Arial" w:hAnsi="Arial"/>
                <w:sz w:val="10"/>
                <w:szCs w:val="10"/>
                <w:color w:val="auto"/>
                <w:w w:val="95"/>
              </w:rPr>
              <w:t>4,393</w:t>
            </w:r>
          </w:p>
        </w:tc>
        <w:tc>
          <w:tcPr>
            <w:tcW w:w="7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5"/>
              </w:rPr>
              <w:t>4,687</w:t>
            </w:r>
          </w:p>
        </w:tc>
        <w:tc>
          <w:tcPr>
            <w:tcW w:w="700" w:type="dxa"/>
            <w:vAlign w:val="bottom"/>
            <w:shd w:val="clear" w:color="auto" w:fill="00B050"/>
          </w:tcPr>
          <w:p>
            <w:pPr>
              <w:jc w:val="center"/>
              <w:spacing w:after="0" w:line="103" w:lineRule="exact"/>
              <w:rPr>
                <w:sz w:val="20"/>
                <w:szCs w:val="20"/>
                <w:color w:val="auto"/>
              </w:rPr>
            </w:pPr>
            <w:r>
              <w:rPr>
                <w:rFonts w:ascii="Arial" w:cs="Arial" w:eastAsia="Arial" w:hAnsi="Arial"/>
                <w:sz w:val="10"/>
                <w:szCs w:val="10"/>
                <w:color w:val="auto"/>
                <w:w w:val="96"/>
              </w:rPr>
              <w:t>6.7%</w:t>
            </w:r>
          </w:p>
        </w:tc>
        <w:tc>
          <w:tcPr>
            <w:tcW w:w="740" w:type="dxa"/>
            <w:vAlign w:val="bottom"/>
            <w:tcBorders>
              <w:right w:val="single" w:sz="8" w:color="auto"/>
            </w:tcBorders>
            <w:shd w:val="clear" w:color="auto" w:fill="00B050"/>
          </w:tcPr>
          <w:p>
            <w:pPr>
              <w:jc w:val="center"/>
              <w:spacing w:after="0" w:line="103" w:lineRule="exact"/>
              <w:rPr>
                <w:sz w:val="20"/>
                <w:szCs w:val="20"/>
                <w:color w:val="auto"/>
              </w:rPr>
            </w:pPr>
            <w:r>
              <w:rPr>
                <w:rFonts w:ascii="Arial" w:cs="Arial" w:eastAsia="Arial" w:hAnsi="Arial"/>
                <w:sz w:val="10"/>
                <w:szCs w:val="10"/>
                <w:color w:val="auto"/>
                <w:w w:val="96"/>
              </w:rPr>
              <w:t>2.3%</w:t>
            </w:r>
          </w:p>
        </w:tc>
        <w:tc>
          <w:tcPr>
            <w:tcW w:w="840" w:type="dxa"/>
            <w:vAlign w:val="bottom"/>
          </w:tcPr>
          <w:p>
            <w:pPr>
              <w:jc w:val="right"/>
              <w:ind w:right="253"/>
              <w:spacing w:after="0" w:line="103" w:lineRule="exact"/>
              <w:rPr>
                <w:sz w:val="20"/>
                <w:szCs w:val="20"/>
                <w:color w:val="auto"/>
              </w:rPr>
            </w:pPr>
            <w:r>
              <w:rPr>
                <w:rFonts w:ascii="Arial" w:cs="Arial" w:eastAsia="Arial" w:hAnsi="Arial"/>
                <w:sz w:val="10"/>
                <w:szCs w:val="10"/>
                <w:color w:val="auto"/>
              </w:rPr>
              <w:t>44.5%</w:t>
            </w:r>
          </w:p>
        </w:tc>
        <w:tc>
          <w:tcPr>
            <w:tcW w:w="500" w:type="dxa"/>
            <w:vAlign w:val="bottom"/>
            <w:tcBorders>
              <w:right w:val="single" w:sz="8" w:color="auto"/>
            </w:tcBorders>
          </w:tcPr>
          <w:p>
            <w:pPr>
              <w:jc w:val="center"/>
              <w:ind w:right="12"/>
              <w:spacing w:after="0" w:line="103" w:lineRule="exact"/>
              <w:rPr>
                <w:sz w:val="20"/>
                <w:szCs w:val="20"/>
                <w:color w:val="auto"/>
              </w:rPr>
            </w:pPr>
            <w:r>
              <w:rPr>
                <w:rFonts w:ascii="Arial" w:cs="Arial" w:eastAsia="Arial" w:hAnsi="Arial"/>
                <w:sz w:val="10"/>
                <w:szCs w:val="10"/>
                <w:color w:val="auto"/>
                <w:w w:val="98"/>
              </w:rPr>
              <w:t>55.5%</w:t>
            </w:r>
          </w:p>
        </w:tc>
        <w:tc>
          <w:tcPr>
            <w:tcW w:w="0" w:type="dxa"/>
            <w:vAlign w:val="bottom"/>
          </w:tcPr>
          <w:p>
            <w:pPr>
              <w:spacing w:after="0"/>
              <w:rPr>
                <w:sz w:val="1"/>
                <w:szCs w:val="1"/>
                <w:color w:val="auto"/>
              </w:rPr>
            </w:pPr>
          </w:p>
        </w:tc>
      </w:tr>
      <w:tr>
        <w:trPr>
          <w:trHeight w:val="103"/>
        </w:trPr>
        <w:tc>
          <w:tcPr>
            <w:tcW w:w="1800" w:type="dxa"/>
            <w:vAlign w:val="bottom"/>
            <w:tcBorders>
              <w:left w:val="single" w:sz="8" w:color="auto"/>
              <w:right w:val="single" w:sz="8" w:color="auto"/>
            </w:tcBorders>
          </w:tcPr>
          <w:p>
            <w:pPr>
              <w:ind w:left="300"/>
              <w:spacing w:after="0" w:line="101" w:lineRule="exact"/>
              <w:rPr>
                <w:sz w:val="20"/>
                <w:szCs w:val="20"/>
                <w:color w:val="auto"/>
              </w:rPr>
            </w:pPr>
            <w:r>
              <w:rPr>
                <w:rFonts w:ascii="Arial" w:cs="Arial" w:eastAsia="Arial" w:hAnsi="Arial"/>
                <w:sz w:val="10"/>
                <w:szCs w:val="10"/>
                <w:color w:val="auto"/>
              </w:rPr>
              <w:t>Middle-Market</w:t>
            </w:r>
          </w:p>
        </w:tc>
        <w:tc>
          <w:tcPr>
            <w:tcW w:w="780" w:type="dxa"/>
            <w:vAlign w:val="bottom"/>
          </w:tcPr>
          <w:p>
            <w:pPr>
              <w:jc w:val="center"/>
              <w:ind w:right="53"/>
              <w:spacing w:after="0" w:line="101" w:lineRule="exact"/>
              <w:rPr>
                <w:sz w:val="20"/>
                <w:szCs w:val="20"/>
                <w:color w:val="auto"/>
              </w:rPr>
            </w:pPr>
            <w:r>
              <w:rPr>
                <w:rFonts w:ascii="Arial" w:cs="Arial" w:eastAsia="Arial" w:hAnsi="Arial"/>
                <w:sz w:val="10"/>
                <w:szCs w:val="10"/>
                <w:color w:val="auto"/>
                <w:w w:val="95"/>
              </w:rPr>
              <w:t>9,795</w:t>
            </w:r>
          </w:p>
        </w:tc>
        <w:tc>
          <w:tcPr>
            <w:tcW w:w="660" w:type="dxa"/>
            <w:vAlign w:val="bottom"/>
          </w:tcPr>
          <w:p>
            <w:pPr>
              <w:jc w:val="center"/>
              <w:ind w:right="12"/>
              <w:spacing w:after="0" w:line="101" w:lineRule="exact"/>
              <w:rPr>
                <w:sz w:val="20"/>
                <w:szCs w:val="20"/>
                <w:color w:val="auto"/>
              </w:rPr>
            </w:pPr>
            <w:r>
              <w:rPr>
                <w:rFonts w:ascii="Arial" w:cs="Arial" w:eastAsia="Arial" w:hAnsi="Arial"/>
                <w:sz w:val="10"/>
                <w:szCs w:val="10"/>
                <w:color w:val="auto"/>
                <w:w w:val="95"/>
              </w:rPr>
              <w:t>9,462</w:t>
            </w:r>
          </w:p>
        </w:tc>
        <w:tc>
          <w:tcPr>
            <w:tcW w:w="74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color w:val="auto"/>
                <w:w w:val="95"/>
              </w:rPr>
              <w:t>9,161</w:t>
            </w:r>
          </w:p>
        </w:tc>
        <w:tc>
          <w:tcPr>
            <w:tcW w:w="500" w:type="dxa"/>
            <w:vAlign w:val="bottom"/>
            <w:shd w:val="clear" w:color="auto" w:fill="CC3399"/>
          </w:tcPr>
          <w:p>
            <w:pPr>
              <w:jc w:val="center"/>
              <w:ind w:left="172"/>
              <w:spacing w:after="0" w:line="89" w:lineRule="exact"/>
              <w:rPr>
                <w:sz w:val="20"/>
                <w:szCs w:val="20"/>
                <w:color w:val="auto"/>
              </w:rPr>
            </w:pPr>
            <w:r>
              <w:rPr>
                <w:rFonts w:ascii="Arial" w:cs="Arial" w:eastAsia="Arial" w:hAnsi="Arial"/>
                <w:sz w:val="10"/>
                <w:szCs w:val="10"/>
                <w:color w:val="auto"/>
                <w:w w:val="91"/>
              </w:rPr>
              <w:t>-3.2%</w:t>
            </w:r>
          </w:p>
        </w:tc>
        <w:tc>
          <w:tcPr>
            <w:tcW w:w="220" w:type="dxa"/>
            <w:vAlign w:val="bottom"/>
            <w:shd w:val="clear" w:color="auto" w:fill="CC3399"/>
          </w:tcPr>
          <w:p>
            <w:pPr>
              <w:spacing w:after="0"/>
              <w:rPr>
                <w:sz w:val="8"/>
                <w:szCs w:val="8"/>
                <w:color w:val="auto"/>
              </w:rPr>
            </w:pPr>
          </w:p>
        </w:tc>
        <w:tc>
          <w:tcPr>
            <w:tcW w:w="740" w:type="dxa"/>
            <w:vAlign w:val="bottom"/>
            <w:tcBorders>
              <w:right w:val="single" w:sz="8" w:color="auto"/>
            </w:tcBorders>
            <w:shd w:val="clear" w:color="auto" w:fill="CC3399"/>
          </w:tcPr>
          <w:p>
            <w:pPr>
              <w:jc w:val="center"/>
              <w:spacing w:after="0" w:line="101" w:lineRule="exact"/>
              <w:rPr>
                <w:sz w:val="20"/>
                <w:szCs w:val="20"/>
                <w:color w:val="auto"/>
              </w:rPr>
            </w:pPr>
            <w:r>
              <w:rPr>
                <w:rFonts w:ascii="Arial" w:cs="Arial" w:eastAsia="Arial" w:hAnsi="Arial"/>
                <w:sz w:val="10"/>
                <w:szCs w:val="10"/>
                <w:color w:val="auto"/>
                <w:w w:val="91"/>
              </w:rPr>
              <w:t>-6.5%</w:t>
            </w:r>
          </w:p>
        </w:tc>
        <w:tc>
          <w:tcPr>
            <w:tcW w:w="720" w:type="dxa"/>
            <w:vAlign w:val="bottom"/>
          </w:tcPr>
          <w:p>
            <w:pPr>
              <w:jc w:val="center"/>
              <w:spacing w:after="0" w:line="101" w:lineRule="exact"/>
              <w:rPr>
                <w:sz w:val="20"/>
                <w:szCs w:val="20"/>
                <w:color w:val="auto"/>
              </w:rPr>
            </w:pPr>
            <w:r>
              <w:rPr>
                <w:rFonts w:ascii="Arial" w:cs="Arial" w:eastAsia="Arial" w:hAnsi="Arial"/>
                <w:sz w:val="10"/>
                <w:szCs w:val="10"/>
                <w:color w:val="auto"/>
                <w:w w:val="95"/>
              </w:rPr>
              <w:t>3,009</w:t>
            </w:r>
          </w:p>
        </w:tc>
        <w:tc>
          <w:tcPr>
            <w:tcW w:w="720" w:type="dxa"/>
            <w:vAlign w:val="bottom"/>
          </w:tcPr>
          <w:p>
            <w:pPr>
              <w:jc w:val="center"/>
              <w:spacing w:after="0" w:line="101" w:lineRule="exact"/>
              <w:rPr>
                <w:sz w:val="20"/>
                <w:szCs w:val="20"/>
                <w:color w:val="auto"/>
              </w:rPr>
            </w:pPr>
            <w:r>
              <w:rPr>
                <w:rFonts w:ascii="Arial" w:cs="Arial" w:eastAsia="Arial" w:hAnsi="Arial"/>
                <w:sz w:val="10"/>
                <w:szCs w:val="10"/>
                <w:color w:val="auto"/>
                <w:w w:val="95"/>
              </w:rPr>
              <w:t>3,218</w:t>
            </w:r>
          </w:p>
        </w:tc>
        <w:tc>
          <w:tcPr>
            <w:tcW w:w="74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color w:val="auto"/>
                <w:w w:val="95"/>
              </w:rPr>
              <w:t>3,211</w:t>
            </w:r>
          </w:p>
        </w:tc>
        <w:tc>
          <w:tcPr>
            <w:tcW w:w="700" w:type="dxa"/>
            <w:vAlign w:val="bottom"/>
          </w:tcPr>
          <w:p>
            <w:pPr>
              <w:jc w:val="center"/>
              <w:spacing w:after="0" w:line="89" w:lineRule="exact"/>
              <w:rPr>
                <w:sz w:val="20"/>
                <w:szCs w:val="20"/>
                <w:color w:val="auto"/>
              </w:rPr>
            </w:pPr>
            <w:r>
              <w:rPr>
                <w:rFonts w:ascii="Arial" w:cs="Arial" w:eastAsia="Arial" w:hAnsi="Arial"/>
                <w:sz w:val="10"/>
                <w:szCs w:val="10"/>
                <w:color w:val="auto"/>
                <w:w w:val="91"/>
              </w:rPr>
              <w:t>-0.2%</w:t>
            </w:r>
          </w:p>
        </w:tc>
        <w:tc>
          <w:tcPr>
            <w:tcW w:w="740" w:type="dxa"/>
            <w:vAlign w:val="bottom"/>
            <w:tcBorders>
              <w:right w:val="single" w:sz="8" w:color="auto"/>
            </w:tcBorders>
            <w:shd w:val="clear" w:color="auto" w:fill="00B050"/>
          </w:tcPr>
          <w:p>
            <w:pPr>
              <w:jc w:val="center"/>
              <w:spacing w:after="0" w:line="101" w:lineRule="exact"/>
              <w:rPr>
                <w:sz w:val="20"/>
                <w:szCs w:val="20"/>
                <w:color w:val="auto"/>
              </w:rPr>
            </w:pPr>
            <w:r>
              <w:rPr>
                <w:rFonts w:ascii="Arial" w:cs="Arial" w:eastAsia="Arial" w:hAnsi="Arial"/>
                <w:sz w:val="10"/>
                <w:szCs w:val="10"/>
                <w:color w:val="auto"/>
                <w:w w:val="96"/>
              </w:rPr>
              <w:t>6.7%</w:t>
            </w:r>
          </w:p>
        </w:tc>
        <w:tc>
          <w:tcPr>
            <w:tcW w:w="840" w:type="dxa"/>
            <w:vAlign w:val="bottom"/>
          </w:tcPr>
          <w:p>
            <w:pPr>
              <w:jc w:val="right"/>
              <w:ind w:right="253"/>
              <w:spacing w:after="0" w:line="101" w:lineRule="exact"/>
              <w:rPr>
                <w:sz w:val="20"/>
                <w:szCs w:val="20"/>
                <w:color w:val="auto"/>
              </w:rPr>
            </w:pPr>
            <w:r>
              <w:rPr>
                <w:rFonts w:ascii="Arial" w:cs="Arial" w:eastAsia="Arial" w:hAnsi="Arial"/>
                <w:sz w:val="10"/>
                <w:szCs w:val="10"/>
                <w:color w:val="auto"/>
              </w:rPr>
              <w:t>43.1%</w:t>
            </w:r>
          </w:p>
        </w:tc>
        <w:tc>
          <w:tcPr>
            <w:tcW w:w="500" w:type="dxa"/>
            <w:vAlign w:val="bottom"/>
            <w:tcBorders>
              <w:right w:val="single" w:sz="8" w:color="auto"/>
            </w:tcBorders>
          </w:tcPr>
          <w:p>
            <w:pPr>
              <w:jc w:val="center"/>
              <w:ind w:right="12"/>
              <w:spacing w:after="0" w:line="101" w:lineRule="exact"/>
              <w:rPr>
                <w:sz w:val="20"/>
                <w:szCs w:val="20"/>
                <w:color w:val="auto"/>
              </w:rPr>
            </w:pPr>
            <w:r>
              <w:rPr>
                <w:rFonts w:ascii="Arial" w:cs="Arial" w:eastAsia="Arial" w:hAnsi="Arial"/>
                <w:sz w:val="10"/>
                <w:szCs w:val="10"/>
                <w:color w:val="auto"/>
                <w:w w:val="98"/>
              </w:rPr>
              <w:t>56.9%</w:t>
            </w:r>
          </w:p>
        </w:tc>
        <w:tc>
          <w:tcPr>
            <w:tcW w:w="0" w:type="dxa"/>
            <w:vAlign w:val="bottom"/>
          </w:tcPr>
          <w:p>
            <w:pPr>
              <w:spacing w:after="0"/>
              <w:rPr>
                <w:sz w:val="1"/>
                <w:szCs w:val="1"/>
                <w:color w:val="auto"/>
              </w:rPr>
            </w:pPr>
          </w:p>
        </w:tc>
      </w:tr>
      <w:tr>
        <w:trPr>
          <w:trHeight w:val="90"/>
        </w:trPr>
        <w:tc>
          <w:tcPr>
            <w:tcW w:w="1800" w:type="dxa"/>
            <w:vAlign w:val="bottom"/>
            <w:tcBorders>
              <w:left w:val="single" w:sz="8" w:color="auto"/>
              <w:right w:val="single" w:sz="8" w:color="auto"/>
            </w:tcBorders>
          </w:tcPr>
          <w:p>
            <w:pPr>
              <w:ind w:left="220"/>
              <w:spacing w:after="0" w:line="91" w:lineRule="exact"/>
              <w:rPr>
                <w:sz w:val="20"/>
                <w:szCs w:val="20"/>
                <w:color w:val="auto"/>
              </w:rPr>
            </w:pPr>
            <w:r>
              <w:rPr>
                <w:rFonts w:ascii="Arial" w:cs="Arial" w:eastAsia="Arial" w:hAnsi="Arial"/>
                <w:sz w:val="10"/>
                <w:szCs w:val="10"/>
                <w:b w:val="1"/>
                <w:bCs w:val="1"/>
                <w:color w:val="auto"/>
              </w:rPr>
              <w:t>Retail Banking</w:t>
            </w:r>
          </w:p>
        </w:tc>
        <w:tc>
          <w:tcPr>
            <w:tcW w:w="780" w:type="dxa"/>
            <w:vAlign w:val="bottom"/>
          </w:tcPr>
          <w:p>
            <w:pPr>
              <w:jc w:val="center"/>
              <w:ind w:right="33"/>
              <w:spacing w:after="0" w:line="91" w:lineRule="exact"/>
              <w:rPr>
                <w:sz w:val="20"/>
                <w:szCs w:val="20"/>
                <w:color w:val="auto"/>
              </w:rPr>
            </w:pPr>
            <w:r>
              <w:rPr>
                <w:rFonts w:ascii="Arial" w:cs="Arial" w:eastAsia="Arial" w:hAnsi="Arial"/>
                <w:sz w:val="10"/>
                <w:szCs w:val="10"/>
                <w:b w:val="1"/>
                <w:bCs w:val="1"/>
                <w:color w:val="auto"/>
                <w:w w:val="97"/>
              </w:rPr>
              <w:t>55,498</w:t>
            </w:r>
          </w:p>
        </w:tc>
        <w:tc>
          <w:tcPr>
            <w:tcW w:w="660" w:type="dxa"/>
            <w:vAlign w:val="bottom"/>
          </w:tcPr>
          <w:p>
            <w:pPr>
              <w:jc w:val="center"/>
              <w:ind w:right="32"/>
              <w:spacing w:after="0" w:line="91" w:lineRule="exact"/>
              <w:rPr>
                <w:sz w:val="20"/>
                <w:szCs w:val="20"/>
                <w:color w:val="auto"/>
              </w:rPr>
            </w:pPr>
            <w:r>
              <w:rPr>
                <w:rFonts w:ascii="Arial" w:cs="Arial" w:eastAsia="Arial" w:hAnsi="Arial"/>
                <w:sz w:val="10"/>
                <w:szCs w:val="10"/>
                <w:b w:val="1"/>
                <w:bCs w:val="1"/>
                <w:color w:val="auto"/>
                <w:w w:val="97"/>
              </w:rPr>
              <w:t>55,633</w:t>
            </w:r>
          </w:p>
        </w:tc>
        <w:tc>
          <w:tcPr>
            <w:tcW w:w="740" w:type="dxa"/>
            <w:vAlign w:val="bottom"/>
            <w:tcBorders>
              <w:right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91"/>
              </w:rPr>
              <w:t>55,793</w:t>
            </w:r>
          </w:p>
        </w:tc>
        <w:tc>
          <w:tcPr>
            <w:tcW w:w="500" w:type="dxa"/>
            <w:vAlign w:val="bottom"/>
          </w:tcPr>
          <w:p>
            <w:pPr>
              <w:jc w:val="center"/>
              <w:ind w:left="152"/>
              <w:spacing w:after="0" w:line="91" w:lineRule="exact"/>
              <w:rPr>
                <w:sz w:val="20"/>
                <w:szCs w:val="20"/>
                <w:color w:val="auto"/>
              </w:rPr>
            </w:pPr>
            <w:r>
              <w:rPr>
                <w:rFonts w:ascii="Arial" w:cs="Arial" w:eastAsia="Arial" w:hAnsi="Arial"/>
                <w:sz w:val="10"/>
                <w:szCs w:val="10"/>
                <w:color w:val="auto"/>
                <w:w w:val="96"/>
              </w:rPr>
              <w:t>0.3%</w:t>
            </w:r>
          </w:p>
        </w:tc>
        <w:tc>
          <w:tcPr>
            <w:tcW w:w="220" w:type="dxa"/>
            <w:vAlign w:val="bottom"/>
          </w:tcPr>
          <w:p>
            <w:pPr>
              <w:spacing w:after="0"/>
              <w:rPr>
                <w:sz w:val="7"/>
                <w:szCs w:val="7"/>
                <w:color w:val="auto"/>
              </w:rPr>
            </w:pPr>
          </w:p>
        </w:tc>
        <w:tc>
          <w:tcPr>
            <w:tcW w:w="740" w:type="dxa"/>
            <w:vAlign w:val="bottom"/>
            <w:tcBorders>
              <w:right w:val="single" w:sz="8" w:color="auto"/>
            </w:tcBorders>
          </w:tcPr>
          <w:p>
            <w:pPr>
              <w:jc w:val="center"/>
              <w:spacing w:after="0" w:line="91" w:lineRule="exact"/>
              <w:rPr>
                <w:sz w:val="20"/>
                <w:szCs w:val="20"/>
                <w:color w:val="auto"/>
              </w:rPr>
            </w:pPr>
            <w:r>
              <w:rPr>
                <w:rFonts w:ascii="Arial" w:cs="Arial" w:eastAsia="Arial" w:hAnsi="Arial"/>
                <w:sz w:val="10"/>
                <w:szCs w:val="10"/>
                <w:color w:val="auto"/>
                <w:w w:val="96"/>
              </w:rPr>
              <w:t>0.5%</w:t>
            </w:r>
          </w:p>
        </w:tc>
        <w:tc>
          <w:tcPr>
            <w:tcW w:w="72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95"/>
              </w:rPr>
              <w:t>1,996</w:t>
            </w:r>
          </w:p>
        </w:tc>
        <w:tc>
          <w:tcPr>
            <w:tcW w:w="720" w:type="dxa"/>
            <w:vAlign w:val="bottom"/>
          </w:tcPr>
          <w:p>
            <w:pPr>
              <w:jc w:val="center"/>
              <w:spacing w:after="0" w:line="91" w:lineRule="exact"/>
              <w:rPr>
                <w:sz w:val="20"/>
                <w:szCs w:val="20"/>
                <w:color w:val="auto"/>
              </w:rPr>
            </w:pPr>
            <w:r>
              <w:rPr>
                <w:rFonts w:ascii="Arial" w:cs="Arial" w:eastAsia="Arial" w:hAnsi="Arial"/>
                <w:sz w:val="10"/>
                <w:szCs w:val="10"/>
                <w:b w:val="1"/>
                <w:bCs w:val="1"/>
                <w:color w:val="auto"/>
                <w:w w:val="95"/>
              </w:rPr>
              <w:t>1,987</w:t>
            </w:r>
          </w:p>
        </w:tc>
        <w:tc>
          <w:tcPr>
            <w:tcW w:w="740" w:type="dxa"/>
            <w:vAlign w:val="bottom"/>
            <w:tcBorders>
              <w:right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95"/>
              </w:rPr>
              <w:t>1,988</w:t>
            </w:r>
          </w:p>
        </w:tc>
        <w:tc>
          <w:tcPr>
            <w:tcW w:w="700" w:type="dxa"/>
            <w:vAlign w:val="bottom"/>
          </w:tcPr>
          <w:p>
            <w:pPr>
              <w:jc w:val="center"/>
              <w:spacing w:after="0" w:line="91" w:lineRule="exact"/>
              <w:rPr>
                <w:sz w:val="20"/>
                <w:szCs w:val="20"/>
                <w:color w:val="auto"/>
              </w:rPr>
            </w:pPr>
            <w:r>
              <w:rPr>
                <w:rFonts w:ascii="Arial" w:cs="Arial" w:eastAsia="Arial" w:hAnsi="Arial"/>
                <w:sz w:val="10"/>
                <w:szCs w:val="10"/>
                <w:color w:val="auto"/>
                <w:w w:val="96"/>
              </w:rPr>
              <w:t>0.1%</w:t>
            </w:r>
          </w:p>
        </w:tc>
        <w:tc>
          <w:tcPr>
            <w:tcW w:w="740" w:type="dxa"/>
            <w:vAlign w:val="bottom"/>
            <w:tcBorders>
              <w:right w:val="single" w:sz="8" w:color="auto"/>
            </w:tcBorders>
          </w:tcPr>
          <w:p>
            <w:pPr>
              <w:jc w:val="center"/>
              <w:spacing w:after="0" w:line="91" w:lineRule="exact"/>
              <w:rPr>
                <w:sz w:val="20"/>
                <w:szCs w:val="20"/>
                <w:color w:val="auto"/>
              </w:rPr>
            </w:pPr>
            <w:r>
              <w:rPr>
                <w:rFonts w:ascii="Arial" w:cs="Arial" w:eastAsia="Arial" w:hAnsi="Arial"/>
                <w:sz w:val="10"/>
                <w:szCs w:val="10"/>
                <w:color w:val="auto"/>
                <w:w w:val="91"/>
              </w:rPr>
              <w:t>-0.4%</w:t>
            </w:r>
          </w:p>
        </w:tc>
        <w:tc>
          <w:tcPr>
            <w:tcW w:w="840" w:type="dxa"/>
            <w:vAlign w:val="bottom"/>
          </w:tcPr>
          <w:p>
            <w:pPr>
              <w:jc w:val="right"/>
              <w:ind w:right="253"/>
              <w:spacing w:after="0" w:line="91" w:lineRule="exact"/>
              <w:rPr>
                <w:sz w:val="20"/>
                <w:szCs w:val="20"/>
                <w:color w:val="auto"/>
              </w:rPr>
            </w:pPr>
            <w:r>
              <w:rPr>
                <w:rFonts w:ascii="Arial" w:cs="Arial" w:eastAsia="Arial" w:hAnsi="Arial"/>
                <w:sz w:val="10"/>
                <w:szCs w:val="10"/>
                <w:b w:val="1"/>
                <w:bCs w:val="1"/>
                <w:color w:val="auto"/>
              </w:rPr>
              <w:t>88.2%</w:t>
            </w:r>
          </w:p>
        </w:tc>
        <w:tc>
          <w:tcPr>
            <w:tcW w:w="500" w:type="dxa"/>
            <w:vAlign w:val="bottom"/>
            <w:tcBorders>
              <w:right w:val="single" w:sz="8" w:color="auto"/>
            </w:tcBorders>
          </w:tcPr>
          <w:p>
            <w:pPr>
              <w:jc w:val="center"/>
              <w:ind w:right="12"/>
              <w:spacing w:after="0" w:line="91" w:lineRule="exact"/>
              <w:rPr>
                <w:sz w:val="20"/>
                <w:szCs w:val="20"/>
                <w:color w:val="auto"/>
              </w:rPr>
            </w:pPr>
            <w:r>
              <w:rPr>
                <w:rFonts w:ascii="Arial" w:cs="Arial" w:eastAsia="Arial" w:hAnsi="Arial"/>
                <w:sz w:val="10"/>
                <w:szCs w:val="10"/>
                <w:b w:val="1"/>
                <w:bCs w:val="1"/>
                <w:color w:val="auto"/>
                <w:w w:val="98"/>
              </w:rPr>
              <w:t>11.8%</w:t>
            </w:r>
          </w:p>
        </w:tc>
        <w:tc>
          <w:tcPr>
            <w:tcW w:w="0" w:type="dxa"/>
            <w:vAlign w:val="bottom"/>
          </w:tcPr>
          <w:p>
            <w:pPr>
              <w:spacing w:after="0"/>
              <w:rPr>
                <w:sz w:val="1"/>
                <w:szCs w:val="1"/>
                <w:color w:val="auto"/>
              </w:rPr>
            </w:pPr>
          </w:p>
        </w:tc>
      </w:tr>
      <w:tr>
        <w:trPr>
          <w:trHeight w:val="115"/>
        </w:trPr>
        <w:tc>
          <w:tcPr>
            <w:tcW w:w="1800" w:type="dxa"/>
            <w:vAlign w:val="bottom"/>
            <w:tcBorders>
              <w:left w:val="single" w:sz="8" w:color="auto"/>
              <w:right w:val="single" w:sz="8" w:color="auto"/>
            </w:tcBorders>
          </w:tcPr>
          <w:p>
            <w:pPr>
              <w:ind w:left="300"/>
              <w:spacing w:after="0" w:line="103" w:lineRule="exact"/>
              <w:rPr>
                <w:sz w:val="20"/>
                <w:szCs w:val="20"/>
                <w:color w:val="auto"/>
              </w:rPr>
            </w:pPr>
            <w:r>
              <w:rPr>
                <w:rFonts w:ascii="Arial" w:cs="Arial" w:eastAsia="Arial" w:hAnsi="Arial"/>
                <w:sz w:val="10"/>
                <w:szCs w:val="10"/>
                <w:color w:val="auto"/>
              </w:rPr>
              <w:t>SME - Business</w:t>
            </w:r>
          </w:p>
        </w:tc>
        <w:tc>
          <w:tcPr>
            <w:tcW w:w="780" w:type="dxa"/>
            <w:vAlign w:val="bottom"/>
          </w:tcPr>
          <w:p>
            <w:pPr>
              <w:jc w:val="center"/>
              <w:ind w:right="53"/>
              <w:spacing w:after="0" w:line="103" w:lineRule="exact"/>
              <w:rPr>
                <w:sz w:val="20"/>
                <w:szCs w:val="20"/>
                <w:color w:val="auto"/>
              </w:rPr>
            </w:pPr>
            <w:r>
              <w:rPr>
                <w:rFonts w:ascii="Arial" w:cs="Arial" w:eastAsia="Arial" w:hAnsi="Arial"/>
                <w:sz w:val="10"/>
                <w:szCs w:val="10"/>
                <w:color w:val="auto"/>
                <w:w w:val="95"/>
              </w:rPr>
              <w:t>4,486</w:t>
            </w:r>
          </w:p>
        </w:tc>
        <w:tc>
          <w:tcPr>
            <w:tcW w:w="660" w:type="dxa"/>
            <w:vAlign w:val="bottom"/>
          </w:tcPr>
          <w:p>
            <w:pPr>
              <w:jc w:val="center"/>
              <w:ind w:right="12"/>
              <w:spacing w:after="0" w:line="103" w:lineRule="exact"/>
              <w:rPr>
                <w:sz w:val="20"/>
                <w:szCs w:val="20"/>
                <w:color w:val="auto"/>
              </w:rPr>
            </w:pPr>
            <w:r>
              <w:rPr>
                <w:rFonts w:ascii="Arial" w:cs="Arial" w:eastAsia="Arial" w:hAnsi="Arial"/>
                <w:sz w:val="10"/>
                <w:szCs w:val="10"/>
                <w:color w:val="auto"/>
                <w:w w:val="95"/>
              </w:rPr>
              <w:t>4,051</w:t>
            </w:r>
          </w:p>
        </w:tc>
        <w:tc>
          <w:tcPr>
            <w:tcW w:w="7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5"/>
              </w:rPr>
              <w:t>4,286</w:t>
            </w:r>
          </w:p>
        </w:tc>
        <w:tc>
          <w:tcPr>
            <w:tcW w:w="500" w:type="dxa"/>
            <w:vAlign w:val="bottom"/>
            <w:shd w:val="clear" w:color="auto" w:fill="00B050"/>
          </w:tcPr>
          <w:p>
            <w:pPr>
              <w:jc w:val="center"/>
              <w:ind w:left="152"/>
              <w:spacing w:after="0" w:line="103" w:lineRule="exact"/>
              <w:rPr>
                <w:sz w:val="20"/>
                <w:szCs w:val="20"/>
                <w:color w:val="auto"/>
              </w:rPr>
            </w:pPr>
            <w:r>
              <w:rPr>
                <w:rFonts w:ascii="Arial" w:cs="Arial" w:eastAsia="Arial" w:hAnsi="Arial"/>
                <w:sz w:val="10"/>
                <w:szCs w:val="10"/>
                <w:color w:val="auto"/>
                <w:w w:val="96"/>
              </w:rPr>
              <w:t>5.8%</w:t>
            </w:r>
          </w:p>
        </w:tc>
        <w:tc>
          <w:tcPr>
            <w:tcW w:w="220" w:type="dxa"/>
            <w:vAlign w:val="bottom"/>
            <w:shd w:val="clear" w:color="auto" w:fill="00B050"/>
          </w:tcPr>
          <w:p>
            <w:pPr>
              <w:spacing w:after="0"/>
              <w:rPr>
                <w:sz w:val="10"/>
                <w:szCs w:val="10"/>
                <w:color w:val="auto"/>
              </w:rPr>
            </w:pPr>
          </w:p>
        </w:tc>
        <w:tc>
          <w:tcPr>
            <w:tcW w:w="740" w:type="dxa"/>
            <w:vAlign w:val="bottom"/>
            <w:tcBorders>
              <w:right w:val="single" w:sz="8" w:color="auto"/>
            </w:tcBorders>
            <w:shd w:val="clear" w:color="auto" w:fill="CC3399"/>
          </w:tcPr>
          <w:p>
            <w:pPr>
              <w:jc w:val="center"/>
              <w:spacing w:after="0" w:line="103" w:lineRule="exact"/>
              <w:rPr>
                <w:sz w:val="20"/>
                <w:szCs w:val="20"/>
                <w:color w:val="auto"/>
              </w:rPr>
            </w:pPr>
            <w:r>
              <w:rPr>
                <w:rFonts w:ascii="Arial" w:cs="Arial" w:eastAsia="Arial" w:hAnsi="Arial"/>
                <w:sz w:val="10"/>
                <w:szCs w:val="10"/>
                <w:color w:val="auto"/>
                <w:w w:val="91"/>
              </w:rPr>
              <w:t>-4.5%</w:t>
            </w:r>
          </w:p>
        </w:tc>
        <w:tc>
          <w:tcPr>
            <w:tcW w:w="720" w:type="dxa"/>
            <w:vAlign w:val="bottom"/>
          </w:tcPr>
          <w:p>
            <w:pPr>
              <w:jc w:val="center"/>
              <w:spacing w:after="0" w:line="103" w:lineRule="exact"/>
              <w:rPr>
                <w:sz w:val="20"/>
                <w:szCs w:val="20"/>
                <w:color w:val="auto"/>
              </w:rPr>
            </w:pPr>
            <w:r>
              <w:rPr>
                <w:rFonts w:ascii="Arial" w:cs="Arial" w:eastAsia="Arial" w:hAnsi="Arial"/>
                <w:sz w:val="10"/>
                <w:szCs w:val="10"/>
                <w:color w:val="auto"/>
                <w:w w:val="95"/>
              </w:rPr>
              <w:t>799</w:t>
            </w:r>
          </w:p>
        </w:tc>
        <w:tc>
          <w:tcPr>
            <w:tcW w:w="720" w:type="dxa"/>
            <w:vAlign w:val="bottom"/>
          </w:tcPr>
          <w:p>
            <w:pPr>
              <w:jc w:val="center"/>
              <w:spacing w:after="0" w:line="103" w:lineRule="exact"/>
              <w:rPr>
                <w:sz w:val="20"/>
                <w:szCs w:val="20"/>
                <w:color w:val="auto"/>
              </w:rPr>
            </w:pPr>
            <w:r>
              <w:rPr>
                <w:rFonts w:ascii="Arial" w:cs="Arial" w:eastAsia="Arial" w:hAnsi="Arial"/>
                <w:sz w:val="10"/>
                <w:szCs w:val="10"/>
                <w:color w:val="auto"/>
                <w:w w:val="95"/>
              </w:rPr>
              <w:t>749</w:t>
            </w:r>
          </w:p>
        </w:tc>
        <w:tc>
          <w:tcPr>
            <w:tcW w:w="7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5"/>
              </w:rPr>
              <w:t>752</w:t>
            </w:r>
          </w:p>
        </w:tc>
        <w:tc>
          <w:tcPr>
            <w:tcW w:w="700" w:type="dxa"/>
            <w:vAlign w:val="bottom"/>
          </w:tcPr>
          <w:p>
            <w:pPr>
              <w:jc w:val="center"/>
              <w:spacing w:after="0" w:line="103" w:lineRule="exact"/>
              <w:rPr>
                <w:sz w:val="20"/>
                <w:szCs w:val="20"/>
                <w:color w:val="auto"/>
              </w:rPr>
            </w:pPr>
            <w:r>
              <w:rPr>
                <w:rFonts w:ascii="Arial" w:cs="Arial" w:eastAsia="Arial" w:hAnsi="Arial"/>
                <w:sz w:val="10"/>
                <w:szCs w:val="10"/>
                <w:color w:val="auto"/>
                <w:w w:val="96"/>
              </w:rPr>
              <w:t>0.4%</w:t>
            </w:r>
          </w:p>
        </w:tc>
        <w:tc>
          <w:tcPr>
            <w:tcW w:w="7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1"/>
              </w:rPr>
              <w:t>-5.9%</w:t>
            </w:r>
          </w:p>
        </w:tc>
        <w:tc>
          <w:tcPr>
            <w:tcW w:w="840" w:type="dxa"/>
            <w:vAlign w:val="bottom"/>
          </w:tcPr>
          <w:p>
            <w:pPr>
              <w:jc w:val="right"/>
              <w:ind w:right="253"/>
              <w:spacing w:after="0" w:line="103" w:lineRule="exact"/>
              <w:rPr>
                <w:sz w:val="20"/>
                <w:szCs w:val="20"/>
                <w:color w:val="auto"/>
              </w:rPr>
            </w:pPr>
            <w:r>
              <w:rPr>
                <w:rFonts w:ascii="Arial" w:cs="Arial" w:eastAsia="Arial" w:hAnsi="Arial"/>
                <w:sz w:val="10"/>
                <w:szCs w:val="10"/>
                <w:color w:val="auto"/>
              </w:rPr>
              <w:t>60.2%</w:t>
            </w:r>
          </w:p>
        </w:tc>
        <w:tc>
          <w:tcPr>
            <w:tcW w:w="500" w:type="dxa"/>
            <w:vAlign w:val="bottom"/>
            <w:tcBorders>
              <w:right w:val="single" w:sz="8" w:color="auto"/>
            </w:tcBorders>
          </w:tcPr>
          <w:p>
            <w:pPr>
              <w:jc w:val="center"/>
              <w:ind w:right="12"/>
              <w:spacing w:after="0" w:line="103" w:lineRule="exact"/>
              <w:rPr>
                <w:sz w:val="20"/>
                <w:szCs w:val="20"/>
                <w:color w:val="auto"/>
              </w:rPr>
            </w:pPr>
            <w:r>
              <w:rPr>
                <w:rFonts w:ascii="Arial" w:cs="Arial" w:eastAsia="Arial" w:hAnsi="Arial"/>
                <w:sz w:val="10"/>
                <w:szCs w:val="10"/>
                <w:color w:val="auto"/>
                <w:w w:val="98"/>
              </w:rPr>
              <w:t>39.8%</w:t>
            </w:r>
          </w:p>
        </w:tc>
        <w:tc>
          <w:tcPr>
            <w:tcW w:w="0" w:type="dxa"/>
            <w:vAlign w:val="bottom"/>
          </w:tcPr>
          <w:p>
            <w:pPr>
              <w:spacing w:after="0"/>
              <w:rPr>
                <w:sz w:val="1"/>
                <w:szCs w:val="1"/>
                <w:color w:val="auto"/>
              </w:rPr>
            </w:pPr>
          </w:p>
        </w:tc>
      </w:tr>
      <w:tr>
        <w:trPr>
          <w:trHeight w:val="90"/>
        </w:trPr>
        <w:tc>
          <w:tcPr>
            <w:tcW w:w="1800" w:type="dxa"/>
            <w:vAlign w:val="bottom"/>
            <w:tcBorders>
              <w:left w:val="single" w:sz="8" w:color="auto"/>
              <w:right w:val="single" w:sz="8" w:color="auto"/>
            </w:tcBorders>
          </w:tcPr>
          <w:p>
            <w:pPr>
              <w:ind w:left="300"/>
              <w:spacing w:after="0" w:line="91" w:lineRule="exact"/>
              <w:rPr>
                <w:sz w:val="20"/>
                <w:szCs w:val="20"/>
                <w:color w:val="auto"/>
              </w:rPr>
            </w:pPr>
            <w:r>
              <w:rPr>
                <w:rFonts w:ascii="Arial" w:cs="Arial" w:eastAsia="Arial" w:hAnsi="Arial"/>
                <w:sz w:val="10"/>
                <w:szCs w:val="10"/>
                <w:color w:val="auto"/>
              </w:rPr>
              <w:t>SME - Pyme</w:t>
            </w:r>
          </w:p>
        </w:tc>
        <w:tc>
          <w:tcPr>
            <w:tcW w:w="780" w:type="dxa"/>
            <w:vAlign w:val="bottom"/>
          </w:tcPr>
          <w:p>
            <w:pPr>
              <w:jc w:val="center"/>
              <w:ind w:right="33"/>
              <w:spacing w:after="0" w:line="91" w:lineRule="exact"/>
              <w:rPr>
                <w:sz w:val="20"/>
                <w:szCs w:val="20"/>
                <w:color w:val="auto"/>
              </w:rPr>
            </w:pPr>
            <w:r>
              <w:rPr>
                <w:rFonts w:ascii="Arial" w:cs="Arial" w:eastAsia="Arial" w:hAnsi="Arial"/>
                <w:sz w:val="10"/>
                <w:szCs w:val="10"/>
                <w:color w:val="auto"/>
                <w:w w:val="97"/>
              </w:rPr>
              <w:t>16,332</w:t>
            </w:r>
          </w:p>
        </w:tc>
        <w:tc>
          <w:tcPr>
            <w:tcW w:w="660" w:type="dxa"/>
            <w:vAlign w:val="bottom"/>
          </w:tcPr>
          <w:p>
            <w:pPr>
              <w:jc w:val="center"/>
              <w:ind w:right="32"/>
              <w:spacing w:after="0" w:line="91" w:lineRule="exact"/>
              <w:rPr>
                <w:sz w:val="20"/>
                <w:szCs w:val="20"/>
                <w:color w:val="auto"/>
              </w:rPr>
            </w:pPr>
            <w:r>
              <w:rPr>
                <w:rFonts w:ascii="Arial" w:cs="Arial" w:eastAsia="Arial" w:hAnsi="Arial"/>
                <w:sz w:val="10"/>
                <w:szCs w:val="10"/>
                <w:color w:val="auto"/>
                <w:w w:val="97"/>
              </w:rPr>
              <w:t>16,339</w:t>
            </w:r>
          </w:p>
        </w:tc>
        <w:tc>
          <w:tcPr>
            <w:tcW w:w="740" w:type="dxa"/>
            <w:vAlign w:val="bottom"/>
            <w:tcBorders>
              <w:right w:val="single" w:sz="8" w:color="auto"/>
            </w:tcBorders>
          </w:tcPr>
          <w:p>
            <w:pPr>
              <w:jc w:val="center"/>
              <w:spacing w:after="0" w:line="91" w:lineRule="exact"/>
              <w:rPr>
                <w:sz w:val="20"/>
                <w:szCs w:val="20"/>
                <w:color w:val="auto"/>
              </w:rPr>
            </w:pPr>
            <w:r>
              <w:rPr>
                <w:rFonts w:ascii="Arial" w:cs="Arial" w:eastAsia="Arial" w:hAnsi="Arial"/>
                <w:sz w:val="10"/>
                <w:szCs w:val="10"/>
                <w:color w:val="auto"/>
                <w:w w:val="91"/>
              </w:rPr>
              <w:t>16,127</w:t>
            </w:r>
          </w:p>
        </w:tc>
        <w:tc>
          <w:tcPr>
            <w:tcW w:w="500" w:type="dxa"/>
            <w:vAlign w:val="bottom"/>
            <w:shd w:val="clear" w:color="auto" w:fill="CC3399"/>
          </w:tcPr>
          <w:p>
            <w:pPr>
              <w:jc w:val="center"/>
              <w:ind w:left="172"/>
              <w:spacing w:after="0" w:line="91" w:lineRule="exact"/>
              <w:rPr>
                <w:sz w:val="20"/>
                <w:szCs w:val="20"/>
                <w:color w:val="auto"/>
              </w:rPr>
            </w:pPr>
            <w:r>
              <w:rPr>
                <w:rFonts w:ascii="Arial" w:cs="Arial" w:eastAsia="Arial" w:hAnsi="Arial"/>
                <w:sz w:val="10"/>
                <w:szCs w:val="10"/>
                <w:color w:val="auto"/>
                <w:w w:val="91"/>
              </w:rPr>
              <w:t>-1.3%</w:t>
            </w:r>
          </w:p>
        </w:tc>
        <w:tc>
          <w:tcPr>
            <w:tcW w:w="220" w:type="dxa"/>
            <w:vAlign w:val="bottom"/>
            <w:shd w:val="clear" w:color="auto" w:fill="CC3399"/>
          </w:tcPr>
          <w:p>
            <w:pPr>
              <w:spacing w:after="0"/>
              <w:rPr>
                <w:sz w:val="7"/>
                <w:szCs w:val="7"/>
                <w:color w:val="auto"/>
              </w:rPr>
            </w:pPr>
          </w:p>
        </w:tc>
        <w:tc>
          <w:tcPr>
            <w:tcW w:w="740" w:type="dxa"/>
            <w:vAlign w:val="bottom"/>
            <w:tcBorders>
              <w:right w:val="single" w:sz="8" w:color="auto"/>
            </w:tcBorders>
            <w:shd w:val="clear" w:color="auto" w:fill="CC3399"/>
          </w:tcPr>
          <w:p>
            <w:pPr>
              <w:jc w:val="center"/>
              <w:spacing w:after="0" w:line="91" w:lineRule="exact"/>
              <w:rPr>
                <w:sz w:val="20"/>
                <w:szCs w:val="20"/>
                <w:color w:val="auto"/>
              </w:rPr>
            </w:pPr>
            <w:r>
              <w:rPr>
                <w:rFonts w:ascii="Arial" w:cs="Arial" w:eastAsia="Arial" w:hAnsi="Arial"/>
                <w:sz w:val="10"/>
                <w:szCs w:val="10"/>
                <w:color w:val="auto"/>
                <w:w w:val="91"/>
              </w:rPr>
              <w:t>-1.3%</w:t>
            </w:r>
          </w:p>
        </w:tc>
        <w:tc>
          <w:tcPr>
            <w:tcW w:w="720" w:type="dxa"/>
            <w:vAlign w:val="bottom"/>
          </w:tcPr>
          <w:p>
            <w:pPr>
              <w:jc w:val="center"/>
              <w:spacing w:after="0" w:line="91" w:lineRule="exact"/>
              <w:rPr>
                <w:sz w:val="20"/>
                <w:szCs w:val="20"/>
                <w:color w:val="auto"/>
              </w:rPr>
            </w:pPr>
            <w:r>
              <w:rPr>
                <w:rFonts w:ascii="Arial" w:cs="Arial" w:eastAsia="Arial" w:hAnsi="Arial"/>
                <w:sz w:val="10"/>
                <w:szCs w:val="10"/>
                <w:color w:val="auto"/>
              </w:rPr>
              <w:t>45</w:t>
            </w:r>
          </w:p>
        </w:tc>
        <w:tc>
          <w:tcPr>
            <w:tcW w:w="720" w:type="dxa"/>
            <w:vAlign w:val="bottom"/>
          </w:tcPr>
          <w:p>
            <w:pPr>
              <w:jc w:val="center"/>
              <w:spacing w:after="0" w:line="91" w:lineRule="exact"/>
              <w:rPr>
                <w:sz w:val="20"/>
                <w:szCs w:val="20"/>
                <w:color w:val="auto"/>
              </w:rPr>
            </w:pPr>
            <w:r>
              <w:rPr>
                <w:rFonts w:ascii="Arial" w:cs="Arial" w:eastAsia="Arial" w:hAnsi="Arial"/>
                <w:sz w:val="10"/>
                <w:szCs w:val="10"/>
                <w:color w:val="auto"/>
              </w:rPr>
              <w:t>46</w:t>
            </w:r>
          </w:p>
        </w:tc>
        <w:tc>
          <w:tcPr>
            <w:tcW w:w="740" w:type="dxa"/>
            <w:vAlign w:val="bottom"/>
            <w:tcBorders>
              <w:right w:val="single" w:sz="8" w:color="auto"/>
            </w:tcBorders>
          </w:tcPr>
          <w:p>
            <w:pPr>
              <w:jc w:val="center"/>
              <w:spacing w:after="0" w:line="91" w:lineRule="exact"/>
              <w:rPr>
                <w:sz w:val="20"/>
                <w:szCs w:val="20"/>
                <w:color w:val="auto"/>
              </w:rPr>
            </w:pPr>
            <w:r>
              <w:rPr>
                <w:rFonts w:ascii="Arial" w:cs="Arial" w:eastAsia="Arial" w:hAnsi="Arial"/>
                <w:sz w:val="10"/>
                <w:szCs w:val="10"/>
                <w:color w:val="auto"/>
              </w:rPr>
              <w:t>45</w:t>
            </w:r>
          </w:p>
        </w:tc>
        <w:tc>
          <w:tcPr>
            <w:tcW w:w="700" w:type="dxa"/>
            <w:vAlign w:val="bottom"/>
          </w:tcPr>
          <w:p>
            <w:pPr>
              <w:jc w:val="center"/>
              <w:spacing w:after="0" w:line="91" w:lineRule="exact"/>
              <w:rPr>
                <w:sz w:val="20"/>
                <w:szCs w:val="20"/>
                <w:color w:val="auto"/>
              </w:rPr>
            </w:pPr>
            <w:r>
              <w:rPr>
                <w:rFonts w:ascii="Arial" w:cs="Arial" w:eastAsia="Arial" w:hAnsi="Arial"/>
                <w:sz w:val="10"/>
                <w:szCs w:val="10"/>
                <w:color w:val="auto"/>
                <w:w w:val="91"/>
              </w:rPr>
              <w:t>-2.6%</w:t>
            </w:r>
          </w:p>
        </w:tc>
        <w:tc>
          <w:tcPr>
            <w:tcW w:w="740" w:type="dxa"/>
            <w:vAlign w:val="bottom"/>
            <w:tcBorders>
              <w:right w:val="single" w:sz="8" w:color="auto"/>
            </w:tcBorders>
          </w:tcPr>
          <w:p>
            <w:pPr>
              <w:jc w:val="center"/>
              <w:spacing w:after="0" w:line="91" w:lineRule="exact"/>
              <w:rPr>
                <w:sz w:val="20"/>
                <w:szCs w:val="20"/>
                <w:color w:val="auto"/>
              </w:rPr>
            </w:pPr>
            <w:r>
              <w:rPr>
                <w:rFonts w:ascii="Arial" w:cs="Arial" w:eastAsia="Arial" w:hAnsi="Arial"/>
                <w:sz w:val="10"/>
                <w:szCs w:val="10"/>
                <w:color w:val="auto"/>
                <w:w w:val="91"/>
              </w:rPr>
              <w:t>-0.3%</w:t>
            </w:r>
          </w:p>
        </w:tc>
        <w:tc>
          <w:tcPr>
            <w:tcW w:w="840" w:type="dxa"/>
            <w:vAlign w:val="bottom"/>
          </w:tcPr>
          <w:p>
            <w:pPr>
              <w:jc w:val="right"/>
              <w:ind w:right="253"/>
              <w:spacing w:after="0" w:line="91" w:lineRule="exact"/>
              <w:rPr>
                <w:sz w:val="20"/>
                <w:szCs w:val="20"/>
                <w:color w:val="auto"/>
              </w:rPr>
            </w:pPr>
            <w:r>
              <w:rPr>
                <w:rFonts w:ascii="Arial" w:cs="Arial" w:eastAsia="Arial" w:hAnsi="Arial"/>
                <w:sz w:val="10"/>
                <w:szCs w:val="10"/>
                <w:color w:val="auto"/>
              </w:rPr>
              <w:t>99.0%</w:t>
            </w:r>
          </w:p>
        </w:tc>
        <w:tc>
          <w:tcPr>
            <w:tcW w:w="500" w:type="dxa"/>
            <w:vAlign w:val="bottom"/>
            <w:tcBorders>
              <w:right w:val="single" w:sz="8" w:color="auto"/>
            </w:tcBorders>
          </w:tcPr>
          <w:p>
            <w:pPr>
              <w:jc w:val="center"/>
              <w:ind w:right="32"/>
              <w:spacing w:after="0" w:line="91" w:lineRule="exact"/>
              <w:rPr>
                <w:sz w:val="20"/>
                <w:szCs w:val="20"/>
                <w:color w:val="auto"/>
              </w:rPr>
            </w:pPr>
            <w:r>
              <w:rPr>
                <w:rFonts w:ascii="Arial" w:cs="Arial" w:eastAsia="Arial" w:hAnsi="Arial"/>
                <w:sz w:val="10"/>
                <w:szCs w:val="10"/>
                <w:color w:val="auto"/>
                <w:w w:val="96"/>
              </w:rPr>
              <w:t>1.0%</w:t>
            </w:r>
          </w:p>
        </w:tc>
        <w:tc>
          <w:tcPr>
            <w:tcW w:w="0" w:type="dxa"/>
            <w:vAlign w:val="bottom"/>
          </w:tcPr>
          <w:p>
            <w:pPr>
              <w:spacing w:after="0"/>
              <w:rPr>
                <w:sz w:val="1"/>
                <w:szCs w:val="1"/>
                <w:color w:val="auto"/>
              </w:rPr>
            </w:pPr>
          </w:p>
        </w:tc>
      </w:tr>
      <w:tr>
        <w:trPr>
          <w:trHeight w:val="115"/>
        </w:trPr>
        <w:tc>
          <w:tcPr>
            <w:tcW w:w="1800" w:type="dxa"/>
            <w:vAlign w:val="bottom"/>
            <w:tcBorders>
              <w:left w:val="single" w:sz="8" w:color="auto"/>
              <w:right w:val="single" w:sz="8" w:color="auto"/>
            </w:tcBorders>
          </w:tcPr>
          <w:p>
            <w:pPr>
              <w:ind w:left="300"/>
              <w:spacing w:after="0" w:line="103" w:lineRule="exact"/>
              <w:rPr>
                <w:sz w:val="20"/>
                <w:szCs w:val="20"/>
                <w:color w:val="auto"/>
              </w:rPr>
            </w:pPr>
            <w:r>
              <w:rPr>
                <w:rFonts w:ascii="Arial" w:cs="Arial" w:eastAsia="Arial" w:hAnsi="Arial"/>
                <w:sz w:val="10"/>
                <w:szCs w:val="10"/>
                <w:color w:val="auto"/>
              </w:rPr>
              <w:t>Mortgage</w:t>
            </w:r>
          </w:p>
        </w:tc>
        <w:tc>
          <w:tcPr>
            <w:tcW w:w="780" w:type="dxa"/>
            <w:vAlign w:val="bottom"/>
          </w:tcPr>
          <w:p>
            <w:pPr>
              <w:jc w:val="center"/>
              <w:ind w:right="33"/>
              <w:spacing w:after="0" w:line="103" w:lineRule="exact"/>
              <w:rPr>
                <w:sz w:val="20"/>
                <w:szCs w:val="20"/>
                <w:color w:val="auto"/>
              </w:rPr>
            </w:pPr>
            <w:r>
              <w:rPr>
                <w:rFonts w:ascii="Arial" w:cs="Arial" w:eastAsia="Arial" w:hAnsi="Arial"/>
                <w:sz w:val="10"/>
                <w:szCs w:val="10"/>
                <w:color w:val="auto"/>
                <w:w w:val="97"/>
              </w:rPr>
              <w:t>18,495</w:t>
            </w:r>
          </w:p>
        </w:tc>
        <w:tc>
          <w:tcPr>
            <w:tcW w:w="660" w:type="dxa"/>
            <w:vAlign w:val="bottom"/>
          </w:tcPr>
          <w:p>
            <w:pPr>
              <w:jc w:val="center"/>
              <w:ind w:right="32"/>
              <w:spacing w:after="0" w:line="103" w:lineRule="exact"/>
              <w:rPr>
                <w:sz w:val="20"/>
                <w:szCs w:val="20"/>
                <w:color w:val="auto"/>
              </w:rPr>
            </w:pPr>
            <w:r>
              <w:rPr>
                <w:rFonts w:ascii="Arial" w:cs="Arial" w:eastAsia="Arial" w:hAnsi="Arial"/>
                <w:sz w:val="10"/>
                <w:szCs w:val="10"/>
                <w:color w:val="auto"/>
                <w:w w:val="97"/>
              </w:rPr>
              <w:t>19,279</w:t>
            </w:r>
          </w:p>
        </w:tc>
        <w:tc>
          <w:tcPr>
            <w:tcW w:w="7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1"/>
              </w:rPr>
              <w:t>19,491</w:t>
            </w:r>
          </w:p>
        </w:tc>
        <w:tc>
          <w:tcPr>
            <w:tcW w:w="500" w:type="dxa"/>
            <w:vAlign w:val="bottom"/>
            <w:shd w:val="clear" w:color="auto" w:fill="00B050"/>
          </w:tcPr>
          <w:p>
            <w:pPr>
              <w:jc w:val="center"/>
              <w:ind w:left="152"/>
              <w:spacing w:after="0" w:line="103" w:lineRule="exact"/>
              <w:rPr>
                <w:sz w:val="20"/>
                <w:szCs w:val="20"/>
                <w:color w:val="auto"/>
              </w:rPr>
            </w:pPr>
            <w:r>
              <w:rPr>
                <w:rFonts w:ascii="Arial" w:cs="Arial" w:eastAsia="Arial" w:hAnsi="Arial"/>
                <w:sz w:val="10"/>
                <w:szCs w:val="10"/>
                <w:color w:val="auto"/>
                <w:w w:val="96"/>
              </w:rPr>
              <w:t>1.1%</w:t>
            </w:r>
          </w:p>
        </w:tc>
        <w:tc>
          <w:tcPr>
            <w:tcW w:w="220" w:type="dxa"/>
            <w:vAlign w:val="bottom"/>
            <w:shd w:val="clear" w:color="auto" w:fill="00B050"/>
          </w:tcPr>
          <w:p>
            <w:pPr>
              <w:spacing w:after="0"/>
              <w:rPr>
                <w:sz w:val="10"/>
                <w:szCs w:val="10"/>
                <w:color w:val="auto"/>
              </w:rPr>
            </w:pPr>
          </w:p>
        </w:tc>
        <w:tc>
          <w:tcPr>
            <w:tcW w:w="740" w:type="dxa"/>
            <w:vAlign w:val="bottom"/>
            <w:tcBorders>
              <w:right w:val="single" w:sz="8" w:color="auto"/>
            </w:tcBorders>
            <w:shd w:val="clear" w:color="auto" w:fill="00B050"/>
          </w:tcPr>
          <w:p>
            <w:pPr>
              <w:jc w:val="center"/>
              <w:spacing w:after="0" w:line="103" w:lineRule="exact"/>
              <w:rPr>
                <w:sz w:val="20"/>
                <w:szCs w:val="20"/>
                <w:color w:val="auto"/>
              </w:rPr>
            </w:pPr>
            <w:r>
              <w:rPr>
                <w:rFonts w:ascii="Arial" w:cs="Arial" w:eastAsia="Arial" w:hAnsi="Arial"/>
                <w:sz w:val="10"/>
                <w:szCs w:val="10"/>
                <w:color w:val="auto"/>
                <w:w w:val="96"/>
              </w:rPr>
              <w:t>5.4%</w:t>
            </w:r>
          </w:p>
        </w:tc>
        <w:tc>
          <w:tcPr>
            <w:tcW w:w="720" w:type="dxa"/>
            <w:vAlign w:val="bottom"/>
          </w:tcPr>
          <w:p>
            <w:pPr>
              <w:jc w:val="center"/>
              <w:spacing w:after="0" w:line="103" w:lineRule="exact"/>
              <w:rPr>
                <w:sz w:val="20"/>
                <w:szCs w:val="20"/>
                <w:color w:val="auto"/>
              </w:rPr>
            </w:pPr>
            <w:r>
              <w:rPr>
                <w:rFonts w:ascii="Arial" w:cs="Arial" w:eastAsia="Arial" w:hAnsi="Arial"/>
                <w:sz w:val="10"/>
                <w:szCs w:val="10"/>
                <w:color w:val="auto"/>
                <w:w w:val="95"/>
              </w:rPr>
              <w:t>532</w:t>
            </w:r>
          </w:p>
        </w:tc>
        <w:tc>
          <w:tcPr>
            <w:tcW w:w="720" w:type="dxa"/>
            <w:vAlign w:val="bottom"/>
          </w:tcPr>
          <w:p>
            <w:pPr>
              <w:jc w:val="center"/>
              <w:spacing w:after="0" w:line="103" w:lineRule="exact"/>
              <w:rPr>
                <w:sz w:val="20"/>
                <w:szCs w:val="20"/>
                <w:color w:val="auto"/>
              </w:rPr>
            </w:pPr>
            <w:r>
              <w:rPr>
                <w:rFonts w:ascii="Arial" w:cs="Arial" w:eastAsia="Arial" w:hAnsi="Arial"/>
                <w:sz w:val="10"/>
                <w:szCs w:val="10"/>
                <w:color w:val="auto"/>
                <w:w w:val="95"/>
              </w:rPr>
              <w:t>519</w:t>
            </w:r>
          </w:p>
        </w:tc>
        <w:tc>
          <w:tcPr>
            <w:tcW w:w="7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5"/>
              </w:rPr>
              <w:t>515</w:t>
            </w:r>
          </w:p>
        </w:tc>
        <w:tc>
          <w:tcPr>
            <w:tcW w:w="700" w:type="dxa"/>
            <w:vAlign w:val="bottom"/>
          </w:tcPr>
          <w:p>
            <w:pPr>
              <w:jc w:val="center"/>
              <w:spacing w:after="0" w:line="103" w:lineRule="exact"/>
              <w:rPr>
                <w:sz w:val="20"/>
                <w:szCs w:val="20"/>
                <w:color w:val="auto"/>
              </w:rPr>
            </w:pPr>
            <w:r>
              <w:rPr>
                <w:rFonts w:ascii="Arial" w:cs="Arial" w:eastAsia="Arial" w:hAnsi="Arial"/>
                <w:sz w:val="10"/>
                <w:szCs w:val="10"/>
                <w:color w:val="auto"/>
                <w:w w:val="91"/>
              </w:rPr>
              <w:t>-0.9%</w:t>
            </w:r>
          </w:p>
        </w:tc>
        <w:tc>
          <w:tcPr>
            <w:tcW w:w="7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1"/>
              </w:rPr>
              <w:t>-3.2%</w:t>
            </w:r>
          </w:p>
        </w:tc>
        <w:tc>
          <w:tcPr>
            <w:tcW w:w="840" w:type="dxa"/>
            <w:vAlign w:val="bottom"/>
          </w:tcPr>
          <w:p>
            <w:pPr>
              <w:jc w:val="right"/>
              <w:ind w:right="253"/>
              <w:spacing w:after="0" w:line="103" w:lineRule="exact"/>
              <w:rPr>
                <w:sz w:val="20"/>
                <w:szCs w:val="20"/>
                <w:color w:val="auto"/>
              </w:rPr>
            </w:pPr>
            <w:r>
              <w:rPr>
                <w:rFonts w:ascii="Arial" w:cs="Arial" w:eastAsia="Arial" w:hAnsi="Arial"/>
                <w:sz w:val="10"/>
                <w:szCs w:val="10"/>
                <w:color w:val="auto"/>
              </w:rPr>
              <w:t>90.9%</w:t>
            </w:r>
          </w:p>
        </w:tc>
        <w:tc>
          <w:tcPr>
            <w:tcW w:w="500" w:type="dxa"/>
            <w:vAlign w:val="bottom"/>
            <w:tcBorders>
              <w:right w:val="single" w:sz="8" w:color="auto"/>
            </w:tcBorders>
          </w:tcPr>
          <w:p>
            <w:pPr>
              <w:jc w:val="center"/>
              <w:ind w:right="32"/>
              <w:spacing w:after="0" w:line="103" w:lineRule="exact"/>
              <w:rPr>
                <w:sz w:val="20"/>
                <w:szCs w:val="20"/>
                <w:color w:val="auto"/>
              </w:rPr>
            </w:pPr>
            <w:r>
              <w:rPr>
                <w:rFonts w:ascii="Arial" w:cs="Arial" w:eastAsia="Arial" w:hAnsi="Arial"/>
                <w:sz w:val="10"/>
                <w:szCs w:val="10"/>
                <w:color w:val="auto"/>
                <w:w w:val="96"/>
              </w:rPr>
              <w:t>9.1%</w:t>
            </w:r>
          </w:p>
        </w:tc>
        <w:tc>
          <w:tcPr>
            <w:tcW w:w="0" w:type="dxa"/>
            <w:vAlign w:val="bottom"/>
          </w:tcPr>
          <w:p>
            <w:pPr>
              <w:spacing w:after="0"/>
              <w:rPr>
                <w:sz w:val="1"/>
                <w:szCs w:val="1"/>
                <w:color w:val="auto"/>
              </w:rPr>
            </w:pPr>
          </w:p>
        </w:tc>
      </w:tr>
      <w:tr>
        <w:trPr>
          <w:trHeight w:val="103"/>
        </w:trPr>
        <w:tc>
          <w:tcPr>
            <w:tcW w:w="1800" w:type="dxa"/>
            <w:vAlign w:val="bottom"/>
            <w:tcBorders>
              <w:left w:val="single" w:sz="8" w:color="auto"/>
              <w:right w:val="single" w:sz="8" w:color="auto"/>
            </w:tcBorders>
          </w:tcPr>
          <w:p>
            <w:pPr>
              <w:ind w:left="300"/>
              <w:spacing w:after="0" w:line="103" w:lineRule="exact"/>
              <w:rPr>
                <w:sz w:val="20"/>
                <w:szCs w:val="20"/>
                <w:color w:val="auto"/>
              </w:rPr>
            </w:pPr>
            <w:r>
              <w:rPr>
                <w:rFonts w:ascii="Arial" w:cs="Arial" w:eastAsia="Arial" w:hAnsi="Arial"/>
                <w:sz w:val="10"/>
                <w:szCs w:val="10"/>
                <w:color w:val="auto"/>
              </w:rPr>
              <w:t>Consumer</w:t>
            </w:r>
          </w:p>
        </w:tc>
        <w:tc>
          <w:tcPr>
            <w:tcW w:w="780" w:type="dxa"/>
            <w:vAlign w:val="bottom"/>
          </w:tcPr>
          <w:p>
            <w:pPr>
              <w:jc w:val="center"/>
              <w:ind w:right="53"/>
              <w:spacing w:after="0" w:line="103" w:lineRule="exact"/>
              <w:rPr>
                <w:sz w:val="20"/>
                <w:szCs w:val="20"/>
                <w:color w:val="auto"/>
              </w:rPr>
            </w:pPr>
            <w:r>
              <w:rPr>
                <w:rFonts w:ascii="Arial" w:cs="Arial" w:eastAsia="Arial" w:hAnsi="Arial"/>
                <w:sz w:val="10"/>
                <w:szCs w:val="10"/>
                <w:color w:val="auto"/>
                <w:w w:val="91"/>
              </w:rPr>
              <w:t>11,388</w:t>
            </w:r>
          </w:p>
        </w:tc>
        <w:tc>
          <w:tcPr>
            <w:tcW w:w="660" w:type="dxa"/>
            <w:vAlign w:val="bottom"/>
          </w:tcPr>
          <w:p>
            <w:pPr>
              <w:jc w:val="center"/>
              <w:ind w:right="32"/>
              <w:spacing w:after="0" w:line="103" w:lineRule="exact"/>
              <w:rPr>
                <w:sz w:val="20"/>
                <w:szCs w:val="20"/>
                <w:color w:val="auto"/>
              </w:rPr>
            </w:pPr>
            <w:r>
              <w:rPr>
                <w:rFonts w:ascii="Arial" w:cs="Arial" w:eastAsia="Arial" w:hAnsi="Arial"/>
                <w:sz w:val="10"/>
                <w:szCs w:val="10"/>
                <w:color w:val="auto"/>
                <w:w w:val="97"/>
              </w:rPr>
              <w:t>10,934</w:t>
            </w:r>
          </w:p>
        </w:tc>
        <w:tc>
          <w:tcPr>
            <w:tcW w:w="7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1"/>
              </w:rPr>
              <w:t>10,908</w:t>
            </w:r>
          </w:p>
        </w:tc>
        <w:tc>
          <w:tcPr>
            <w:tcW w:w="500" w:type="dxa"/>
            <w:vAlign w:val="bottom"/>
          </w:tcPr>
          <w:p>
            <w:pPr>
              <w:jc w:val="center"/>
              <w:ind w:left="172"/>
              <w:spacing w:after="0" w:line="91" w:lineRule="exact"/>
              <w:rPr>
                <w:sz w:val="20"/>
                <w:szCs w:val="20"/>
                <w:color w:val="auto"/>
              </w:rPr>
            </w:pPr>
            <w:r>
              <w:rPr>
                <w:rFonts w:ascii="Arial" w:cs="Arial" w:eastAsia="Arial" w:hAnsi="Arial"/>
                <w:sz w:val="10"/>
                <w:szCs w:val="10"/>
                <w:color w:val="auto"/>
                <w:w w:val="91"/>
              </w:rPr>
              <w:t>-0.2%</w:t>
            </w:r>
          </w:p>
        </w:tc>
        <w:tc>
          <w:tcPr>
            <w:tcW w:w="220" w:type="dxa"/>
            <w:vAlign w:val="bottom"/>
          </w:tcPr>
          <w:p>
            <w:pPr>
              <w:spacing w:after="0"/>
              <w:rPr>
                <w:sz w:val="8"/>
                <w:szCs w:val="8"/>
                <w:color w:val="auto"/>
              </w:rPr>
            </w:pPr>
          </w:p>
        </w:tc>
        <w:tc>
          <w:tcPr>
            <w:tcW w:w="740" w:type="dxa"/>
            <w:vAlign w:val="bottom"/>
            <w:tcBorders>
              <w:right w:val="single" w:sz="8" w:color="auto"/>
            </w:tcBorders>
            <w:shd w:val="clear" w:color="auto" w:fill="CC3399"/>
          </w:tcPr>
          <w:p>
            <w:pPr>
              <w:jc w:val="center"/>
              <w:spacing w:after="0" w:line="91" w:lineRule="exact"/>
              <w:rPr>
                <w:sz w:val="20"/>
                <w:szCs w:val="20"/>
                <w:color w:val="auto"/>
              </w:rPr>
            </w:pPr>
            <w:r>
              <w:rPr>
                <w:rFonts w:ascii="Arial" w:cs="Arial" w:eastAsia="Arial" w:hAnsi="Arial"/>
                <w:sz w:val="10"/>
                <w:szCs w:val="10"/>
                <w:color w:val="auto"/>
                <w:w w:val="91"/>
              </w:rPr>
              <w:t>-4.2%</w:t>
            </w:r>
          </w:p>
        </w:tc>
        <w:tc>
          <w:tcPr>
            <w:tcW w:w="720" w:type="dxa"/>
            <w:vAlign w:val="bottom"/>
          </w:tcPr>
          <w:p>
            <w:pPr>
              <w:jc w:val="center"/>
              <w:spacing w:after="0" w:line="103" w:lineRule="exact"/>
              <w:rPr>
                <w:sz w:val="20"/>
                <w:szCs w:val="20"/>
                <w:color w:val="auto"/>
              </w:rPr>
            </w:pPr>
            <w:r>
              <w:rPr>
                <w:rFonts w:ascii="Arial" w:cs="Arial" w:eastAsia="Arial" w:hAnsi="Arial"/>
                <w:sz w:val="10"/>
                <w:szCs w:val="10"/>
                <w:color w:val="auto"/>
                <w:w w:val="95"/>
              </w:rPr>
              <w:t>376</w:t>
            </w:r>
          </w:p>
        </w:tc>
        <w:tc>
          <w:tcPr>
            <w:tcW w:w="720" w:type="dxa"/>
            <w:vAlign w:val="bottom"/>
          </w:tcPr>
          <w:p>
            <w:pPr>
              <w:jc w:val="center"/>
              <w:spacing w:after="0" w:line="103" w:lineRule="exact"/>
              <w:rPr>
                <w:sz w:val="20"/>
                <w:szCs w:val="20"/>
                <w:color w:val="auto"/>
              </w:rPr>
            </w:pPr>
            <w:r>
              <w:rPr>
                <w:rFonts w:ascii="Arial" w:cs="Arial" w:eastAsia="Arial" w:hAnsi="Arial"/>
                <w:sz w:val="10"/>
                <w:szCs w:val="10"/>
                <w:color w:val="auto"/>
                <w:w w:val="95"/>
              </w:rPr>
              <w:t>415</w:t>
            </w:r>
          </w:p>
        </w:tc>
        <w:tc>
          <w:tcPr>
            <w:tcW w:w="7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5"/>
              </w:rPr>
              <w:t>413</w:t>
            </w:r>
          </w:p>
        </w:tc>
        <w:tc>
          <w:tcPr>
            <w:tcW w:w="700" w:type="dxa"/>
            <w:vAlign w:val="bottom"/>
          </w:tcPr>
          <w:p>
            <w:pPr>
              <w:jc w:val="center"/>
              <w:spacing w:after="0" w:line="103" w:lineRule="exact"/>
              <w:rPr>
                <w:sz w:val="20"/>
                <w:szCs w:val="20"/>
                <w:color w:val="auto"/>
              </w:rPr>
            </w:pPr>
            <w:r>
              <w:rPr>
                <w:rFonts w:ascii="Arial" w:cs="Arial" w:eastAsia="Arial" w:hAnsi="Arial"/>
                <w:sz w:val="10"/>
                <w:szCs w:val="10"/>
                <w:color w:val="auto"/>
                <w:w w:val="91"/>
              </w:rPr>
              <w:t>-0.4%</w:t>
            </w:r>
          </w:p>
        </w:tc>
        <w:tc>
          <w:tcPr>
            <w:tcW w:w="7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9.7%</w:t>
            </w:r>
          </w:p>
        </w:tc>
        <w:tc>
          <w:tcPr>
            <w:tcW w:w="840" w:type="dxa"/>
            <w:vAlign w:val="bottom"/>
          </w:tcPr>
          <w:p>
            <w:pPr>
              <w:jc w:val="right"/>
              <w:ind w:right="253"/>
              <w:spacing w:after="0" w:line="103" w:lineRule="exact"/>
              <w:rPr>
                <w:sz w:val="20"/>
                <w:szCs w:val="20"/>
                <w:color w:val="auto"/>
              </w:rPr>
            </w:pPr>
            <w:r>
              <w:rPr>
                <w:rFonts w:ascii="Arial" w:cs="Arial" w:eastAsia="Arial" w:hAnsi="Arial"/>
                <w:sz w:val="10"/>
                <w:szCs w:val="10"/>
                <w:color w:val="auto"/>
              </w:rPr>
              <w:t>87.5%</w:t>
            </w:r>
          </w:p>
        </w:tc>
        <w:tc>
          <w:tcPr>
            <w:tcW w:w="500" w:type="dxa"/>
            <w:vAlign w:val="bottom"/>
            <w:tcBorders>
              <w:right w:val="single" w:sz="8" w:color="auto"/>
            </w:tcBorders>
          </w:tcPr>
          <w:p>
            <w:pPr>
              <w:jc w:val="center"/>
              <w:ind w:right="12"/>
              <w:spacing w:after="0" w:line="103" w:lineRule="exact"/>
              <w:rPr>
                <w:sz w:val="20"/>
                <w:szCs w:val="20"/>
                <w:color w:val="auto"/>
              </w:rPr>
            </w:pPr>
            <w:r>
              <w:rPr>
                <w:rFonts w:ascii="Arial" w:cs="Arial" w:eastAsia="Arial" w:hAnsi="Arial"/>
                <w:sz w:val="10"/>
                <w:szCs w:val="10"/>
                <w:color w:val="auto"/>
                <w:w w:val="98"/>
              </w:rPr>
              <w:t>12.5%</w:t>
            </w:r>
          </w:p>
        </w:tc>
        <w:tc>
          <w:tcPr>
            <w:tcW w:w="0" w:type="dxa"/>
            <w:vAlign w:val="bottom"/>
          </w:tcPr>
          <w:p>
            <w:pPr>
              <w:spacing w:after="0"/>
              <w:rPr>
                <w:sz w:val="1"/>
                <w:szCs w:val="1"/>
                <w:color w:val="auto"/>
              </w:rPr>
            </w:pPr>
          </w:p>
        </w:tc>
      </w:tr>
      <w:tr>
        <w:trPr>
          <w:trHeight w:val="88"/>
        </w:trPr>
        <w:tc>
          <w:tcPr>
            <w:tcW w:w="1800" w:type="dxa"/>
            <w:vAlign w:val="bottom"/>
            <w:tcBorders>
              <w:left w:val="single" w:sz="8" w:color="auto"/>
              <w:right w:val="single" w:sz="8" w:color="auto"/>
            </w:tcBorders>
          </w:tcPr>
          <w:p>
            <w:pPr>
              <w:ind w:left="300"/>
              <w:spacing w:after="0" w:line="89" w:lineRule="exact"/>
              <w:rPr>
                <w:sz w:val="20"/>
                <w:szCs w:val="20"/>
                <w:color w:val="auto"/>
              </w:rPr>
            </w:pPr>
            <w:r>
              <w:rPr>
                <w:rFonts w:ascii="Arial" w:cs="Arial" w:eastAsia="Arial" w:hAnsi="Arial"/>
                <w:sz w:val="10"/>
                <w:szCs w:val="10"/>
                <w:color w:val="auto"/>
              </w:rPr>
              <w:t>Credit Card</w:t>
            </w:r>
          </w:p>
        </w:tc>
        <w:tc>
          <w:tcPr>
            <w:tcW w:w="780" w:type="dxa"/>
            <w:vAlign w:val="bottom"/>
          </w:tcPr>
          <w:p>
            <w:pPr>
              <w:jc w:val="center"/>
              <w:ind w:right="53"/>
              <w:spacing w:after="0" w:line="89" w:lineRule="exact"/>
              <w:rPr>
                <w:sz w:val="20"/>
                <w:szCs w:val="20"/>
                <w:color w:val="auto"/>
              </w:rPr>
            </w:pPr>
            <w:r>
              <w:rPr>
                <w:rFonts w:ascii="Arial" w:cs="Arial" w:eastAsia="Arial" w:hAnsi="Arial"/>
                <w:sz w:val="10"/>
                <w:szCs w:val="10"/>
                <w:color w:val="auto"/>
                <w:w w:val="95"/>
              </w:rPr>
              <w:t>4,796</w:t>
            </w:r>
          </w:p>
        </w:tc>
        <w:tc>
          <w:tcPr>
            <w:tcW w:w="660" w:type="dxa"/>
            <w:vAlign w:val="bottom"/>
          </w:tcPr>
          <w:p>
            <w:pPr>
              <w:jc w:val="center"/>
              <w:ind w:right="12"/>
              <w:spacing w:after="0" w:line="89" w:lineRule="exact"/>
              <w:rPr>
                <w:sz w:val="20"/>
                <w:szCs w:val="20"/>
                <w:color w:val="auto"/>
              </w:rPr>
            </w:pPr>
            <w:r>
              <w:rPr>
                <w:rFonts w:ascii="Arial" w:cs="Arial" w:eastAsia="Arial" w:hAnsi="Arial"/>
                <w:sz w:val="10"/>
                <w:szCs w:val="10"/>
                <w:color w:val="auto"/>
                <w:w w:val="95"/>
              </w:rPr>
              <w:t>5,029</w:t>
            </w:r>
          </w:p>
        </w:tc>
        <w:tc>
          <w:tcPr>
            <w:tcW w:w="740" w:type="dxa"/>
            <w:vAlign w:val="bottom"/>
            <w:tcBorders>
              <w:right w:val="single" w:sz="8" w:color="auto"/>
            </w:tcBorders>
          </w:tcPr>
          <w:p>
            <w:pPr>
              <w:jc w:val="center"/>
              <w:spacing w:after="0" w:line="89" w:lineRule="exact"/>
              <w:rPr>
                <w:sz w:val="20"/>
                <w:szCs w:val="20"/>
                <w:color w:val="auto"/>
              </w:rPr>
            </w:pPr>
            <w:r>
              <w:rPr>
                <w:rFonts w:ascii="Arial" w:cs="Arial" w:eastAsia="Arial" w:hAnsi="Arial"/>
                <w:sz w:val="10"/>
                <w:szCs w:val="10"/>
                <w:color w:val="auto"/>
                <w:w w:val="95"/>
              </w:rPr>
              <w:t>4,981</w:t>
            </w:r>
          </w:p>
        </w:tc>
        <w:tc>
          <w:tcPr>
            <w:tcW w:w="500" w:type="dxa"/>
            <w:vAlign w:val="bottom"/>
          </w:tcPr>
          <w:p>
            <w:pPr>
              <w:jc w:val="center"/>
              <w:ind w:left="172"/>
              <w:spacing w:after="0" w:line="89" w:lineRule="exact"/>
              <w:rPr>
                <w:sz w:val="20"/>
                <w:szCs w:val="20"/>
                <w:color w:val="auto"/>
              </w:rPr>
            </w:pPr>
            <w:r>
              <w:rPr>
                <w:rFonts w:ascii="Arial" w:cs="Arial" w:eastAsia="Arial" w:hAnsi="Arial"/>
                <w:sz w:val="10"/>
                <w:szCs w:val="10"/>
                <w:color w:val="auto"/>
                <w:w w:val="91"/>
              </w:rPr>
              <w:t>-1.0%</w:t>
            </w:r>
          </w:p>
        </w:tc>
        <w:tc>
          <w:tcPr>
            <w:tcW w:w="220" w:type="dxa"/>
            <w:vAlign w:val="bottom"/>
          </w:tcPr>
          <w:p>
            <w:pPr>
              <w:spacing w:after="0"/>
              <w:rPr>
                <w:sz w:val="7"/>
                <w:szCs w:val="7"/>
                <w:color w:val="auto"/>
              </w:rPr>
            </w:pPr>
          </w:p>
        </w:tc>
        <w:tc>
          <w:tcPr>
            <w:tcW w:w="740" w:type="dxa"/>
            <w:vAlign w:val="bottom"/>
            <w:tcBorders>
              <w:right w:val="single" w:sz="8" w:color="auto"/>
            </w:tcBorders>
          </w:tcPr>
          <w:p>
            <w:pPr>
              <w:jc w:val="center"/>
              <w:spacing w:after="0" w:line="89" w:lineRule="exact"/>
              <w:rPr>
                <w:sz w:val="20"/>
                <w:szCs w:val="20"/>
                <w:color w:val="auto"/>
              </w:rPr>
            </w:pPr>
            <w:r>
              <w:rPr>
                <w:rFonts w:ascii="Arial" w:cs="Arial" w:eastAsia="Arial" w:hAnsi="Arial"/>
                <w:sz w:val="10"/>
                <w:szCs w:val="10"/>
                <w:color w:val="auto"/>
                <w:w w:val="96"/>
              </w:rPr>
              <w:t>3.9%</w:t>
            </w:r>
          </w:p>
        </w:tc>
        <w:tc>
          <w:tcPr>
            <w:tcW w:w="720" w:type="dxa"/>
            <w:vAlign w:val="bottom"/>
          </w:tcPr>
          <w:p>
            <w:pPr>
              <w:jc w:val="center"/>
              <w:spacing w:after="0" w:line="89" w:lineRule="exact"/>
              <w:rPr>
                <w:sz w:val="20"/>
                <w:szCs w:val="20"/>
                <w:color w:val="auto"/>
              </w:rPr>
            </w:pPr>
            <w:r>
              <w:rPr>
                <w:rFonts w:ascii="Arial" w:cs="Arial" w:eastAsia="Arial" w:hAnsi="Arial"/>
                <w:sz w:val="10"/>
                <w:szCs w:val="10"/>
                <w:color w:val="auto"/>
                <w:w w:val="95"/>
              </w:rPr>
              <w:t>244</w:t>
            </w:r>
          </w:p>
        </w:tc>
        <w:tc>
          <w:tcPr>
            <w:tcW w:w="720" w:type="dxa"/>
            <w:vAlign w:val="bottom"/>
          </w:tcPr>
          <w:p>
            <w:pPr>
              <w:jc w:val="center"/>
              <w:spacing w:after="0" w:line="89" w:lineRule="exact"/>
              <w:rPr>
                <w:sz w:val="20"/>
                <w:szCs w:val="20"/>
                <w:color w:val="auto"/>
              </w:rPr>
            </w:pPr>
            <w:r>
              <w:rPr>
                <w:rFonts w:ascii="Arial" w:cs="Arial" w:eastAsia="Arial" w:hAnsi="Arial"/>
                <w:sz w:val="10"/>
                <w:szCs w:val="10"/>
                <w:color w:val="auto"/>
                <w:w w:val="95"/>
              </w:rPr>
              <w:t>258</w:t>
            </w:r>
          </w:p>
        </w:tc>
        <w:tc>
          <w:tcPr>
            <w:tcW w:w="740" w:type="dxa"/>
            <w:vAlign w:val="bottom"/>
            <w:tcBorders>
              <w:right w:val="single" w:sz="8" w:color="auto"/>
            </w:tcBorders>
          </w:tcPr>
          <w:p>
            <w:pPr>
              <w:jc w:val="center"/>
              <w:spacing w:after="0" w:line="89" w:lineRule="exact"/>
              <w:rPr>
                <w:sz w:val="20"/>
                <w:szCs w:val="20"/>
                <w:color w:val="auto"/>
              </w:rPr>
            </w:pPr>
            <w:r>
              <w:rPr>
                <w:rFonts w:ascii="Arial" w:cs="Arial" w:eastAsia="Arial" w:hAnsi="Arial"/>
                <w:sz w:val="10"/>
                <w:szCs w:val="10"/>
                <w:color w:val="auto"/>
                <w:w w:val="95"/>
              </w:rPr>
              <w:t>264</w:t>
            </w:r>
          </w:p>
        </w:tc>
        <w:tc>
          <w:tcPr>
            <w:tcW w:w="700" w:type="dxa"/>
            <w:vAlign w:val="bottom"/>
          </w:tcPr>
          <w:p>
            <w:pPr>
              <w:jc w:val="center"/>
              <w:spacing w:after="0" w:line="89" w:lineRule="exact"/>
              <w:rPr>
                <w:sz w:val="20"/>
                <w:szCs w:val="20"/>
                <w:color w:val="auto"/>
              </w:rPr>
            </w:pPr>
            <w:r>
              <w:rPr>
                <w:rFonts w:ascii="Arial" w:cs="Arial" w:eastAsia="Arial" w:hAnsi="Arial"/>
                <w:sz w:val="10"/>
                <w:szCs w:val="10"/>
                <w:color w:val="auto"/>
                <w:w w:val="96"/>
              </w:rPr>
              <w:t>2.4%</w:t>
            </w:r>
          </w:p>
        </w:tc>
        <w:tc>
          <w:tcPr>
            <w:tcW w:w="740" w:type="dxa"/>
            <w:vAlign w:val="bottom"/>
            <w:tcBorders>
              <w:right w:val="single" w:sz="8" w:color="auto"/>
            </w:tcBorders>
          </w:tcPr>
          <w:p>
            <w:pPr>
              <w:jc w:val="center"/>
              <w:spacing w:after="0" w:line="89" w:lineRule="exact"/>
              <w:rPr>
                <w:sz w:val="20"/>
                <w:szCs w:val="20"/>
                <w:color w:val="auto"/>
              </w:rPr>
            </w:pPr>
            <w:r>
              <w:rPr>
                <w:rFonts w:ascii="Arial" w:cs="Arial" w:eastAsia="Arial" w:hAnsi="Arial"/>
                <w:sz w:val="10"/>
                <w:szCs w:val="10"/>
                <w:color w:val="auto"/>
                <w:w w:val="96"/>
              </w:rPr>
              <w:t>8.3%</w:t>
            </w:r>
          </w:p>
        </w:tc>
        <w:tc>
          <w:tcPr>
            <w:tcW w:w="840" w:type="dxa"/>
            <w:vAlign w:val="bottom"/>
          </w:tcPr>
          <w:p>
            <w:pPr>
              <w:jc w:val="right"/>
              <w:ind w:right="253"/>
              <w:spacing w:after="0" w:line="89" w:lineRule="exact"/>
              <w:rPr>
                <w:sz w:val="20"/>
                <w:szCs w:val="20"/>
                <w:color w:val="auto"/>
              </w:rPr>
            </w:pPr>
            <w:r>
              <w:rPr>
                <w:rFonts w:ascii="Arial" w:cs="Arial" w:eastAsia="Arial" w:hAnsi="Arial"/>
                <w:sz w:val="10"/>
                <w:szCs w:val="10"/>
                <w:color w:val="auto"/>
              </w:rPr>
              <w:t>83.3%</w:t>
            </w:r>
          </w:p>
        </w:tc>
        <w:tc>
          <w:tcPr>
            <w:tcW w:w="500" w:type="dxa"/>
            <w:vAlign w:val="bottom"/>
            <w:tcBorders>
              <w:right w:val="single" w:sz="8" w:color="auto"/>
            </w:tcBorders>
          </w:tcPr>
          <w:p>
            <w:pPr>
              <w:jc w:val="center"/>
              <w:ind w:right="12"/>
              <w:spacing w:after="0" w:line="89" w:lineRule="exact"/>
              <w:rPr>
                <w:sz w:val="20"/>
                <w:szCs w:val="20"/>
                <w:color w:val="auto"/>
              </w:rPr>
            </w:pPr>
            <w:r>
              <w:rPr>
                <w:rFonts w:ascii="Arial" w:cs="Arial" w:eastAsia="Arial" w:hAnsi="Arial"/>
                <w:sz w:val="10"/>
                <w:szCs w:val="10"/>
                <w:color w:val="auto"/>
                <w:w w:val="98"/>
              </w:rPr>
              <w:t>16.7%</w:t>
            </w:r>
          </w:p>
        </w:tc>
        <w:tc>
          <w:tcPr>
            <w:tcW w:w="0" w:type="dxa"/>
            <w:vAlign w:val="bottom"/>
          </w:tcPr>
          <w:p>
            <w:pPr>
              <w:spacing w:after="0"/>
              <w:rPr>
                <w:sz w:val="1"/>
                <w:szCs w:val="1"/>
                <w:color w:val="auto"/>
              </w:rPr>
            </w:pPr>
          </w:p>
        </w:tc>
      </w:tr>
      <w:tr>
        <w:trPr>
          <w:trHeight w:val="117"/>
        </w:trPr>
        <w:tc>
          <w:tcPr>
            <w:tcW w:w="1800" w:type="dxa"/>
            <w:vAlign w:val="bottom"/>
            <w:tcBorders>
              <w:left w:val="single" w:sz="8" w:color="auto"/>
              <w:right w:val="single" w:sz="8" w:color="auto"/>
            </w:tcBorders>
          </w:tcPr>
          <w:p>
            <w:pPr>
              <w:ind w:left="100"/>
              <w:spacing w:after="0" w:line="103" w:lineRule="exact"/>
              <w:rPr>
                <w:sz w:val="20"/>
                <w:szCs w:val="20"/>
                <w:color w:val="auto"/>
              </w:rPr>
            </w:pPr>
            <w:r>
              <w:rPr>
                <w:rFonts w:ascii="Arial" w:cs="Arial" w:eastAsia="Arial" w:hAnsi="Arial"/>
                <w:sz w:val="10"/>
                <w:szCs w:val="10"/>
                <w:b w:val="1"/>
                <w:bCs w:val="1"/>
                <w:color w:val="auto"/>
              </w:rPr>
              <w:t>Mibanco</w:t>
            </w:r>
          </w:p>
        </w:tc>
        <w:tc>
          <w:tcPr>
            <w:tcW w:w="780" w:type="dxa"/>
            <w:vAlign w:val="bottom"/>
          </w:tcPr>
          <w:p>
            <w:pPr>
              <w:jc w:val="center"/>
              <w:ind w:right="33"/>
              <w:spacing w:after="0" w:line="103" w:lineRule="exact"/>
              <w:rPr>
                <w:sz w:val="20"/>
                <w:szCs w:val="20"/>
                <w:color w:val="auto"/>
              </w:rPr>
            </w:pPr>
            <w:r>
              <w:rPr>
                <w:rFonts w:ascii="Arial" w:cs="Arial" w:eastAsia="Arial" w:hAnsi="Arial"/>
                <w:sz w:val="10"/>
                <w:szCs w:val="10"/>
                <w:b w:val="1"/>
                <w:bCs w:val="1"/>
                <w:color w:val="auto"/>
                <w:w w:val="97"/>
              </w:rPr>
              <w:t>13,746</w:t>
            </w:r>
          </w:p>
        </w:tc>
        <w:tc>
          <w:tcPr>
            <w:tcW w:w="660" w:type="dxa"/>
            <w:vAlign w:val="bottom"/>
          </w:tcPr>
          <w:p>
            <w:pPr>
              <w:jc w:val="center"/>
              <w:ind w:right="32"/>
              <w:spacing w:after="0" w:line="103" w:lineRule="exact"/>
              <w:rPr>
                <w:sz w:val="20"/>
                <w:szCs w:val="20"/>
                <w:color w:val="auto"/>
              </w:rPr>
            </w:pPr>
            <w:r>
              <w:rPr>
                <w:rFonts w:ascii="Arial" w:cs="Arial" w:eastAsia="Arial" w:hAnsi="Arial"/>
                <w:sz w:val="10"/>
                <w:szCs w:val="10"/>
                <w:b w:val="1"/>
                <w:bCs w:val="1"/>
                <w:color w:val="auto"/>
                <w:w w:val="97"/>
              </w:rPr>
              <w:t>12,922</w:t>
            </w:r>
          </w:p>
        </w:tc>
        <w:tc>
          <w:tcPr>
            <w:tcW w:w="7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b w:val="1"/>
                <w:bCs w:val="1"/>
                <w:color w:val="auto"/>
                <w:w w:val="91"/>
              </w:rPr>
              <w:t>12,800</w:t>
            </w:r>
          </w:p>
        </w:tc>
        <w:tc>
          <w:tcPr>
            <w:tcW w:w="500" w:type="dxa"/>
            <w:vAlign w:val="bottom"/>
            <w:shd w:val="clear" w:color="auto" w:fill="CC3399"/>
          </w:tcPr>
          <w:p>
            <w:pPr>
              <w:jc w:val="center"/>
              <w:ind w:left="172"/>
              <w:spacing w:after="0" w:line="103" w:lineRule="exact"/>
              <w:rPr>
                <w:sz w:val="20"/>
                <w:szCs w:val="20"/>
                <w:color w:val="auto"/>
              </w:rPr>
            </w:pPr>
            <w:r>
              <w:rPr>
                <w:rFonts w:ascii="Arial" w:cs="Arial" w:eastAsia="Arial" w:hAnsi="Arial"/>
                <w:sz w:val="10"/>
                <w:szCs w:val="10"/>
                <w:color w:val="auto"/>
                <w:w w:val="91"/>
              </w:rPr>
              <w:t>-0.9%</w:t>
            </w:r>
          </w:p>
        </w:tc>
        <w:tc>
          <w:tcPr>
            <w:tcW w:w="960" w:type="dxa"/>
            <w:vAlign w:val="bottom"/>
            <w:tcBorders>
              <w:right w:val="single" w:sz="8" w:color="auto"/>
            </w:tcBorders>
            <w:gridSpan w:val="2"/>
            <w:shd w:val="clear" w:color="auto" w:fill="CC3399"/>
          </w:tcPr>
          <w:p>
            <w:pPr>
              <w:jc w:val="center"/>
              <w:ind w:left="153"/>
              <w:spacing w:after="0" w:line="103" w:lineRule="exact"/>
              <w:rPr>
                <w:sz w:val="20"/>
                <w:szCs w:val="20"/>
                <w:color w:val="auto"/>
              </w:rPr>
            </w:pPr>
            <w:r>
              <w:rPr>
                <w:rFonts w:ascii="Arial" w:cs="Arial" w:eastAsia="Arial" w:hAnsi="Arial"/>
                <w:sz w:val="10"/>
                <w:szCs w:val="10"/>
                <w:color w:val="auto"/>
                <w:w w:val="91"/>
              </w:rPr>
              <w:t>-6.9%</w:t>
            </w:r>
          </w:p>
        </w:tc>
        <w:tc>
          <w:tcPr>
            <w:tcW w:w="72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w w:val="95"/>
              </w:rPr>
              <w:t>132</w:t>
            </w:r>
          </w:p>
        </w:tc>
        <w:tc>
          <w:tcPr>
            <w:tcW w:w="72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rPr>
              <w:t>85</w:t>
            </w:r>
          </w:p>
        </w:tc>
        <w:tc>
          <w:tcPr>
            <w:tcW w:w="7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b w:val="1"/>
                <w:bCs w:val="1"/>
                <w:color w:val="auto"/>
                <w:w w:val="71"/>
              </w:rPr>
              <w:t>4</w:t>
            </w:r>
          </w:p>
        </w:tc>
        <w:tc>
          <w:tcPr>
            <w:tcW w:w="700" w:type="dxa"/>
            <w:vAlign w:val="bottom"/>
          </w:tcPr>
          <w:p>
            <w:pPr>
              <w:jc w:val="center"/>
              <w:spacing w:after="0" w:line="103" w:lineRule="exact"/>
              <w:rPr>
                <w:sz w:val="20"/>
                <w:szCs w:val="20"/>
                <w:color w:val="auto"/>
              </w:rPr>
            </w:pPr>
            <w:r>
              <w:rPr>
                <w:rFonts w:ascii="Arial" w:cs="Arial" w:eastAsia="Arial" w:hAnsi="Arial"/>
                <w:sz w:val="10"/>
                <w:szCs w:val="10"/>
                <w:color w:val="auto"/>
                <w:w w:val="94"/>
              </w:rPr>
              <w:t>-95.4%</w:t>
            </w:r>
          </w:p>
        </w:tc>
        <w:tc>
          <w:tcPr>
            <w:tcW w:w="740" w:type="dxa"/>
            <w:vAlign w:val="bottom"/>
            <w:tcBorders>
              <w:right w:val="single" w:sz="8" w:color="auto"/>
            </w:tcBorders>
            <w:shd w:val="clear" w:color="auto" w:fill="CC3399"/>
          </w:tcPr>
          <w:p>
            <w:pPr>
              <w:jc w:val="center"/>
              <w:spacing w:after="0" w:line="103" w:lineRule="exact"/>
              <w:rPr>
                <w:sz w:val="20"/>
                <w:szCs w:val="20"/>
                <w:color w:val="auto"/>
              </w:rPr>
            </w:pPr>
            <w:r>
              <w:rPr>
                <w:rFonts w:ascii="Arial" w:cs="Arial" w:eastAsia="Arial" w:hAnsi="Arial"/>
                <w:sz w:val="10"/>
                <w:szCs w:val="10"/>
                <w:color w:val="auto"/>
                <w:w w:val="94"/>
              </w:rPr>
              <w:t>-97.1%</w:t>
            </w:r>
          </w:p>
        </w:tc>
        <w:tc>
          <w:tcPr>
            <w:tcW w:w="840" w:type="dxa"/>
            <w:vAlign w:val="bottom"/>
          </w:tcPr>
          <w:p>
            <w:pPr>
              <w:jc w:val="right"/>
              <w:ind w:right="253"/>
              <w:spacing w:after="0" w:line="103" w:lineRule="exact"/>
              <w:rPr>
                <w:sz w:val="20"/>
                <w:szCs w:val="20"/>
                <w:color w:val="auto"/>
              </w:rPr>
            </w:pPr>
            <w:r>
              <w:rPr>
                <w:rFonts w:ascii="Arial" w:cs="Arial" w:eastAsia="Arial" w:hAnsi="Arial"/>
                <w:sz w:val="10"/>
                <w:szCs w:val="10"/>
                <w:b w:val="1"/>
                <w:bCs w:val="1"/>
                <w:color w:val="auto"/>
              </w:rPr>
              <w:t>99.9%</w:t>
            </w:r>
          </w:p>
        </w:tc>
        <w:tc>
          <w:tcPr>
            <w:tcW w:w="500" w:type="dxa"/>
            <w:vAlign w:val="bottom"/>
            <w:tcBorders>
              <w:right w:val="single" w:sz="8" w:color="auto"/>
            </w:tcBorders>
          </w:tcPr>
          <w:p>
            <w:pPr>
              <w:jc w:val="center"/>
              <w:ind w:right="32"/>
              <w:spacing w:after="0" w:line="103" w:lineRule="exact"/>
              <w:rPr>
                <w:sz w:val="20"/>
                <w:szCs w:val="20"/>
                <w:color w:val="auto"/>
              </w:rPr>
            </w:pPr>
            <w:r>
              <w:rPr>
                <w:rFonts w:ascii="Arial" w:cs="Arial" w:eastAsia="Arial" w:hAnsi="Arial"/>
                <w:sz w:val="10"/>
                <w:szCs w:val="10"/>
                <w:b w:val="1"/>
                <w:bCs w:val="1"/>
                <w:color w:val="auto"/>
                <w:w w:val="96"/>
              </w:rPr>
              <w:t>0.1%</w:t>
            </w:r>
          </w:p>
        </w:tc>
        <w:tc>
          <w:tcPr>
            <w:tcW w:w="0" w:type="dxa"/>
            <w:vAlign w:val="bottom"/>
          </w:tcPr>
          <w:p>
            <w:pPr>
              <w:spacing w:after="0"/>
              <w:rPr>
                <w:sz w:val="1"/>
                <w:szCs w:val="1"/>
                <w:color w:val="auto"/>
              </w:rPr>
            </w:pPr>
          </w:p>
        </w:tc>
      </w:tr>
      <w:tr>
        <w:trPr>
          <w:trHeight w:val="88"/>
        </w:trPr>
        <w:tc>
          <w:tcPr>
            <w:tcW w:w="1800" w:type="dxa"/>
            <w:vAlign w:val="bottom"/>
            <w:tcBorders>
              <w:left w:val="single" w:sz="8" w:color="auto"/>
              <w:right w:val="single" w:sz="8" w:color="auto"/>
            </w:tcBorders>
          </w:tcPr>
          <w:p>
            <w:pPr>
              <w:ind w:left="100"/>
              <w:spacing w:after="0" w:line="89" w:lineRule="exact"/>
              <w:rPr>
                <w:sz w:val="20"/>
                <w:szCs w:val="20"/>
                <w:color w:val="auto"/>
              </w:rPr>
            </w:pPr>
            <w:r>
              <w:rPr>
                <w:rFonts w:ascii="Arial" w:cs="Arial" w:eastAsia="Arial" w:hAnsi="Arial"/>
                <w:sz w:val="10"/>
                <w:szCs w:val="10"/>
                <w:b w:val="1"/>
                <w:bCs w:val="1"/>
                <w:color w:val="auto"/>
              </w:rPr>
              <w:t>Mibanco Colombia</w:t>
            </w:r>
          </w:p>
        </w:tc>
        <w:tc>
          <w:tcPr>
            <w:tcW w:w="780" w:type="dxa"/>
            <w:vAlign w:val="bottom"/>
          </w:tcPr>
          <w:p>
            <w:pPr>
              <w:jc w:val="center"/>
              <w:ind w:left="93"/>
              <w:spacing w:after="0" w:line="89" w:lineRule="exact"/>
              <w:rPr>
                <w:sz w:val="20"/>
                <w:szCs w:val="20"/>
                <w:color w:val="auto"/>
              </w:rPr>
            </w:pPr>
            <w:r>
              <w:rPr>
                <w:rFonts w:ascii="Arial" w:cs="Arial" w:eastAsia="Arial" w:hAnsi="Arial"/>
                <w:sz w:val="10"/>
                <w:szCs w:val="10"/>
                <w:b w:val="1"/>
                <w:bCs w:val="1"/>
                <w:color w:val="auto"/>
              </w:rPr>
              <w:t>-</w:t>
            </w:r>
          </w:p>
        </w:tc>
        <w:tc>
          <w:tcPr>
            <w:tcW w:w="660" w:type="dxa"/>
            <w:vAlign w:val="bottom"/>
          </w:tcPr>
          <w:p>
            <w:pPr>
              <w:jc w:val="right"/>
              <w:ind w:right="192"/>
              <w:spacing w:after="0" w:line="89" w:lineRule="exact"/>
              <w:rPr>
                <w:sz w:val="20"/>
                <w:szCs w:val="20"/>
                <w:color w:val="auto"/>
              </w:rPr>
            </w:pPr>
            <w:r>
              <w:rPr>
                <w:rFonts w:ascii="Arial" w:cs="Arial" w:eastAsia="Arial" w:hAnsi="Arial"/>
                <w:sz w:val="10"/>
                <w:szCs w:val="10"/>
                <w:b w:val="1"/>
                <w:bCs w:val="1"/>
                <w:color w:val="auto"/>
              </w:rPr>
              <w:t>-</w:t>
            </w:r>
          </w:p>
        </w:tc>
        <w:tc>
          <w:tcPr>
            <w:tcW w:w="740" w:type="dxa"/>
            <w:vAlign w:val="bottom"/>
            <w:tcBorders>
              <w:right w:val="single" w:sz="8" w:color="auto"/>
            </w:tcBorders>
          </w:tcPr>
          <w:p>
            <w:pPr>
              <w:jc w:val="right"/>
              <w:ind w:right="192"/>
              <w:spacing w:after="0" w:line="89" w:lineRule="exact"/>
              <w:rPr>
                <w:sz w:val="20"/>
                <w:szCs w:val="20"/>
                <w:color w:val="auto"/>
              </w:rPr>
            </w:pPr>
            <w:r>
              <w:rPr>
                <w:rFonts w:ascii="Arial" w:cs="Arial" w:eastAsia="Arial" w:hAnsi="Arial"/>
                <w:sz w:val="10"/>
                <w:szCs w:val="10"/>
                <w:b w:val="1"/>
                <w:bCs w:val="1"/>
                <w:color w:val="auto"/>
              </w:rPr>
              <w:t>-</w:t>
            </w:r>
          </w:p>
        </w:tc>
        <w:tc>
          <w:tcPr>
            <w:tcW w:w="500" w:type="dxa"/>
            <w:vAlign w:val="bottom"/>
          </w:tcPr>
          <w:p>
            <w:pPr>
              <w:jc w:val="center"/>
              <w:ind w:left="172"/>
              <w:spacing w:after="0" w:line="89" w:lineRule="exact"/>
              <w:rPr>
                <w:sz w:val="20"/>
                <w:szCs w:val="20"/>
                <w:color w:val="auto"/>
              </w:rPr>
            </w:pPr>
            <w:r>
              <w:rPr>
                <w:rFonts w:ascii="Arial" w:cs="Arial" w:eastAsia="Arial" w:hAnsi="Arial"/>
                <w:sz w:val="10"/>
                <w:szCs w:val="10"/>
                <w:color w:val="auto"/>
              </w:rPr>
              <w:t>-</w:t>
            </w:r>
          </w:p>
        </w:tc>
        <w:tc>
          <w:tcPr>
            <w:tcW w:w="960" w:type="dxa"/>
            <w:vAlign w:val="bottom"/>
            <w:tcBorders>
              <w:right w:val="single" w:sz="8" w:color="auto"/>
            </w:tcBorders>
            <w:gridSpan w:val="2"/>
          </w:tcPr>
          <w:p>
            <w:pPr>
              <w:jc w:val="center"/>
              <w:ind w:left="153"/>
              <w:spacing w:after="0" w:line="89" w:lineRule="exact"/>
              <w:rPr>
                <w:sz w:val="20"/>
                <w:szCs w:val="20"/>
                <w:color w:val="auto"/>
              </w:rPr>
            </w:pPr>
            <w:r>
              <w:rPr>
                <w:rFonts w:ascii="Arial" w:cs="Arial" w:eastAsia="Arial" w:hAnsi="Arial"/>
                <w:sz w:val="10"/>
                <w:szCs w:val="10"/>
                <w:color w:val="auto"/>
              </w:rPr>
              <w:t>-</w:t>
            </w:r>
          </w:p>
        </w:tc>
        <w:tc>
          <w:tcPr>
            <w:tcW w:w="720" w:type="dxa"/>
            <w:vAlign w:val="bottom"/>
          </w:tcPr>
          <w:p>
            <w:pPr>
              <w:jc w:val="center"/>
              <w:spacing w:after="0" w:line="89" w:lineRule="exact"/>
              <w:rPr>
                <w:sz w:val="20"/>
                <w:szCs w:val="20"/>
                <w:color w:val="auto"/>
              </w:rPr>
            </w:pPr>
            <w:r>
              <w:rPr>
                <w:rFonts w:ascii="Arial" w:cs="Arial" w:eastAsia="Arial" w:hAnsi="Arial"/>
                <w:sz w:val="10"/>
                <w:szCs w:val="10"/>
                <w:b w:val="1"/>
                <w:bCs w:val="1"/>
                <w:color w:val="auto"/>
                <w:w w:val="95"/>
              </w:rPr>
              <w:t>365</w:t>
            </w:r>
          </w:p>
        </w:tc>
        <w:tc>
          <w:tcPr>
            <w:tcW w:w="720" w:type="dxa"/>
            <w:vAlign w:val="bottom"/>
          </w:tcPr>
          <w:p>
            <w:pPr>
              <w:jc w:val="center"/>
              <w:spacing w:after="0" w:line="89" w:lineRule="exact"/>
              <w:rPr>
                <w:sz w:val="20"/>
                <w:szCs w:val="20"/>
                <w:color w:val="auto"/>
              </w:rPr>
            </w:pPr>
            <w:r>
              <w:rPr>
                <w:rFonts w:ascii="Arial" w:cs="Arial" w:eastAsia="Arial" w:hAnsi="Arial"/>
                <w:sz w:val="10"/>
                <w:szCs w:val="10"/>
                <w:b w:val="1"/>
                <w:bCs w:val="1"/>
                <w:color w:val="auto"/>
                <w:w w:val="95"/>
              </w:rPr>
              <w:t>459</w:t>
            </w:r>
          </w:p>
        </w:tc>
        <w:tc>
          <w:tcPr>
            <w:tcW w:w="740" w:type="dxa"/>
            <w:vAlign w:val="bottom"/>
            <w:tcBorders>
              <w:right w:val="single" w:sz="8" w:color="auto"/>
            </w:tcBorders>
          </w:tcPr>
          <w:p>
            <w:pPr>
              <w:jc w:val="center"/>
              <w:spacing w:after="0" w:line="89" w:lineRule="exact"/>
              <w:rPr>
                <w:sz w:val="20"/>
                <w:szCs w:val="20"/>
                <w:color w:val="auto"/>
              </w:rPr>
            </w:pPr>
            <w:r>
              <w:rPr>
                <w:rFonts w:ascii="Arial" w:cs="Arial" w:eastAsia="Arial" w:hAnsi="Arial"/>
                <w:sz w:val="10"/>
                <w:szCs w:val="10"/>
                <w:b w:val="1"/>
                <w:bCs w:val="1"/>
                <w:color w:val="auto"/>
                <w:w w:val="95"/>
              </w:rPr>
              <w:t>461</w:t>
            </w:r>
          </w:p>
        </w:tc>
        <w:tc>
          <w:tcPr>
            <w:tcW w:w="700" w:type="dxa"/>
            <w:vAlign w:val="bottom"/>
          </w:tcPr>
          <w:p>
            <w:pPr>
              <w:jc w:val="center"/>
              <w:spacing w:after="0" w:line="89" w:lineRule="exact"/>
              <w:rPr>
                <w:sz w:val="20"/>
                <w:szCs w:val="20"/>
                <w:color w:val="auto"/>
              </w:rPr>
            </w:pPr>
            <w:r>
              <w:rPr>
                <w:rFonts w:ascii="Arial" w:cs="Arial" w:eastAsia="Arial" w:hAnsi="Arial"/>
                <w:sz w:val="10"/>
                <w:szCs w:val="10"/>
                <w:color w:val="auto"/>
                <w:w w:val="96"/>
              </w:rPr>
              <w:t>0.4%</w:t>
            </w:r>
          </w:p>
        </w:tc>
        <w:tc>
          <w:tcPr>
            <w:tcW w:w="740" w:type="dxa"/>
            <w:vAlign w:val="bottom"/>
            <w:tcBorders>
              <w:right w:val="single" w:sz="8" w:color="auto"/>
            </w:tcBorders>
          </w:tcPr>
          <w:p>
            <w:pPr>
              <w:jc w:val="center"/>
              <w:spacing w:after="0" w:line="89" w:lineRule="exact"/>
              <w:rPr>
                <w:sz w:val="20"/>
                <w:szCs w:val="20"/>
                <w:color w:val="auto"/>
              </w:rPr>
            </w:pPr>
            <w:r>
              <w:rPr>
                <w:rFonts w:ascii="Arial" w:cs="Arial" w:eastAsia="Arial" w:hAnsi="Arial"/>
                <w:sz w:val="10"/>
                <w:szCs w:val="10"/>
                <w:color w:val="auto"/>
                <w:w w:val="98"/>
              </w:rPr>
              <w:t>26.3%</w:t>
            </w:r>
          </w:p>
        </w:tc>
        <w:tc>
          <w:tcPr>
            <w:tcW w:w="840" w:type="dxa"/>
            <w:vAlign w:val="bottom"/>
          </w:tcPr>
          <w:p>
            <w:pPr>
              <w:jc w:val="right"/>
              <w:ind w:right="353"/>
              <w:spacing w:after="0" w:line="89" w:lineRule="exact"/>
              <w:rPr>
                <w:sz w:val="20"/>
                <w:szCs w:val="20"/>
                <w:color w:val="auto"/>
              </w:rPr>
            </w:pPr>
            <w:r>
              <w:rPr>
                <w:rFonts w:ascii="Arial" w:cs="Arial" w:eastAsia="Arial" w:hAnsi="Arial"/>
                <w:sz w:val="10"/>
                <w:szCs w:val="10"/>
                <w:b w:val="1"/>
                <w:bCs w:val="1"/>
                <w:color w:val="auto"/>
              </w:rPr>
              <w:t>-</w:t>
            </w:r>
          </w:p>
        </w:tc>
        <w:tc>
          <w:tcPr>
            <w:tcW w:w="500" w:type="dxa"/>
            <w:vAlign w:val="bottom"/>
            <w:tcBorders>
              <w:right w:val="single" w:sz="8" w:color="auto"/>
            </w:tcBorders>
          </w:tcPr>
          <w:p>
            <w:pPr>
              <w:jc w:val="center"/>
              <w:ind w:right="12"/>
              <w:spacing w:after="0" w:line="89" w:lineRule="exact"/>
              <w:rPr>
                <w:sz w:val="20"/>
                <w:szCs w:val="20"/>
                <w:color w:val="auto"/>
              </w:rPr>
            </w:pPr>
            <w:r>
              <w:rPr>
                <w:rFonts w:ascii="Arial" w:cs="Arial" w:eastAsia="Arial" w:hAnsi="Arial"/>
                <w:sz w:val="10"/>
                <w:szCs w:val="10"/>
                <w:b w:val="1"/>
                <w:bCs w:val="1"/>
                <w:color w:val="auto"/>
                <w:w w:val="94"/>
              </w:rPr>
              <w:t>100.0%</w:t>
            </w:r>
          </w:p>
        </w:tc>
        <w:tc>
          <w:tcPr>
            <w:tcW w:w="0" w:type="dxa"/>
            <w:vAlign w:val="bottom"/>
          </w:tcPr>
          <w:p>
            <w:pPr>
              <w:spacing w:after="0"/>
              <w:rPr>
                <w:sz w:val="1"/>
                <w:szCs w:val="1"/>
                <w:color w:val="auto"/>
              </w:rPr>
            </w:pPr>
          </w:p>
        </w:tc>
      </w:tr>
      <w:tr>
        <w:trPr>
          <w:trHeight w:val="117"/>
        </w:trPr>
        <w:tc>
          <w:tcPr>
            <w:tcW w:w="1800" w:type="dxa"/>
            <w:vAlign w:val="bottom"/>
            <w:tcBorders>
              <w:left w:val="single" w:sz="8" w:color="auto"/>
              <w:right w:val="single" w:sz="8" w:color="auto"/>
            </w:tcBorders>
          </w:tcPr>
          <w:p>
            <w:pPr>
              <w:ind w:left="100"/>
              <w:spacing w:after="0" w:line="103" w:lineRule="exact"/>
              <w:rPr>
                <w:sz w:val="20"/>
                <w:szCs w:val="20"/>
                <w:color w:val="auto"/>
              </w:rPr>
            </w:pPr>
            <w:r>
              <w:rPr>
                <w:rFonts w:ascii="Arial" w:cs="Arial" w:eastAsia="Arial" w:hAnsi="Arial"/>
                <w:sz w:val="10"/>
                <w:szCs w:val="10"/>
                <w:b w:val="1"/>
                <w:bCs w:val="1"/>
                <w:color w:val="auto"/>
              </w:rPr>
              <w:t>Bolivia</w:t>
            </w:r>
          </w:p>
        </w:tc>
        <w:tc>
          <w:tcPr>
            <w:tcW w:w="780" w:type="dxa"/>
            <w:vAlign w:val="bottom"/>
          </w:tcPr>
          <w:p>
            <w:pPr>
              <w:jc w:val="center"/>
              <w:ind w:left="93"/>
              <w:spacing w:after="0" w:line="103" w:lineRule="exact"/>
              <w:rPr>
                <w:sz w:val="20"/>
                <w:szCs w:val="20"/>
                <w:color w:val="auto"/>
              </w:rPr>
            </w:pPr>
            <w:r>
              <w:rPr>
                <w:rFonts w:ascii="Arial" w:cs="Arial" w:eastAsia="Arial" w:hAnsi="Arial"/>
                <w:sz w:val="10"/>
                <w:szCs w:val="10"/>
                <w:b w:val="1"/>
                <w:bCs w:val="1"/>
                <w:color w:val="auto"/>
              </w:rPr>
              <w:t>-</w:t>
            </w:r>
          </w:p>
        </w:tc>
        <w:tc>
          <w:tcPr>
            <w:tcW w:w="660" w:type="dxa"/>
            <w:vAlign w:val="bottom"/>
          </w:tcPr>
          <w:p>
            <w:pPr>
              <w:jc w:val="right"/>
              <w:ind w:right="192"/>
              <w:spacing w:after="0" w:line="103" w:lineRule="exact"/>
              <w:rPr>
                <w:sz w:val="20"/>
                <w:szCs w:val="20"/>
                <w:color w:val="auto"/>
              </w:rPr>
            </w:pPr>
            <w:r>
              <w:rPr>
                <w:rFonts w:ascii="Arial" w:cs="Arial" w:eastAsia="Arial" w:hAnsi="Arial"/>
                <w:sz w:val="10"/>
                <w:szCs w:val="10"/>
                <w:b w:val="1"/>
                <w:bCs w:val="1"/>
                <w:color w:val="auto"/>
              </w:rPr>
              <w:t>-</w:t>
            </w:r>
          </w:p>
        </w:tc>
        <w:tc>
          <w:tcPr>
            <w:tcW w:w="740" w:type="dxa"/>
            <w:vAlign w:val="bottom"/>
            <w:tcBorders>
              <w:right w:val="single" w:sz="8" w:color="auto"/>
            </w:tcBorders>
          </w:tcPr>
          <w:p>
            <w:pPr>
              <w:jc w:val="right"/>
              <w:ind w:right="192"/>
              <w:spacing w:after="0" w:line="103" w:lineRule="exact"/>
              <w:rPr>
                <w:sz w:val="20"/>
                <w:szCs w:val="20"/>
                <w:color w:val="auto"/>
              </w:rPr>
            </w:pPr>
            <w:r>
              <w:rPr>
                <w:rFonts w:ascii="Arial" w:cs="Arial" w:eastAsia="Arial" w:hAnsi="Arial"/>
                <w:sz w:val="10"/>
                <w:szCs w:val="10"/>
                <w:b w:val="1"/>
                <w:bCs w:val="1"/>
                <w:color w:val="auto"/>
              </w:rPr>
              <w:t>-</w:t>
            </w:r>
          </w:p>
        </w:tc>
        <w:tc>
          <w:tcPr>
            <w:tcW w:w="500" w:type="dxa"/>
            <w:vAlign w:val="bottom"/>
          </w:tcPr>
          <w:p>
            <w:pPr>
              <w:jc w:val="center"/>
              <w:ind w:left="172"/>
              <w:spacing w:after="0" w:line="103" w:lineRule="exact"/>
              <w:rPr>
                <w:sz w:val="20"/>
                <w:szCs w:val="20"/>
                <w:color w:val="auto"/>
              </w:rPr>
            </w:pPr>
            <w:r>
              <w:rPr>
                <w:rFonts w:ascii="Arial" w:cs="Arial" w:eastAsia="Arial" w:hAnsi="Arial"/>
                <w:sz w:val="10"/>
                <w:szCs w:val="10"/>
                <w:color w:val="auto"/>
              </w:rPr>
              <w:t>-</w:t>
            </w:r>
          </w:p>
        </w:tc>
        <w:tc>
          <w:tcPr>
            <w:tcW w:w="960" w:type="dxa"/>
            <w:vAlign w:val="bottom"/>
            <w:tcBorders>
              <w:right w:val="single" w:sz="8" w:color="auto"/>
            </w:tcBorders>
            <w:gridSpan w:val="2"/>
          </w:tcPr>
          <w:p>
            <w:pPr>
              <w:jc w:val="center"/>
              <w:ind w:left="153"/>
              <w:spacing w:after="0" w:line="103" w:lineRule="exact"/>
              <w:rPr>
                <w:sz w:val="20"/>
                <w:szCs w:val="20"/>
                <w:color w:val="auto"/>
              </w:rPr>
            </w:pPr>
            <w:r>
              <w:rPr>
                <w:rFonts w:ascii="Arial" w:cs="Arial" w:eastAsia="Arial" w:hAnsi="Arial"/>
                <w:sz w:val="10"/>
                <w:szCs w:val="10"/>
                <w:color w:val="auto"/>
              </w:rPr>
              <w:t>-</w:t>
            </w:r>
          </w:p>
        </w:tc>
        <w:tc>
          <w:tcPr>
            <w:tcW w:w="72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w w:val="95"/>
              </w:rPr>
              <w:t>2,405</w:t>
            </w:r>
          </w:p>
        </w:tc>
        <w:tc>
          <w:tcPr>
            <w:tcW w:w="72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w w:val="95"/>
              </w:rPr>
              <w:t>2,485</w:t>
            </w:r>
          </w:p>
        </w:tc>
        <w:tc>
          <w:tcPr>
            <w:tcW w:w="7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b w:val="1"/>
                <w:bCs w:val="1"/>
                <w:color w:val="auto"/>
                <w:w w:val="95"/>
              </w:rPr>
              <w:t>2,557</w:t>
            </w:r>
          </w:p>
        </w:tc>
        <w:tc>
          <w:tcPr>
            <w:tcW w:w="700" w:type="dxa"/>
            <w:vAlign w:val="bottom"/>
          </w:tcPr>
          <w:p>
            <w:pPr>
              <w:jc w:val="center"/>
              <w:spacing w:after="0" w:line="103" w:lineRule="exact"/>
              <w:rPr>
                <w:sz w:val="20"/>
                <w:szCs w:val="20"/>
                <w:color w:val="auto"/>
              </w:rPr>
            </w:pPr>
            <w:r>
              <w:rPr>
                <w:rFonts w:ascii="Arial" w:cs="Arial" w:eastAsia="Arial" w:hAnsi="Arial"/>
                <w:sz w:val="10"/>
                <w:szCs w:val="10"/>
                <w:color w:val="auto"/>
                <w:w w:val="96"/>
              </w:rPr>
              <w:t>2.9%</w:t>
            </w:r>
          </w:p>
        </w:tc>
        <w:tc>
          <w:tcPr>
            <w:tcW w:w="740" w:type="dxa"/>
            <w:vAlign w:val="bottom"/>
            <w:tcBorders>
              <w:right w:val="single" w:sz="8" w:color="auto"/>
            </w:tcBorders>
            <w:shd w:val="clear" w:color="auto" w:fill="00B050"/>
          </w:tcPr>
          <w:p>
            <w:pPr>
              <w:jc w:val="center"/>
              <w:spacing w:after="0" w:line="103" w:lineRule="exact"/>
              <w:rPr>
                <w:sz w:val="20"/>
                <w:szCs w:val="20"/>
                <w:color w:val="auto"/>
              </w:rPr>
            </w:pPr>
            <w:r>
              <w:rPr>
                <w:rFonts w:ascii="Arial" w:cs="Arial" w:eastAsia="Arial" w:hAnsi="Arial"/>
                <w:sz w:val="10"/>
                <w:szCs w:val="10"/>
                <w:color w:val="auto"/>
                <w:w w:val="96"/>
              </w:rPr>
              <w:t>6.3%</w:t>
            </w:r>
          </w:p>
        </w:tc>
        <w:tc>
          <w:tcPr>
            <w:tcW w:w="840" w:type="dxa"/>
            <w:vAlign w:val="bottom"/>
          </w:tcPr>
          <w:p>
            <w:pPr>
              <w:jc w:val="right"/>
              <w:ind w:right="353"/>
              <w:spacing w:after="0" w:line="103" w:lineRule="exact"/>
              <w:rPr>
                <w:sz w:val="20"/>
                <w:szCs w:val="20"/>
                <w:color w:val="auto"/>
              </w:rPr>
            </w:pPr>
            <w:r>
              <w:rPr>
                <w:rFonts w:ascii="Arial" w:cs="Arial" w:eastAsia="Arial" w:hAnsi="Arial"/>
                <w:sz w:val="10"/>
                <w:szCs w:val="10"/>
                <w:b w:val="1"/>
                <w:bCs w:val="1"/>
                <w:color w:val="auto"/>
              </w:rPr>
              <w:t>-</w:t>
            </w:r>
          </w:p>
        </w:tc>
        <w:tc>
          <w:tcPr>
            <w:tcW w:w="500" w:type="dxa"/>
            <w:vAlign w:val="bottom"/>
            <w:tcBorders>
              <w:right w:val="single" w:sz="8" w:color="auto"/>
            </w:tcBorders>
          </w:tcPr>
          <w:p>
            <w:pPr>
              <w:jc w:val="center"/>
              <w:ind w:right="12"/>
              <w:spacing w:after="0" w:line="103" w:lineRule="exact"/>
              <w:rPr>
                <w:sz w:val="20"/>
                <w:szCs w:val="20"/>
                <w:color w:val="auto"/>
              </w:rPr>
            </w:pPr>
            <w:r>
              <w:rPr>
                <w:rFonts w:ascii="Arial" w:cs="Arial" w:eastAsia="Arial" w:hAnsi="Arial"/>
                <w:sz w:val="10"/>
                <w:szCs w:val="10"/>
                <w:b w:val="1"/>
                <w:bCs w:val="1"/>
                <w:color w:val="auto"/>
                <w:w w:val="94"/>
              </w:rPr>
              <w:t>100.0%</w:t>
            </w:r>
          </w:p>
        </w:tc>
        <w:tc>
          <w:tcPr>
            <w:tcW w:w="0" w:type="dxa"/>
            <w:vAlign w:val="bottom"/>
          </w:tcPr>
          <w:p>
            <w:pPr>
              <w:spacing w:after="0"/>
              <w:rPr>
                <w:sz w:val="1"/>
                <w:szCs w:val="1"/>
                <w:color w:val="auto"/>
              </w:rPr>
            </w:pPr>
          </w:p>
        </w:tc>
      </w:tr>
      <w:tr>
        <w:trPr>
          <w:trHeight w:val="103"/>
        </w:trPr>
        <w:tc>
          <w:tcPr>
            <w:tcW w:w="1800" w:type="dxa"/>
            <w:vAlign w:val="bottom"/>
            <w:tcBorders>
              <w:left w:val="single" w:sz="8" w:color="auto"/>
              <w:bottom w:val="single" w:sz="8" w:color="auto"/>
              <w:right w:val="single" w:sz="8" w:color="auto"/>
            </w:tcBorders>
          </w:tcPr>
          <w:p>
            <w:pPr>
              <w:ind w:left="100"/>
              <w:spacing w:after="0" w:line="103" w:lineRule="exact"/>
              <w:rPr>
                <w:sz w:val="20"/>
                <w:szCs w:val="20"/>
                <w:color w:val="auto"/>
              </w:rPr>
            </w:pPr>
            <w:r>
              <w:rPr>
                <w:rFonts w:ascii="Arial" w:cs="Arial" w:eastAsia="Arial" w:hAnsi="Arial"/>
                <w:sz w:val="10"/>
                <w:szCs w:val="10"/>
                <w:b w:val="1"/>
                <w:bCs w:val="1"/>
                <w:color w:val="auto"/>
              </w:rPr>
              <w:t>ASB Bank Corp.</w:t>
            </w:r>
          </w:p>
        </w:tc>
        <w:tc>
          <w:tcPr>
            <w:tcW w:w="780" w:type="dxa"/>
            <w:vAlign w:val="bottom"/>
            <w:tcBorders>
              <w:bottom w:val="single" w:sz="8" w:color="auto"/>
            </w:tcBorders>
          </w:tcPr>
          <w:p>
            <w:pPr>
              <w:jc w:val="center"/>
              <w:ind w:left="93"/>
              <w:spacing w:after="0" w:line="103" w:lineRule="exact"/>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auto"/>
            </w:tcBorders>
          </w:tcPr>
          <w:p>
            <w:pPr>
              <w:jc w:val="right"/>
              <w:ind w:right="192"/>
              <w:spacing w:after="0" w:line="103" w:lineRule="exact"/>
              <w:rPr>
                <w:sz w:val="20"/>
                <w:szCs w:val="20"/>
                <w:color w:val="auto"/>
              </w:rPr>
            </w:pPr>
            <w:r>
              <w:rPr>
                <w:rFonts w:ascii="Arial" w:cs="Arial" w:eastAsia="Arial" w:hAnsi="Arial"/>
                <w:sz w:val="10"/>
                <w:szCs w:val="10"/>
                <w:b w:val="1"/>
                <w:bCs w:val="1"/>
                <w:color w:val="auto"/>
              </w:rPr>
              <w:t>-</w:t>
            </w:r>
          </w:p>
        </w:tc>
        <w:tc>
          <w:tcPr>
            <w:tcW w:w="740" w:type="dxa"/>
            <w:vAlign w:val="bottom"/>
            <w:tcBorders>
              <w:bottom w:val="single" w:sz="8" w:color="auto"/>
              <w:right w:val="single" w:sz="8" w:color="auto"/>
            </w:tcBorders>
          </w:tcPr>
          <w:p>
            <w:pPr>
              <w:jc w:val="right"/>
              <w:ind w:right="192"/>
              <w:spacing w:after="0" w:line="103" w:lineRule="exact"/>
              <w:rPr>
                <w:sz w:val="20"/>
                <w:szCs w:val="20"/>
                <w:color w:val="auto"/>
              </w:rPr>
            </w:pPr>
            <w:r>
              <w:rPr>
                <w:rFonts w:ascii="Arial" w:cs="Arial" w:eastAsia="Arial" w:hAnsi="Arial"/>
                <w:sz w:val="10"/>
                <w:szCs w:val="10"/>
                <w:b w:val="1"/>
                <w:bCs w:val="1"/>
                <w:color w:val="auto"/>
              </w:rPr>
              <w:t>-</w:t>
            </w:r>
          </w:p>
        </w:tc>
        <w:tc>
          <w:tcPr>
            <w:tcW w:w="500" w:type="dxa"/>
            <w:vAlign w:val="bottom"/>
            <w:tcBorders>
              <w:bottom w:val="single" w:sz="8" w:color="auto"/>
            </w:tcBorders>
          </w:tcPr>
          <w:p>
            <w:pPr>
              <w:jc w:val="center"/>
              <w:ind w:left="172"/>
              <w:spacing w:after="0" w:line="103" w:lineRule="exact"/>
              <w:rPr>
                <w:sz w:val="20"/>
                <w:szCs w:val="20"/>
                <w:color w:val="auto"/>
              </w:rPr>
            </w:pPr>
            <w:r>
              <w:rPr>
                <w:rFonts w:ascii="Arial" w:cs="Arial" w:eastAsia="Arial" w:hAnsi="Arial"/>
                <w:sz w:val="10"/>
                <w:szCs w:val="10"/>
                <w:color w:val="auto"/>
              </w:rPr>
              <w:t>-</w:t>
            </w:r>
          </w:p>
        </w:tc>
        <w:tc>
          <w:tcPr>
            <w:tcW w:w="960" w:type="dxa"/>
            <w:vAlign w:val="bottom"/>
            <w:tcBorders>
              <w:bottom w:val="single" w:sz="8" w:color="auto"/>
              <w:right w:val="single" w:sz="8" w:color="auto"/>
            </w:tcBorders>
            <w:gridSpan w:val="2"/>
          </w:tcPr>
          <w:p>
            <w:pPr>
              <w:jc w:val="center"/>
              <w:ind w:left="153"/>
              <w:spacing w:after="0" w:line="103" w:lineRule="exact"/>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center"/>
              <w:spacing w:after="0" w:line="103" w:lineRule="exact"/>
              <w:rPr>
                <w:sz w:val="20"/>
                <w:szCs w:val="20"/>
                <w:color w:val="auto"/>
              </w:rPr>
            </w:pPr>
            <w:r>
              <w:rPr>
                <w:rFonts w:ascii="Arial" w:cs="Arial" w:eastAsia="Arial" w:hAnsi="Arial"/>
                <w:sz w:val="10"/>
                <w:szCs w:val="10"/>
                <w:b w:val="1"/>
                <w:bCs w:val="1"/>
                <w:color w:val="auto"/>
                <w:w w:val="95"/>
              </w:rPr>
              <w:t>498</w:t>
            </w:r>
          </w:p>
        </w:tc>
        <w:tc>
          <w:tcPr>
            <w:tcW w:w="720" w:type="dxa"/>
            <w:vAlign w:val="bottom"/>
            <w:tcBorders>
              <w:bottom w:val="single" w:sz="8" w:color="auto"/>
            </w:tcBorders>
          </w:tcPr>
          <w:p>
            <w:pPr>
              <w:jc w:val="center"/>
              <w:spacing w:after="0" w:line="103" w:lineRule="exact"/>
              <w:rPr>
                <w:sz w:val="20"/>
                <w:szCs w:val="20"/>
                <w:color w:val="auto"/>
              </w:rPr>
            </w:pPr>
            <w:r>
              <w:rPr>
                <w:rFonts w:ascii="Arial" w:cs="Arial" w:eastAsia="Arial" w:hAnsi="Arial"/>
                <w:sz w:val="10"/>
                <w:szCs w:val="10"/>
                <w:b w:val="1"/>
                <w:bCs w:val="1"/>
                <w:color w:val="auto"/>
                <w:w w:val="95"/>
              </w:rPr>
              <w:t>454</w:t>
            </w:r>
          </w:p>
        </w:tc>
        <w:tc>
          <w:tcPr>
            <w:tcW w:w="740" w:type="dxa"/>
            <w:vAlign w:val="bottom"/>
            <w:tcBorders>
              <w:bottom w:val="single" w:sz="8" w:color="auto"/>
              <w:right w:val="single" w:sz="8" w:color="auto"/>
            </w:tcBorders>
          </w:tcPr>
          <w:p>
            <w:pPr>
              <w:jc w:val="center"/>
              <w:spacing w:after="0" w:line="103" w:lineRule="exact"/>
              <w:rPr>
                <w:sz w:val="20"/>
                <w:szCs w:val="20"/>
                <w:color w:val="auto"/>
              </w:rPr>
            </w:pPr>
            <w:r>
              <w:rPr>
                <w:rFonts w:ascii="Arial" w:cs="Arial" w:eastAsia="Arial" w:hAnsi="Arial"/>
                <w:sz w:val="10"/>
                <w:szCs w:val="10"/>
                <w:b w:val="1"/>
                <w:bCs w:val="1"/>
                <w:color w:val="auto"/>
                <w:w w:val="95"/>
              </w:rPr>
              <w:t>426</w:t>
            </w:r>
          </w:p>
        </w:tc>
        <w:tc>
          <w:tcPr>
            <w:tcW w:w="700" w:type="dxa"/>
            <w:vAlign w:val="bottom"/>
            <w:tcBorders>
              <w:bottom w:val="single" w:sz="8" w:color="auto"/>
            </w:tcBorders>
          </w:tcPr>
          <w:p>
            <w:pPr>
              <w:jc w:val="center"/>
              <w:spacing w:after="0" w:line="103" w:lineRule="exact"/>
              <w:rPr>
                <w:sz w:val="20"/>
                <w:szCs w:val="20"/>
                <w:color w:val="auto"/>
              </w:rPr>
            </w:pPr>
            <w:r>
              <w:rPr>
                <w:rFonts w:ascii="Arial" w:cs="Arial" w:eastAsia="Arial" w:hAnsi="Arial"/>
                <w:sz w:val="10"/>
                <w:szCs w:val="10"/>
                <w:color w:val="auto"/>
                <w:w w:val="91"/>
              </w:rPr>
              <w:t>-6.3%</w:t>
            </w:r>
          </w:p>
        </w:tc>
        <w:tc>
          <w:tcPr>
            <w:tcW w:w="740" w:type="dxa"/>
            <w:vAlign w:val="bottom"/>
            <w:tcBorders>
              <w:bottom w:val="single" w:sz="8" w:color="auto"/>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-14.6%</w:t>
            </w:r>
          </w:p>
        </w:tc>
        <w:tc>
          <w:tcPr>
            <w:tcW w:w="840" w:type="dxa"/>
            <w:vAlign w:val="bottom"/>
            <w:tcBorders>
              <w:bottom w:val="single" w:sz="8" w:color="auto"/>
            </w:tcBorders>
          </w:tcPr>
          <w:p>
            <w:pPr>
              <w:jc w:val="right"/>
              <w:ind w:right="353"/>
              <w:spacing w:after="0" w:line="103" w:lineRule="exact"/>
              <w:rPr>
                <w:sz w:val="20"/>
                <w:szCs w:val="20"/>
                <w:color w:val="auto"/>
              </w:rPr>
            </w:pPr>
            <w:r>
              <w:rPr>
                <w:rFonts w:ascii="Arial" w:cs="Arial" w:eastAsia="Arial" w:hAnsi="Arial"/>
                <w:sz w:val="10"/>
                <w:szCs w:val="10"/>
                <w:b w:val="1"/>
                <w:bCs w:val="1"/>
                <w:color w:val="auto"/>
              </w:rPr>
              <w:t>-</w:t>
            </w:r>
          </w:p>
        </w:tc>
        <w:tc>
          <w:tcPr>
            <w:tcW w:w="500" w:type="dxa"/>
            <w:vAlign w:val="bottom"/>
            <w:tcBorders>
              <w:bottom w:val="single" w:sz="8" w:color="auto"/>
              <w:right w:val="single" w:sz="8" w:color="auto"/>
            </w:tcBorders>
          </w:tcPr>
          <w:p>
            <w:pPr>
              <w:jc w:val="center"/>
              <w:ind w:right="12"/>
              <w:spacing w:after="0" w:line="103" w:lineRule="exact"/>
              <w:rPr>
                <w:sz w:val="20"/>
                <w:szCs w:val="20"/>
                <w:color w:val="auto"/>
              </w:rPr>
            </w:pPr>
            <w:r>
              <w:rPr>
                <w:rFonts w:ascii="Arial" w:cs="Arial" w:eastAsia="Arial" w:hAnsi="Arial"/>
                <w:sz w:val="10"/>
                <w:szCs w:val="10"/>
                <w:b w:val="1"/>
                <w:bCs w:val="1"/>
                <w:color w:val="auto"/>
                <w:w w:val="94"/>
              </w:rPr>
              <w:t>100.0%</w:t>
            </w:r>
          </w:p>
        </w:tc>
        <w:tc>
          <w:tcPr>
            <w:tcW w:w="0" w:type="dxa"/>
            <w:vAlign w:val="bottom"/>
          </w:tcPr>
          <w:p>
            <w:pPr>
              <w:spacing w:after="0"/>
              <w:rPr>
                <w:sz w:val="1"/>
                <w:szCs w:val="1"/>
                <w:color w:val="auto"/>
              </w:rPr>
            </w:pPr>
          </w:p>
        </w:tc>
      </w:tr>
      <w:tr>
        <w:trPr>
          <w:trHeight w:val="93"/>
        </w:trPr>
        <w:tc>
          <w:tcPr>
            <w:tcW w:w="1800" w:type="dxa"/>
            <w:vAlign w:val="bottom"/>
            <w:tcBorders>
              <w:left w:val="single" w:sz="8" w:color="auto"/>
              <w:bottom w:val="single" w:sz="8" w:color="auto"/>
              <w:right w:val="single" w:sz="8" w:color="auto"/>
            </w:tcBorders>
          </w:tcPr>
          <w:p>
            <w:pPr>
              <w:ind w:left="100"/>
              <w:spacing w:after="0" w:line="93" w:lineRule="exact"/>
              <w:rPr>
                <w:sz w:val="20"/>
                <w:szCs w:val="20"/>
                <w:color w:val="auto"/>
              </w:rPr>
            </w:pPr>
            <w:r>
              <w:rPr>
                <w:rFonts w:ascii="Arial" w:cs="Arial" w:eastAsia="Arial" w:hAnsi="Arial"/>
                <w:sz w:val="10"/>
                <w:szCs w:val="10"/>
                <w:b w:val="1"/>
                <w:bCs w:val="1"/>
                <w:color w:val="auto"/>
              </w:rPr>
              <w:t>Total loans</w:t>
            </w:r>
          </w:p>
        </w:tc>
        <w:tc>
          <w:tcPr>
            <w:tcW w:w="780" w:type="dxa"/>
            <w:vAlign w:val="bottom"/>
            <w:tcBorders>
              <w:bottom w:val="single" w:sz="8" w:color="auto"/>
            </w:tcBorders>
          </w:tcPr>
          <w:p>
            <w:pPr>
              <w:jc w:val="center"/>
              <w:ind w:left="133"/>
              <w:spacing w:after="0" w:line="93" w:lineRule="exact"/>
              <w:rPr>
                <w:sz w:val="20"/>
                <w:szCs w:val="20"/>
                <w:color w:val="auto"/>
              </w:rPr>
            </w:pPr>
            <w:r>
              <w:rPr>
                <w:rFonts w:ascii="Arial" w:cs="Arial" w:eastAsia="Arial" w:hAnsi="Arial"/>
                <w:sz w:val="10"/>
                <w:szCs w:val="10"/>
                <w:b w:val="1"/>
                <w:bCs w:val="1"/>
                <w:color w:val="auto"/>
                <w:w w:val="91"/>
              </w:rPr>
              <w:t>94,306</w:t>
            </w:r>
          </w:p>
        </w:tc>
        <w:tc>
          <w:tcPr>
            <w:tcW w:w="660" w:type="dxa"/>
            <w:vAlign w:val="bottom"/>
            <w:tcBorders>
              <w:bottom w:val="single" w:sz="8" w:color="auto"/>
            </w:tcBorders>
          </w:tcPr>
          <w:p>
            <w:pPr>
              <w:jc w:val="center"/>
              <w:ind w:right="32"/>
              <w:spacing w:after="0" w:line="93" w:lineRule="exact"/>
              <w:rPr>
                <w:sz w:val="20"/>
                <w:szCs w:val="20"/>
                <w:color w:val="auto"/>
              </w:rPr>
            </w:pPr>
            <w:r>
              <w:rPr>
                <w:rFonts w:ascii="Arial" w:cs="Arial" w:eastAsia="Arial" w:hAnsi="Arial"/>
                <w:sz w:val="10"/>
                <w:szCs w:val="10"/>
                <w:b w:val="1"/>
                <w:bCs w:val="1"/>
                <w:color w:val="auto"/>
                <w:w w:val="97"/>
              </w:rPr>
              <w:t>91,143</w:t>
            </w:r>
          </w:p>
        </w:tc>
        <w:tc>
          <w:tcPr>
            <w:tcW w:w="74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1"/>
              </w:rPr>
              <w:t>91,954</w:t>
            </w:r>
          </w:p>
        </w:tc>
        <w:tc>
          <w:tcPr>
            <w:tcW w:w="500" w:type="dxa"/>
            <w:vAlign w:val="bottom"/>
            <w:tcBorders>
              <w:bottom w:val="single" w:sz="8" w:color="auto"/>
            </w:tcBorders>
          </w:tcPr>
          <w:p>
            <w:pPr>
              <w:jc w:val="center"/>
              <w:ind w:left="152"/>
              <w:spacing w:after="0" w:line="93" w:lineRule="exact"/>
              <w:rPr>
                <w:sz w:val="20"/>
                <w:szCs w:val="20"/>
                <w:color w:val="auto"/>
              </w:rPr>
            </w:pPr>
            <w:r>
              <w:rPr>
                <w:rFonts w:ascii="Arial" w:cs="Arial" w:eastAsia="Arial" w:hAnsi="Arial"/>
                <w:sz w:val="10"/>
                <w:szCs w:val="10"/>
                <w:b w:val="1"/>
                <w:bCs w:val="1"/>
                <w:color w:val="auto"/>
                <w:w w:val="96"/>
              </w:rPr>
              <w:t>0.9%</w:t>
            </w:r>
          </w:p>
        </w:tc>
        <w:tc>
          <w:tcPr>
            <w:tcW w:w="960" w:type="dxa"/>
            <w:vAlign w:val="bottom"/>
            <w:tcBorders>
              <w:bottom w:val="single" w:sz="8" w:color="auto"/>
              <w:right w:val="single" w:sz="8" w:color="auto"/>
            </w:tcBorders>
            <w:gridSpan w:val="2"/>
          </w:tcPr>
          <w:p>
            <w:pPr>
              <w:jc w:val="center"/>
              <w:ind w:left="153"/>
              <w:spacing w:after="0" w:line="93" w:lineRule="exact"/>
              <w:rPr>
                <w:sz w:val="20"/>
                <w:szCs w:val="20"/>
                <w:color w:val="auto"/>
              </w:rPr>
            </w:pPr>
            <w:r>
              <w:rPr>
                <w:rFonts w:ascii="Arial" w:cs="Arial" w:eastAsia="Arial" w:hAnsi="Arial"/>
                <w:sz w:val="10"/>
                <w:szCs w:val="10"/>
                <w:b w:val="1"/>
                <w:bCs w:val="1"/>
                <w:color w:val="auto"/>
                <w:w w:val="91"/>
              </w:rPr>
              <w:t>-2.5%</w:t>
            </w:r>
          </w:p>
        </w:tc>
        <w:tc>
          <w:tcPr>
            <w:tcW w:w="72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1"/>
              </w:rPr>
              <w:t>12,985</w:t>
            </w:r>
          </w:p>
        </w:tc>
        <w:tc>
          <w:tcPr>
            <w:tcW w:w="72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1"/>
              </w:rPr>
              <w:t>13,081</w:t>
            </w:r>
          </w:p>
        </w:tc>
        <w:tc>
          <w:tcPr>
            <w:tcW w:w="74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1"/>
              </w:rPr>
              <w:t>13,333</w:t>
            </w:r>
          </w:p>
        </w:tc>
        <w:tc>
          <w:tcPr>
            <w:tcW w:w="7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6"/>
              </w:rPr>
              <w:t>1.9%</w:t>
            </w:r>
          </w:p>
        </w:tc>
        <w:tc>
          <w:tcPr>
            <w:tcW w:w="74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6"/>
              </w:rPr>
              <w:t>2.7%</w:t>
            </w:r>
          </w:p>
        </w:tc>
        <w:tc>
          <w:tcPr>
            <w:tcW w:w="840" w:type="dxa"/>
            <w:vAlign w:val="bottom"/>
            <w:tcBorders>
              <w:bottom w:val="single" w:sz="8" w:color="auto"/>
            </w:tcBorders>
          </w:tcPr>
          <w:p>
            <w:pPr>
              <w:jc w:val="right"/>
              <w:ind w:right="253"/>
              <w:spacing w:after="0" w:line="93" w:lineRule="exact"/>
              <w:rPr>
                <w:sz w:val="20"/>
                <w:szCs w:val="20"/>
                <w:color w:val="auto"/>
              </w:rPr>
            </w:pPr>
            <w:r>
              <w:rPr>
                <w:rFonts w:ascii="Arial" w:cs="Arial" w:eastAsia="Arial" w:hAnsi="Arial"/>
                <w:sz w:val="10"/>
                <w:szCs w:val="10"/>
                <w:b w:val="1"/>
                <w:bCs w:val="1"/>
                <w:color w:val="auto"/>
              </w:rPr>
              <w:t>64.6%</w:t>
            </w:r>
          </w:p>
        </w:tc>
        <w:tc>
          <w:tcPr>
            <w:tcW w:w="500" w:type="dxa"/>
            <w:vAlign w:val="bottom"/>
            <w:tcBorders>
              <w:bottom w:val="single" w:sz="8" w:color="auto"/>
              <w:right w:val="single" w:sz="8" w:color="auto"/>
            </w:tcBorders>
          </w:tcPr>
          <w:p>
            <w:pPr>
              <w:jc w:val="center"/>
              <w:ind w:right="12"/>
              <w:spacing w:after="0" w:line="93" w:lineRule="exact"/>
              <w:rPr>
                <w:sz w:val="20"/>
                <w:szCs w:val="20"/>
                <w:color w:val="auto"/>
              </w:rPr>
            </w:pPr>
            <w:r>
              <w:rPr>
                <w:rFonts w:ascii="Arial" w:cs="Arial" w:eastAsia="Arial" w:hAnsi="Arial"/>
                <w:sz w:val="10"/>
                <w:szCs w:val="10"/>
                <w:b w:val="1"/>
                <w:bCs w:val="1"/>
                <w:color w:val="auto"/>
                <w:w w:val="98"/>
              </w:rPr>
              <w:t>35.4%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-1070610</wp:posOffset>
            </wp:positionV>
            <wp:extent cx="370332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703320" cy="6350"/>
                    </a:xfrm>
                    <a:prstGeom prst="rect">
                      <a:avLst/>
                    </a:prstGeom>
                    <a:noFill/>
                  </pic:spPr>
                </pic:pic>
              </a:graphicData>
            </a:graphic>
          </wp:anchor>
        </w:drawing>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0"/>
          <w:szCs w:val="10"/>
          <w:color w:val="auto"/>
        </w:rPr>
        <w:t>Measured 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4885055</wp:posOffset>
            </wp:positionH>
            <wp:positionV relativeFrom="paragraph">
              <wp:posOffset>-61595</wp:posOffset>
            </wp:positionV>
            <wp:extent cx="1306195" cy="1308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06195" cy="130810"/>
                    </a:xfrm>
                    <a:prstGeom prst="rect">
                      <a:avLst/>
                    </a:prstGeom>
                    <a:noFill/>
                  </pic:spPr>
                </pic:pic>
              </a:graphicData>
            </a:graphic>
          </wp:anchor>
        </w:drawing>
      </w:r>
    </w:p>
    <w:p>
      <w:pPr>
        <w:ind w:left="360" w:hanging="146"/>
        <w:spacing w:after="0" w:line="214" w:lineRule="auto"/>
        <w:tabs>
          <w:tab w:leader="none" w:pos="360" w:val="left"/>
        </w:tabs>
        <w:numPr>
          <w:ilvl w:val="0"/>
          <w:numId w:val="19"/>
        </w:numPr>
        <w:rPr>
          <w:rFonts w:ascii="Arial" w:cs="Arial" w:eastAsia="Arial" w:hAnsi="Arial"/>
          <w:sz w:val="10"/>
          <w:szCs w:val="10"/>
          <w:color w:val="auto"/>
        </w:rPr>
      </w:pPr>
      <w:r>
        <w:rPr>
          <w:rFonts w:ascii="Arial" w:cs="Arial" w:eastAsia="Arial" w:hAnsi="Arial"/>
          <w:sz w:val="10"/>
          <w:szCs w:val="10"/>
          <w:color w:val="auto"/>
        </w:rPr>
        <w:t>Includes Work out unit, and other banking.</w:t>
      </w:r>
    </w:p>
    <w:p>
      <w:pPr>
        <w:ind w:left="360" w:hanging="146"/>
        <w:spacing w:after="0"/>
        <w:tabs>
          <w:tab w:leader="none" w:pos="360" w:val="left"/>
        </w:tabs>
        <w:numPr>
          <w:ilvl w:val="0"/>
          <w:numId w:val="19"/>
        </w:numPr>
        <w:rPr>
          <w:rFonts w:ascii="Arial" w:cs="Arial" w:eastAsia="Arial" w:hAnsi="Arial"/>
          <w:sz w:val="10"/>
          <w:szCs w:val="10"/>
          <w:color w:val="auto"/>
        </w:rPr>
      </w:pPr>
      <w:r>
        <w:rPr>
          <w:rFonts w:ascii="Arial" w:cs="Arial" w:eastAsia="Arial" w:hAnsi="Arial"/>
          <w:sz w:val="10"/>
          <w:szCs w:val="10"/>
          <w:color w:val="auto"/>
        </w:rPr>
        <w:t>Internal Management Figures.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At the end of June 2024, the dollarization level of total loans rose 26 bps </w:t>
      </w:r>
      <w:r>
        <w:rPr>
          <w:rFonts w:ascii="Arial" w:cs="Arial" w:eastAsia="Arial" w:hAnsi="Arial"/>
          <w:sz w:val="13"/>
          <w:szCs w:val="13"/>
          <w:b w:val="1"/>
          <w:bCs w:val="1"/>
          <w:color w:val="auto"/>
        </w:rPr>
        <w:t>QoQ</w:t>
      </w:r>
      <w:r>
        <w:rPr>
          <w:rFonts w:ascii="Arial" w:cs="Arial" w:eastAsia="Arial" w:hAnsi="Arial"/>
          <w:sz w:val="13"/>
          <w:szCs w:val="13"/>
          <w:color w:val="auto"/>
        </w:rPr>
        <w:t xml:space="preserve"> (35.4% in Jun 24). This evolution was fueled by growth in FC loans, particularly in Corporate Banking.</w:t>
      </w:r>
    </w:p>
    <w:p>
      <w:pPr>
        <w:spacing w:after="0" w:line="159" w:lineRule="exact"/>
        <w:rPr>
          <w:sz w:val="20"/>
          <w:szCs w:val="20"/>
          <w:color w:val="auto"/>
        </w:rPr>
      </w:pPr>
    </w:p>
    <w:p>
      <w:pPr>
        <w:ind w:right="80"/>
        <w:spacing w:after="0" w:line="261" w:lineRule="auto"/>
        <w:rPr>
          <w:sz w:val="20"/>
          <w:szCs w:val="20"/>
          <w:color w:val="auto"/>
        </w:rPr>
      </w:pPr>
      <w:r>
        <w:rPr>
          <w:rFonts w:ascii="Arial" w:cs="Arial" w:eastAsia="Arial" w:hAnsi="Arial"/>
          <w:sz w:val="14"/>
          <w:szCs w:val="14"/>
          <w:b w:val="1"/>
          <w:bCs w:val="1"/>
          <w:color w:val="auto"/>
        </w:rPr>
        <w:t>YoY</w:t>
      </w:r>
      <w:r>
        <w:rPr>
          <w:rFonts w:ascii="Arial" w:cs="Arial" w:eastAsia="Arial" w:hAnsi="Arial"/>
          <w:sz w:val="14"/>
          <w:szCs w:val="14"/>
          <w:color w:val="auto"/>
        </w:rPr>
        <w:t>, the dollarization level for the total portfolio rose 177 bps due to drop in total loans in LC (-2.5%), which were impacted by amortizations of GP loans and, to a lesser extent, by</w:t>
      </w:r>
      <w:r>
        <w:rPr>
          <w:rFonts w:ascii="Arial" w:cs="Arial" w:eastAsia="Arial" w:hAnsi="Arial"/>
          <w:sz w:val="14"/>
          <w:szCs w:val="14"/>
          <w:b w:val="1"/>
          <w:bCs w:val="1"/>
          <w:color w:val="auto"/>
        </w:rPr>
        <w:t xml:space="preserve"> </w:t>
      </w:r>
      <w:r>
        <w:rPr>
          <w:rFonts w:ascii="Arial" w:cs="Arial" w:eastAsia="Arial" w:hAnsi="Arial"/>
          <w:sz w:val="14"/>
          <w:szCs w:val="14"/>
          <w:color w:val="auto"/>
        </w:rPr>
        <w:t>growth in total loans in FC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740410</wp:posOffset>
            </wp:positionV>
            <wp:extent cx="7164705" cy="133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80645</wp:posOffset>
            </wp:positionV>
            <wp:extent cx="1502410" cy="44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5315585</wp:posOffset>
            </wp:positionH>
            <wp:positionV relativeFrom="paragraph">
              <wp:posOffset>257175</wp:posOffset>
            </wp:positionV>
            <wp:extent cx="1697990" cy="2679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97990" cy="267970"/>
                    </a:xfrm>
                    <a:prstGeom prst="rect">
                      <a:avLst/>
                    </a:prstGeom>
                    <a:noFill/>
                  </pic:spPr>
                </pic:pic>
              </a:graphicData>
            </a:graphic>
          </wp:anchor>
        </w:drawing>
      </w:r>
    </w:p>
    <w:p>
      <w:pPr>
        <w:sectPr>
          <w:pgSz w:w="11900" w:h="16838" w:orient="portrait"/>
          <w:cols w:equalWidth="0" w:num="1">
            <w:col w:w="10920"/>
          </w:cols>
          <w:pgMar w:left="540" w:top="298" w:right="439" w:bottom="1440" w:gutter="0" w:footer="0" w:header="0"/>
          <w:type w:val="continuous"/>
        </w:sectPr>
      </w:pPr>
    </w:p>
    <w:bookmarkStart w:id="21" w:name="page22"/>
    <w:bookmarkEnd w:id="21"/>
    <w:p>
      <w:pPr>
        <w:jc w:val="both"/>
        <w:ind w:left="2500"/>
        <w:spacing w:after="0"/>
        <w:tabs>
          <w:tab w:leader="none" w:pos="2700" w:val="left"/>
          <w:tab w:leader="none" w:pos="7660"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619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705" cy="561975"/>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FFFF"/>
        </w:rPr>
        <w:t>01. Loan Portfolio</w:t>
      </w:r>
    </w:p>
    <w:p>
      <w:pPr>
        <w:spacing w:after="0" w:line="254" w:lineRule="exact"/>
        <w:rPr>
          <w:sz w:val="20"/>
          <w:szCs w:val="20"/>
          <w:color w:val="auto"/>
        </w:rPr>
      </w:pPr>
    </w:p>
    <w:p>
      <w:pPr>
        <w:ind w:left="2720"/>
        <w:spacing w:after="0"/>
        <w:rPr>
          <w:sz w:val="20"/>
          <w:szCs w:val="20"/>
          <w:color w:val="auto"/>
        </w:rPr>
      </w:pPr>
      <w:r>
        <w:rPr>
          <w:rFonts w:ascii="Arial" w:cs="Arial" w:eastAsia="Arial" w:hAnsi="Arial"/>
          <w:sz w:val="14"/>
          <w:szCs w:val="14"/>
          <w:b w:val="1"/>
          <w:bCs w:val="1"/>
          <w:color w:val="auto"/>
        </w:rPr>
        <w:t>Evolution of the Dollarization Level of Structural Loans (in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1161415</wp:posOffset>
            </wp:positionH>
            <wp:positionV relativeFrom="paragraph">
              <wp:posOffset>24765</wp:posOffset>
            </wp:positionV>
            <wp:extent cx="4572000" cy="15481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572000" cy="1548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60" w:hanging="151"/>
        <w:spacing w:after="0"/>
        <w:tabs>
          <w:tab w:leader="none" w:pos="160" w:val="left"/>
        </w:tabs>
        <w:numPr>
          <w:ilvl w:val="0"/>
          <w:numId w:val="20"/>
        </w:numPr>
        <w:rPr>
          <w:rFonts w:ascii="Arial" w:cs="Arial" w:eastAsia="Arial" w:hAnsi="Arial"/>
          <w:sz w:val="10"/>
          <w:szCs w:val="10"/>
          <w:color w:val="auto"/>
        </w:rPr>
      </w:pPr>
      <w:r>
        <w:rPr>
          <w:rFonts w:ascii="Arial" w:cs="Arial" w:eastAsia="Arial" w:hAnsi="Arial"/>
          <w:sz w:val="10"/>
          <w:szCs w:val="10"/>
          <w:color w:val="auto"/>
        </w:rPr>
        <w:t>The FC share of Credicorp’s loan portfolio is calculated including BCP Bolivia and ASB Bank Corp., however the chart shows only the loan books of BCP Stand-alone and Mibanco.</w:t>
      </w:r>
    </w:p>
    <w:p>
      <w:pPr>
        <w:ind w:right="2380" w:firstLine="9"/>
        <w:spacing w:after="0" w:line="229" w:lineRule="auto"/>
        <w:tabs>
          <w:tab w:leader="none" w:pos="144" w:val="left"/>
        </w:tabs>
        <w:numPr>
          <w:ilvl w:val="0"/>
          <w:numId w:val="20"/>
        </w:numPr>
        <w:rPr>
          <w:rFonts w:ascii="Arial" w:cs="Arial" w:eastAsia="Arial" w:hAnsi="Arial"/>
          <w:sz w:val="10"/>
          <w:szCs w:val="10"/>
          <w:color w:val="auto"/>
        </w:rPr>
      </w:pPr>
      <w:r>
        <w:rPr>
          <w:rFonts w:ascii="Arial" w:cs="Arial" w:eastAsia="Arial" w:hAnsi="Arial"/>
          <w:sz w:val="10"/>
          <w:szCs w:val="10"/>
          <w:color w:val="auto"/>
        </w:rPr>
        <w:t>The year with the historic maximum level of dollarization for Wholesale Banking was 2012, for Mibanco was 2016, for Credit Card was in 2021 and for the rest of segments was 2009. * For dollarization figures in the quarter-end period, please refer to “12. Annexes – 12.3 Loan Portfolio Quality.</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Evolution of Loans in Quarter-End balances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Total loans increased 4.4% </w:t>
      </w:r>
      <w:r>
        <w:rPr>
          <w:rFonts w:ascii="Arial" w:cs="Arial" w:eastAsia="Arial" w:hAnsi="Arial"/>
          <w:sz w:val="14"/>
          <w:szCs w:val="14"/>
          <w:b w:val="1"/>
          <w:bCs w:val="1"/>
          <w:color w:val="auto"/>
        </w:rPr>
        <w:t>QoQ and</w:t>
      </w:r>
      <w:r>
        <w:rPr>
          <w:rFonts w:ascii="Arial" w:cs="Arial" w:eastAsia="Arial" w:hAnsi="Arial"/>
          <w:sz w:val="14"/>
          <w:szCs w:val="14"/>
          <w:color w:val="auto"/>
        </w:rPr>
        <w:t xml:space="preserve"> 2.9% </w:t>
      </w:r>
      <w:r>
        <w:rPr>
          <w:rFonts w:ascii="Arial" w:cs="Arial" w:eastAsia="Arial" w:hAnsi="Arial"/>
          <w:sz w:val="14"/>
          <w:szCs w:val="14"/>
          <w:b w:val="1"/>
          <w:bCs w:val="1"/>
          <w:color w:val="auto"/>
        </w:rPr>
        <w:t>YoY</w:t>
      </w:r>
      <w:r>
        <w:rPr>
          <w:rFonts w:ascii="Arial" w:cs="Arial" w:eastAsia="Arial" w:hAnsi="Arial"/>
          <w:sz w:val="14"/>
          <w:szCs w:val="14"/>
          <w:color w:val="auto"/>
        </w:rPr>
        <w:t xml:space="preserve"> in quarter-end balances, propelled by the same drivers as those seen in the analysis of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768985</wp:posOffset>
            </wp:positionV>
            <wp:extent cx="7164705" cy="133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109855</wp:posOffset>
            </wp:positionV>
            <wp:extent cx="1502410" cy="44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233680</wp:posOffset>
            </wp:positionV>
            <wp:extent cx="1697990" cy="3200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97990" cy="320040"/>
                    </a:xfrm>
                    <a:prstGeom prst="rect">
                      <a:avLst/>
                    </a:prstGeom>
                    <a:noFill/>
                  </pic:spPr>
                </pic:pic>
              </a:graphicData>
            </a:graphic>
          </wp:anchor>
        </w:drawing>
      </w:r>
    </w:p>
    <w:p>
      <w:pPr>
        <w:sectPr>
          <w:pgSz w:w="11900" w:h="16838" w:orient="portrait"/>
          <w:cols w:equalWidth="0" w:num="1">
            <w:col w:w="10240"/>
          </w:cols>
          <w:pgMar w:left="520" w:top="298" w:right="1139" w:bottom="1440" w:gutter="0" w:footer="0" w:header="0"/>
        </w:sectPr>
      </w:pPr>
    </w:p>
    <w:bookmarkStart w:id="22" w:name="page23"/>
    <w:bookmarkEnd w:id="22"/>
    <w:p>
      <w:pPr>
        <w:ind w:left="2266"/>
        <w:spacing w:after="0"/>
        <w:tabs>
          <w:tab w:leader="none" w:pos="2466" w:val="left"/>
          <w:tab w:leader="none" w:pos="7426"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3397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705" cy="339725"/>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329" w:lineRule="exact"/>
        <w:rPr>
          <w:sz w:val="20"/>
          <w:szCs w:val="20"/>
          <w:color w:val="auto"/>
        </w:rPr>
      </w:pPr>
    </w:p>
    <w:p>
      <w:pPr>
        <w:ind w:left="6"/>
        <w:spacing w:after="0"/>
        <w:rPr>
          <w:sz w:val="20"/>
          <w:szCs w:val="20"/>
          <w:color w:val="auto"/>
        </w:rPr>
      </w:pPr>
      <w:r>
        <w:rPr>
          <w:rFonts w:ascii="Arial" w:cs="Arial" w:eastAsia="Arial" w:hAnsi="Arial"/>
          <w:sz w:val="40"/>
          <w:szCs w:val="40"/>
          <w:b w:val="1"/>
          <w:bCs w:val="1"/>
          <w:color w:val="E93BAC"/>
        </w:rPr>
        <w:t xml:space="preserve">02 </w:t>
      </w:r>
      <w:r>
        <w:rPr>
          <w:rFonts w:ascii="Arial" w:cs="Arial" w:eastAsia="Arial" w:hAnsi="Arial"/>
          <w:sz w:val="24"/>
          <w:szCs w:val="24"/>
          <w:color w:val="E93BAB"/>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125095</wp:posOffset>
            </wp:positionV>
            <wp:extent cx="6597015" cy="7969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97015" cy="796925"/>
                    </a:xfrm>
                    <a:prstGeom prst="rect">
                      <a:avLst/>
                    </a:prstGeom>
                    <a:noFill/>
                  </pic:spPr>
                </pic:pic>
              </a:graphicData>
            </a:graphic>
          </wp:anchor>
        </w:drawing>
      </w:r>
    </w:p>
    <w:p>
      <w:pPr>
        <w:spacing w:after="0" w:line="247" w:lineRule="exact"/>
        <w:rPr>
          <w:sz w:val="20"/>
          <w:szCs w:val="20"/>
          <w:color w:val="auto"/>
        </w:rPr>
      </w:pPr>
    </w:p>
    <w:p>
      <w:pPr>
        <w:ind w:left="106" w:right="220"/>
        <w:spacing w:after="0" w:line="258" w:lineRule="auto"/>
        <w:rPr>
          <w:sz w:val="20"/>
          <w:szCs w:val="20"/>
          <w:color w:val="auto"/>
        </w:rPr>
      </w:pPr>
      <w:r>
        <w:rPr>
          <w:rFonts w:ascii="Arial" w:cs="Arial" w:eastAsia="Arial" w:hAnsi="Arial"/>
          <w:sz w:val="14"/>
          <w:szCs w:val="14"/>
          <w:color w:val="FFFFFF"/>
        </w:rPr>
        <w:t>Total deposits contine to follow an upward trend this quarter, driven primarily by growth in low-cost deposits. QoQ, the balance for total deposits grew 2.8%. This evolution was driven by 6.9% growth in Demand Deposits and 1.5% in Savings Deposits and was partially offset by a drop in the balance for Time Deposits (-0.6%).</w:t>
      </w:r>
    </w:p>
    <w:p>
      <w:pPr>
        <w:spacing w:after="0" w:line="45" w:lineRule="exact"/>
        <w:rPr>
          <w:sz w:val="20"/>
          <w:szCs w:val="20"/>
          <w:color w:val="auto"/>
        </w:rPr>
      </w:pPr>
    </w:p>
    <w:p>
      <w:pPr>
        <w:ind w:left="106" w:right="220"/>
        <w:spacing w:after="0" w:line="258" w:lineRule="auto"/>
        <w:rPr>
          <w:sz w:val="20"/>
          <w:szCs w:val="20"/>
          <w:color w:val="auto"/>
        </w:rPr>
      </w:pPr>
      <w:r>
        <w:rPr>
          <w:rFonts w:ascii="Arial" w:cs="Arial" w:eastAsia="Arial" w:hAnsi="Arial"/>
          <w:sz w:val="14"/>
          <w:szCs w:val="14"/>
          <w:color w:val="FFFFFF"/>
        </w:rPr>
        <w:t>YoY, the balance for total deposits rose 6.0%. This growth was fueled mainly by an uptick in the balance for Demand Deposits (+15.3%) and Savings Deposits (7.2%), which was offset by a decline in the balance for Time Deposits (-3.6% )</w:t>
      </w:r>
    </w:p>
    <w:p>
      <w:pPr>
        <w:spacing w:after="0" w:line="45" w:lineRule="exact"/>
        <w:rPr>
          <w:sz w:val="20"/>
          <w:szCs w:val="20"/>
          <w:color w:val="auto"/>
        </w:rPr>
      </w:pPr>
    </w:p>
    <w:p>
      <w:pPr>
        <w:ind w:left="106" w:right="200"/>
        <w:spacing w:after="0" w:line="258" w:lineRule="auto"/>
        <w:rPr>
          <w:sz w:val="20"/>
          <w:szCs w:val="20"/>
          <w:color w:val="auto"/>
        </w:rPr>
      </w:pPr>
      <w:r>
        <w:rPr>
          <w:rFonts w:ascii="Arial" w:cs="Arial" w:eastAsia="Arial" w:hAnsi="Arial"/>
          <w:sz w:val="14"/>
          <w:szCs w:val="14"/>
          <w:color w:val="FFFFFF"/>
        </w:rPr>
        <w:t>68.2% of Total Deposits are low cost (Demand+ Saving). In this context, Credicorp maintains its leadership in the low-cost deposits market with a 41.9% market share as of May 2024, providing a significant competitive advantage amidst persistently high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140970</wp:posOffset>
            </wp:positionV>
            <wp:extent cx="6603365" cy="8096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03365" cy="809625"/>
                    </a:xfrm>
                    <a:prstGeom prst="rect">
                      <a:avLst/>
                    </a:prstGeom>
                    <a:noFill/>
                  </pic:spPr>
                </pic:pic>
              </a:graphicData>
            </a:graphic>
          </wp:anchor>
        </w:drawing>
      </w:r>
    </w:p>
    <w:p>
      <w:pPr>
        <w:spacing w:after="0" w:line="202" w:lineRule="exact"/>
        <w:rPr>
          <w:sz w:val="20"/>
          <w:szCs w:val="20"/>
          <w:color w:val="auto"/>
        </w:rPr>
      </w:pPr>
    </w:p>
    <w:tbl>
      <w:tblPr>
        <w:tblLayout w:type="fixed"/>
        <w:tblInd w:w="6" w:type="dxa"/>
        <w:tblCellMar>
          <w:top w:w="0" w:type="dxa"/>
          <w:left w:w="0" w:type="dxa"/>
          <w:bottom w:w="0" w:type="dxa"/>
          <w:right w:w="0" w:type="dxa"/>
        </w:tblCellMar>
      </w:tblPr>
      <w:tr>
        <w:trPr>
          <w:trHeight w:val="205"/>
        </w:trPr>
        <w:tc>
          <w:tcPr>
            <w:tcW w:w="3160" w:type="dxa"/>
            <w:vAlign w:val="bottom"/>
            <w:shd w:val="clear" w:color="auto" w:fill="2AD2C9"/>
          </w:tcPr>
          <w:p>
            <w:pPr>
              <w:ind w:left="80"/>
              <w:spacing w:after="0"/>
              <w:rPr>
                <w:sz w:val="20"/>
                <w:szCs w:val="20"/>
                <w:color w:val="auto"/>
              </w:rPr>
            </w:pPr>
            <w:r>
              <w:rPr>
                <w:rFonts w:ascii="Arial" w:cs="Arial" w:eastAsia="Arial" w:hAnsi="Arial"/>
                <w:sz w:val="11"/>
                <w:szCs w:val="11"/>
                <w:b w:val="1"/>
                <w:bCs w:val="1"/>
                <w:color w:val="FFFFFF"/>
              </w:rPr>
              <w:t>Deposits</w:t>
            </w:r>
          </w:p>
        </w:tc>
        <w:tc>
          <w:tcPr>
            <w:tcW w:w="1560" w:type="dxa"/>
            <w:vAlign w:val="bottom"/>
            <w:shd w:val="clear" w:color="auto" w:fill="2AD2C9"/>
          </w:tcPr>
          <w:p>
            <w:pPr>
              <w:spacing w:after="0"/>
              <w:rPr>
                <w:sz w:val="17"/>
                <w:szCs w:val="17"/>
                <w:color w:val="auto"/>
              </w:rPr>
            </w:pPr>
          </w:p>
        </w:tc>
        <w:tc>
          <w:tcPr>
            <w:tcW w:w="1460" w:type="dxa"/>
            <w:vAlign w:val="bottom"/>
            <w:shd w:val="clear" w:color="auto" w:fill="2AD2C9"/>
          </w:tcPr>
          <w:p>
            <w:pPr>
              <w:jc w:val="right"/>
              <w:ind w:right="625"/>
              <w:spacing w:after="0"/>
              <w:rPr>
                <w:sz w:val="20"/>
                <w:szCs w:val="20"/>
                <w:color w:val="auto"/>
              </w:rPr>
            </w:pPr>
            <w:r>
              <w:rPr>
                <w:rFonts w:ascii="Arial" w:cs="Arial" w:eastAsia="Arial" w:hAnsi="Arial"/>
                <w:sz w:val="11"/>
                <w:szCs w:val="11"/>
                <w:b w:val="1"/>
                <w:bCs w:val="1"/>
                <w:color w:val="FFFFFF"/>
              </w:rPr>
              <w:t>As of</w:t>
            </w:r>
          </w:p>
        </w:tc>
        <w:tc>
          <w:tcPr>
            <w:tcW w:w="1300" w:type="dxa"/>
            <w:vAlign w:val="bottom"/>
            <w:shd w:val="clear" w:color="auto" w:fill="2AD2C9"/>
          </w:tcPr>
          <w:p>
            <w:pPr>
              <w:spacing w:after="0"/>
              <w:rPr>
                <w:sz w:val="17"/>
                <w:szCs w:val="17"/>
                <w:color w:val="auto"/>
              </w:rPr>
            </w:pPr>
          </w:p>
        </w:tc>
        <w:tc>
          <w:tcPr>
            <w:tcW w:w="1440" w:type="dxa"/>
            <w:vAlign w:val="bottom"/>
            <w:gridSpan w:val="2"/>
            <w:shd w:val="clear" w:color="auto" w:fill="2AD2C9"/>
          </w:tcPr>
          <w:p>
            <w:pPr>
              <w:ind w:left="520"/>
              <w:spacing w:after="0"/>
              <w:rPr>
                <w:sz w:val="20"/>
                <w:szCs w:val="20"/>
                <w:color w:val="auto"/>
              </w:rPr>
            </w:pPr>
            <w:r>
              <w:rPr>
                <w:rFonts w:ascii="Arial" w:cs="Arial" w:eastAsia="Arial" w:hAnsi="Arial"/>
                <w:sz w:val="11"/>
                <w:szCs w:val="11"/>
                <w:b w:val="1"/>
                <w:bCs w:val="1"/>
                <w:color w:val="FFFFFF"/>
              </w:rPr>
              <w:t>% change</w:t>
            </w:r>
          </w:p>
        </w:tc>
        <w:tc>
          <w:tcPr>
            <w:tcW w:w="1460" w:type="dxa"/>
            <w:vAlign w:val="bottom"/>
            <w:gridSpan w:val="2"/>
            <w:shd w:val="clear" w:color="auto" w:fill="2AD2C9"/>
          </w:tcPr>
          <w:p>
            <w:pPr>
              <w:ind w:left="500"/>
              <w:spacing w:after="0"/>
              <w:rPr>
                <w:sz w:val="20"/>
                <w:szCs w:val="20"/>
                <w:color w:val="auto"/>
              </w:rPr>
            </w:pPr>
            <w:r>
              <w:rPr>
                <w:rFonts w:ascii="Arial" w:cs="Arial" w:eastAsia="Arial" w:hAnsi="Arial"/>
                <w:sz w:val="11"/>
                <w:szCs w:val="11"/>
                <w:b w:val="1"/>
                <w:bCs w:val="1"/>
                <w:color w:val="FFFFFF"/>
              </w:rPr>
              <w:t>Currency</w:t>
            </w:r>
          </w:p>
        </w:tc>
        <w:tc>
          <w:tcPr>
            <w:tcW w:w="20" w:type="dxa"/>
            <w:vAlign w:val="bottom"/>
          </w:tcPr>
          <w:p>
            <w:pPr>
              <w:spacing w:after="0"/>
              <w:rPr>
                <w:sz w:val="17"/>
                <w:szCs w:val="17"/>
                <w:color w:val="auto"/>
              </w:rPr>
            </w:pPr>
          </w:p>
        </w:tc>
      </w:tr>
      <w:tr>
        <w:trPr>
          <w:trHeight w:val="166"/>
        </w:trPr>
        <w:tc>
          <w:tcPr>
            <w:tcW w:w="3160" w:type="dxa"/>
            <w:vAlign w:val="bottom"/>
            <w:tcBorders>
              <w:bottom w:val="single" w:sz="8" w:color="auto"/>
            </w:tcBorders>
            <w:shd w:val="clear" w:color="auto" w:fill="2AD2C9"/>
          </w:tcPr>
          <w:p>
            <w:pPr>
              <w:ind w:left="80"/>
              <w:spacing w:after="0"/>
              <w:rPr>
                <w:sz w:val="20"/>
                <w:szCs w:val="20"/>
                <w:color w:val="auto"/>
              </w:rPr>
            </w:pPr>
            <w:r>
              <w:rPr>
                <w:rFonts w:ascii="Arial" w:cs="Arial" w:eastAsia="Arial" w:hAnsi="Arial"/>
                <w:sz w:val="11"/>
                <w:szCs w:val="11"/>
                <w:color w:val="FFFFFF"/>
              </w:rPr>
              <w:t>S/ 000</w:t>
            </w:r>
          </w:p>
        </w:tc>
        <w:tc>
          <w:tcPr>
            <w:tcW w:w="1560" w:type="dxa"/>
            <w:vAlign w:val="bottom"/>
            <w:tcBorders>
              <w:bottom w:val="single" w:sz="8" w:color="auto"/>
            </w:tcBorders>
            <w:shd w:val="clear" w:color="auto" w:fill="2AD2C9"/>
          </w:tcPr>
          <w:p>
            <w:pPr>
              <w:jc w:val="right"/>
              <w:ind w:right="605"/>
              <w:spacing w:after="0"/>
              <w:rPr>
                <w:sz w:val="20"/>
                <w:szCs w:val="20"/>
                <w:color w:val="auto"/>
              </w:rPr>
            </w:pPr>
            <w:r>
              <w:rPr>
                <w:rFonts w:ascii="Arial" w:cs="Arial" w:eastAsia="Arial" w:hAnsi="Arial"/>
                <w:sz w:val="11"/>
                <w:szCs w:val="11"/>
                <w:b w:val="1"/>
                <w:bCs w:val="1"/>
                <w:color w:val="FFFFFF"/>
              </w:rPr>
              <w:t>Jun 23</w:t>
            </w:r>
          </w:p>
        </w:tc>
        <w:tc>
          <w:tcPr>
            <w:tcW w:w="1460" w:type="dxa"/>
            <w:vAlign w:val="bottom"/>
            <w:tcBorders>
              <w:bottom w:val="single" w:sz="8" w:color="auto"/>
            </w:tcBorders>
            <w:shd w:val="clear" w:color="auto" w:fill="2AD2C9"/>
          </w:tcPr>
          <w:p>
            <w:pPr>
              <w:jc w:val="right"/>
              <w:ind w:right="585"/>
              <w:spacing w:after="0"/>
              <w:rPr>
                <w:sz w:val="20"/>
                <w:szCs w:val="20"/>
                <w:color w:val="auto"/>
              </w:rPr>
            </w:pPr>
            <w:r>
              <w:rPr>
                <w:rFonts w:ascii="Arial" w:cs="Arial" w:eastAsia="Arial" w:hAnsi="Arial"/>
                <w:sz w:val="11"/>
                <w:szCs w:val="11"/>
                <w:b w:val="1"/>
                <w:bCs w:val="1"/>
                <w:color w:val="FFFFFF"/>
              </w:rPr>
              <w:t>Mar 24</w:t>
            </w:r>
          </w:p>
        </w:tc>
        <w:tc>
          <w:tcPr>
            <w:tcW w:w="1300" w:type="dxa"/>
            <w:vAlign w:val="bottom"/>
            <w:tcBorders>
              <w:bottom w:val="single" w:sz="8" w:color="auto"/>
            </w:tcBorders>
            <w:shd w:val="clear" w:color="auto" w:fill="2AD2C9"/>
          </w:tcPr>
          <w:p>
            <w:pPr>
              <w:jc w:val="right"/>
              <w:ind w:right="425"/>
              <w:spacing w:after="0"/>
              <w:rPr>
                <w:sz w:val="20"/>
                <w:szCs w:val="20"/>
                <w:color w:val="auto"/>
              </w:rPr>
            </w:pPr>
            <w:r>
              <w:rPr>
                <w:rFonts w:ascii="Arial" w:cs="Arial" w:eastAsia="Arial" w:hAnsi="Arial"/>
                <w:sz w:val="11"/>
                <w:szCs w:val="11"/>
                <w:b w:val="1"/>
                <w:bCs w:val="1"/>
                <w:color w:val="FFFFFF"/>
              </w:rPr>
              <w:t>Jun 24</w:t>
            </w:r>
          </w:p>
        </w:tc>
        <w:tc>
          <w:tcPr>
            <w:tcW w:w="740" w:type="dxa"/>
            <w:vAlign w:val="bottom"/>
            <w:tcBorders>
              <w:bottom w:val="single" w:sz="8" w:color="auto"/>
            </w:tcBorders>
            <w:shd w:val="clear" w:color="auto" w:fill="2AD2C9"/>
          </w:tcPr>
          <w:p>
            <w:pPr>
              <w:ind w:left="280"/>
              <w:spacing w:after="0"/>
              <w:rPr>
                <w:sz w:val="20"/>
                <w:szCs w:val="20"/>
                <w:color w:val="auto"/>
              </w:rPr>
            </w:pPr>
            <w:r>
              <w:rPr>
                <w:rFonts w:ascii="Arial" w:cs="Arial" w:eastAsia="Arial" w:hAnsi="Arial"/>
                <w:sz w:val="11"/>
                <w:szCs w:val="11"/>
                <w:b w:val="1"/>
                <w:bCs w:val="1"/>
                <w:color w:val="FFFFFF"/>
              </w:rPr>
              <w:t>QoQ</w:t>
            </w:r>
          </w:p>
        </w:tc>
        <w:tc>
          <w:tcPr>
            <w:tcW w:w="700" w:type="dxa"/>
            <w:vAlign w:val="bottom"/>
            <w:tcBorders>
              <w:bottom w:val="single" w:sz="8" w:color="auto"/>
            </w:tcBorders>
            <w:shd w:val="clear" w:color="auto" w:fill="2AD2C9"/>
          </w:tcPr>
          <w:p>
            <w:pPr>
              <w:ind w:left="240"/>
              <w:spacing w:after="0"/>
              <w:rPr>
                <w:sz w:val="20"/>
                <w:szCs w:val="20"/>
                <w:color w:val="auto"/>
              </w:rPr>
            </w:pPr>
            <w:r>
              <w:rPr>
                <w:rFonts w:ascii="Arial" w:cs="Arial" w:eastAsia="Arial" w:hAnsi="Arial"/>
                <w:sz w:val="11"/>
                <w:szCs w:val="11"/>
                <w:b w:val="1"/>
                <w:bCs w:val="1"/>
                <w:color w:val="FFFFFF"/>
              </w:rPr>
              <w:t>YoY</w:t>
            </w:r>
          </w:p>
        </w:tc>
        <w:tc>
          <w:tcPr>
            <w:tcW w:w="7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5"/>
              </w:rPr>
              <w:t>LC</w:t>
            </w:r>
          </w:p>
        </w:tc>
        <w:tc>
          <w:tcPr>
            <w:tcW w:w="7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FC</w:t>
            </w:r>
          </w:p>
        </w:tc>
        <w:tc>
          <w:tcPr>
            <w:tcW w:w="20" w:type="dxa"/>
            <w:vAlign w:val="bottom"/>
            <w:tcBorders>
              <w:bottom w:val="single" w:sz="8" w:color="auto"/>
            </w:tcBorders>
          </w:tcPr>
          <w:p>
            <w:pPr>
              <w:spacing w:after="0"/>
              <w:rPr>
                <w:sz w:val="14"/>
                <w:szCs w:val="14"/>
                <w:color w:val="auto"/>
              </w:rPr>
            </w:pPr>
          </w:p>
        </w:tc>
      </w:tr>
      <w:tr>
        <w:trPr>
          <w:trHeight w:val="107"/>
        </w:trPr>
        <w:tc>
          <w:tcPr>
            <w:tcW w:w="3160" w:type="dxa"/>
            <w:vAlign w:val="bottom"/>
          </w:tcPr>
          <w:p>
            <w:pPr>
              <w:ind w:left="80"/>
              <w:spacing w:after="0" w:line="107" w:lineRule="exact"/>
              <w:rPr>
                <w:sz w:val="20"/>
                <w:szCs w:val="20"/>
                <w:color w:val="auto"/>
              </w:rPr>
            </w:pPr>
            <w:r>
              <w:rPr>
                <w:rFonts w:ascii="Arial" w:cs="Arial" w:eastAsia="Arial" w:hAnsi="Arial"/>
                <w:sz w:val="11"/>
                <w:szCs w:val="11"/>
                <w:color w:val="auto"/>
              </w:rPr>
              <w:t>Demand deposits</w:t>
            </w:r>
          </w:p>
        </w:tc>
        <w:tc>
          <w:tcPr>
            <w:tcW w:w="1560" w:type="dxa"/>
            <w:vAlign w:val="bottom"/>
          </w:tcPr>
          <w:p>
            <w:pPr>
              <w:jc w:val="right"/>
              <w:ind w:right="385"/>
              <w:spacing w:after="0" w:line="107" w:lineRule="exact"/>
              <w:rPr>
                <w:sz w:val="20"/>
                <w:szCs w:val="20"/>
                <w:color w:val="auto"/>
              </w:rPr>
            </w:pPr>
            <w:r>
              <w:rPr>
                <w:rFonts w:ascii="Arial" w:cs="Arial" w:eastAsia="Arial" w:hAnsi="Arial"/>
                <w:sz w:val="11"/>
                <w:szCs w:val="11"/>
                <w:color w:val="auto"/>
              </w:rPr>
              <w:t>43,930,450</w:t>
            </w:r>
          </w:p>
        </w:tc>
        <w:tc>
          <w:tcPr>
            <w:tcW w:w="1460" w:type="dxa"/>
            <w:vAlign w:val="bottom"/>
          </w:tcPr>
          <w:p>
            <w:pPr>
              <w:jc w:val="right"/>
              <w:ind w:right="365"/>
              <w:spacing w:after="0" w:line="107" w:lineRule="exact"/>
              <w:rPr>
                <w:sz w:val="20"/>
                <w:szCs w:val="20"/>
                <w:color w:val="auto"/>
              </w:rPr>
            </w:pPr>
            <w:r>
              <w:rPr>
                <w:rFonts w:ascii="Arial" w:cs="Arial" w:eastAsia="Arial" w:hAnsi="Arial"/>
                <w:sz w:val="11"/>
                <w:szCs w:val="11"/>
                <w:color w:val="auto"/>
              </w:rPr>
              <w:t>47,384,819</w:t>
            </w:r>
          </w:p>
        </w:tc>
        <w:tc>
          <w:tcPr>
            <w:tcW w:w="1300" w:type="dxa"/>
            <w:vAlign w:val="bottom"/>
          </w:tcPr>
          <w:p>
            <w:pPr>
              <w:jc w:val="right"/>
              <w:ind w:right="205"/>
              <w:spacing w:after="0" w:line="107" w:lineRule="exact"/>
              <w:rPr>
                <w:sz w:val="20"/>
                <w:szCs w:val="20"/>
                <w:color w:val="auto"/>
              </w:rPr>
            </w:pPr>
            <w:r>
              <w:rPr>
                <w:rFonts w:ascii="Arial" w:cs="Arial" w:eastAsia="Arial" w:hAnsi="Arial"/>
                <w:sz w:val="11"/>
                <w:szCs w:val="11"/>
                <w:color w:val="auto"/>
              </w:rPr>
              <w:t>50,657,031</w:t>
            </w:r>
          </w:p>
        </w:tc>
        <w:tc>
          <w:tcPr>
            <w:tcW w:w="740" w:type="dxa"/>
            <w:vAlign w:val="bottom"/>
          </w:tcPr>
          <w:p>
            <w:pPr>
              <w:jc w:val="center"/>
              <w:ind w:left="5"/>
              <w:spacing w:after="0" w:line="107" w:lineRule="exact"/>
              <w:rPr>
                <w:sz w:val="20"/>
                <w:szCs w:val="20"/>
                <w:color w:val="auto"/>
              </w:rPr>
            </w:pPr>
            <w:r>
              <w:rPr>
                <w:rFonts w:ascii="Arial" w:cs="Arial" w:eastAsia="Arial" w:hAnsi="Arial"/>
                <w:sz w:val="11"/>
                <w:szCs w:val="11"/>
                <w:color w:val="auto"/>
                <w:w w:val="95"/>
              </w:rPr>
              <w:t>6.9%</w:t>
            </w:r>
          </w:p>
        </w:tc>
        <w:tc>
          <w:tcPr>
            <w:tcW w:w="700" w:type="dxa"/>
            <w:vAlign w:val="bottom"/>
          </w:tcPr>
          <w:p>
            <w:pPr>
              <w:jc w:val="center"/>
              <w:spacing w:after="0" w:line="107" w:lineRule="exact"/>
              <w:rPr>
                <w:sz w:val="20"/>
                <w:szCs w:val="20"/>
                <w:color w:val="auto"/>
              </w:rPr>
            </w:pPr>
            <w:r>
              <w:rPr>
                <w:rFonts w:ascii="Arial" w:cs="Arial" w:eastAsia="Arial" w:hAnsi="Arial"/>
                <w:sz w:val="11"/>
                <w:szCs w:val="11"/>
                <w:color w:val="auto"/>
              </w:rPr>
              <w:t>15.3%</w:t>
            </w:r>
          </w:p>
        </w:tc>
        <w:tc>
          <w:tcPr>
            <w:tcW w:w="740" w:type="dxa"/>
            <w:vAlign w:val="bottom"/>
          </w:tcPr>
          <w:p>
            <w:pPr>
              <w:jc w:val="center"/>
              <w:spacing w:after="0" w:line="107" w:lineRule="exact"/>
              <w:rPr>
                <w:sz w:val="20"/>
                <w:szCs w:val="20"/>
                <w:color w:val="auto"/>
              </w:rPr>
            </w:pPr>
            <w:r>
              <w:rPr>
                <w:rFonts w:ascii="Arial" w:cs="Arial" w:eastAsia="Arial" w:hAnsi="Arial"/>
                <w:sz w:val="11"/>
                <w:szCs w:val="11"/>
                <w:color w:val="auto"/>
                <w:w w:val="96"/>
              </w:rPr>
              <w:t>50.0%</w:t>
            </w:r>
          </w:p>
        </w:tc>
        <w:tc>
          <w:tcPr>
            <w:tcW w:w="720" w:type="dxa"/>
            <w:vAlign w:val="bottom"/>
          </w:tcPr>
          <w:p>
            <w:pPr>
              <w:jc w:val="center"/>
              <w:spacing w:after="0" w:line="107" w:lineRule="exact"/>
              <w:rPr>
                <w:sz w:val="20"/>
                <w:szCs w:val="20"/>
                <w:color w:val="auto"/>
              </w:rPr>
            </w:pPr>
            <w:r>
              <w:rPr>
                <w:rFonts w:ascii="Arial" w:cs="Arial" w:eastAsia="Arial" w:hAnsi="Arial"/>
                <w:sz w:val="11"/>
                <w:szCs w:val="11"/>
                <w:color w:val="auto"/>
              </w:rPr>
              <w:t>50.0%</w:t>
            </w:r>
          </w:p>
        </w:tc>
        <w:tc>
          <w:tcPr>
            <w:tcW w:w="20" w:type="dxa"/>
            <w:vAlign w:val="bottom"/>
          </w:tcPr>
          <w:p>
            <w:pPr>
              <w:spacing w:after="0"/>
              <w:rPr>
                <w:sz w:val="9"/>
                <w:szCs w:val="9"/>
                <w:color w:val="auto"/>
              </w:rPr>
            </w:pPr>
          </w:p>
        </w:tc>
      </w:tr>
      <w:tr>
        <w:trPr>
          <w:trHeight w:val="123"/>
        </w:trPr>
        <w:tc>
          <w:tcPr>
            <w:tcW w:w="3160" w:type="dxa"/>
            <w:vAlign w:val="bottom"/>
          </w:tcPr>
          <w:p>
            <w:pPr>
              <w:ind w:left="80"/>
              <w:spacing w:after="0" w:line="124" w:lineRule="exact"/>
              <w:rPr>
                <w:sz w:val="20"/>
                <w:szCs w:val="20"/>
                <w:color w:val="auto"/>
              </w:rPr>
            </w:pPr>
            <w:r>
              <w:rPr>
                <w:rFonts w:ascii="Arial" w:cs="Arial" w:eastAsia="Arial" w:hAnsi="Arial"/>
                <w:sz w:val="11"/>
                <w:szCs w:val="11"/>
                <w:color w:val="auto"/>
              </w:rPr>
              <w:t>Saving deposits</w:t>
            </w:r>
          </w:p>
        </w:tc>
        <w:tc>
          <w:tcPr>
            <w:tcW w:w="1560" w:type="dxa"/>
            <w:vAlign w:val="bottom"/>
          </w:tcPr>
          <w:p>
            <w:pPr>
              <w:jc w:val="right"/>
              <w:ind w:right="385"/>
              <w:spacing w:after="0" w:line="124" w:lineRule="exact"/>
              <w:rPr>
                <w:sz w:val="20"/>
                <w:szCs w:val="20"/>
                <w:color w:val="auto"/>
              </w:rPr>
            </w:pPr>
            <w:r>
              <w:rPr>
                <w:rFonts w:ascii="Arial" w:cs="Arial" w:eastAsia="Arial" w:hAnsi="Arial"/>
                <w:sz w:val="11"/>
                <w:szCs w:val="11"/>
                <w:color w:val="auto"/>
              </w:rPr>
              <w:t>49,456,054</w:t>
            </w:r>
          </w:p>
        </w:tc>
        <w:tc>
          <w:tcPr>
            <w:tcW w:w="1460" w:type="dxa"/>
            <w:vAlign w:val="bottom"/>
          </w:tcPr>
          <w:p>
            <w:pPr>
              <w:jc w:val="right"/>
              <w:ind w:right="365"/>
              <w:spacing w:after="0" w:line="124" w:lineRule="exact"/>
              <w:rPr>
                <w:sz w:val="20"/>
                <w:szCs w:val="20"/>
                <w:color w:val="auto"/>
              </w:rPr>
            </w:pPr>
            <w:r>
              <w:rPr>
                <w:rFonts w:ascii="Arial" w:cs="Arial" w:eastAsia="Arial" w:hAnsi="Arial"/>
                <w:sz w:val="11"/>
                <w:szCs w:val="11"/>
                <w:color w:val="auto"/>
              </w:rPr>
              <w:t>52,238,357</w:t>
            </w:r>
          </w:p>
        </w:tc>
        <w:tc>
          <w:tcPr>
            <w:tcW w:w="1300" w:type="dxa"/>
            <w:vAlign w:val="bottom"/>
          </w:tcPr>
          <w:p>
            <w:pPr>
              <w:jc w:val="right"/>
              <w:ind w:right="205"/>
              <w:spacing w:after="0" w:line="124" w:lineRule="exact"/>
              <w:rPr>
                <w:sz w:val="20"/>
                <w:szCs w:val="20"/>
                <w:color w:val="auto"/>
              </w:rPr>
            </w:pPr>
            <w:r>
              <w:rPr>
                <w:rFonts w:ascii="Arial" w:cs="Arial" w:eastAsia="Arial" w:hAnsi="Arial"/>
                <w:sz w:val="11"/>
                <w:szCs w:val="11"/>
                <w:color w:val="auto"/>
              </w:rPr>
              <w:t>53,015,745</w:t>
            </w:r>
          </w:p>
        </w:tc>
        <w:tc>
          <w:tcPr>
            <w:tcW w:w="740" w:type="dxa"/>
            <w:vAlign w:val="bottom"/>
          </w:tcPr>
          <w:p>
            <w:pPr>
              <w:jc w:val="center"/>
              <w:ind w:left="5"/>
              <w:spacing w:after="0" w:line="124" w:lineRule="exact"/>
              <w:rPr>
                <w:sz w:val="20"/>
                <w:szCs w:val="20"/>
                <w:color w:val="auto"/>
              </w:rPr>
            </w:pPr>
            <w:r>
              <w:rPr>
                <w:rFonts w:ascii="Arial" w:cs="Arial" w:eastAsia="Arial" w:hAnsi="Arial"/>
                <w:sz w:val="11"/>
                <w:szCs w:val="11"/>
                <w:color w:val="auto"/>
                <w:w w:val="95"/>
              </w:rPr>
              <w:t>1.5%</w:t>
            </w:r>
          </w:p>
        </w:tc>
        <w:tc>
          <w:tcPr>
            <w:tcW w:w="700" w:type="dxa"/>
            <w:vAlign w:val="bottom"/>
          </w:tcPr>
          <w:p>
            <w:pPr>
              <w:jc w:val="center"/>
              <w:spacing w:after="0" w:line="124" w:lineRule="exact"/>
              <w:rPr>
                <w:sz w:val="20"/>
                <w:szCs w:val="20"/>
                <w:color w:val="auto"/>
              </w:rPr>
            </w:pPr>
            <w:r>
              <w:rPr>
                <w:rFonts w:ascii="Arial" w:cs="Arial" w:eastAsia="Arial" w:hAnsi="Arial"/>
                <w:sz w:val="11"/>
                <w:szCs w:val="11"/>
                <w:color w:val="auto"/>
                <w:w w:val="95"/>
              </w:rPr>
              <w:t>7.2%</w:t>
            </w:r>
          </w:p>
        </w:tc>
        <w:tc>
          <w:tcPr>
            <w:tcW w:w="740" w:type="dxa"/>
            <w:vAlign w:val="bottom"/>
          </w:tcPr>
          <w:p>
            <w:pPr>
              <w:jc w:val="center"/>
              <w:spacing w:after="0" w:line="124" w:lineRule="exact"/>
              <w:rPr>
                <w:sz w:val="20"/>
                <w:szCs w:val="20"/>
                <w:color w:val="auto"/>
              </w:rPr>
            </w:pPr>
            <w:r>
              <w:rPr>
                <w:rFonts w:ascii="Arial" w:cs="Arial" w:eastAsia="Arial" w:hAnsi="Arial"/>
                <w:sz w:val="11"/>
                <w:szCs w:val="11"/>
                <w:color w:val="auto"/>
                <w:w w:val="96"/>
              </w:rPr>
              <w:t>58.3%</w:t>
            </w:r>
          </w:p>
        </w:tc>
        <w:tc>
          <w:tcPr>
            <w:tcW w:w="720" w:type="dxa"/>
            <w:vAlign w:val="bottom"/>
          </w:tcPr>
          <w:p>
            <w:pPr>
              <w:jc w:val="center"/>
              <w:spacing w:after="0" w:line="124" w:lineRule="exact"/>
              <w:rPr>
                <w:sz w:val="20"/>
                <w:szCs w:val="20"/>
                <w:color w:val="auto"/>
              </w:rPr>
            </w:pPr>
            <w:r>
              <w:rPr>
                <w:rFonts w:ascii="Arial" w:cs="Arial" w:eastAsia="Arial" w:hAnsi="Arial"/>
                <w:sz w:val="11"/>
                <w:szCs w:val="11"/>
                <w:color w:val="auto"/>
              </w:rPr>
              <w:t>41.7%</w:t>
            </w:r>
          </w:p>
        </w:tc>
        <w:tc>
          <w:tcPr>
            <w:tcW w:w="20" w:type="dxa"/>
            <w:vAlign w:val="bottom"/>
          </w:tcPr>
          <w:p>
            <w:pPr>
              <w:spacing w:after="0"/>
              <w:rPr>
                <w:sz w:val="10"/>
                <w:szCs w:val="10"/>
                <w:color w:val="auto"/>
              </w:rPr>
            </w:pPr>
          </w:p>
        </w:tc>
      </w:tr>
      <w:tr>
        <w:trPr>
          <w:trHeight w:val="123"/>
        </w:trPr>
        <w:tc>
          <w:tcPr>
            <w:tcW w:w="3160" w:type="dxa"/>
            <w:vAlign w:val="bottom"/>
          </w:tcPr>
          <w:p>
            <w:pPr>
              <w:ind w:left="80"/>
              <w:spacing w:after="0" w:line="124" w:lineRule="exact"/>
              <w:rPr>
                <w:sz w:val="20"/>
                <w:szCs w:val="20"/>
                <w:color w:val="auto"/>
              </w:rPr>
            </w:pPr>
            <w:r>
              <w:rPr>
                <w:rFonts w:ascii="Arial" w:cs="Arial" w:eastAsia="Arial" w:hAnsi="Arial"/>
                <w:sz w:val="11"/>
                <w:szCs w:val="11"/>
                <w:color w:val="auto"/>
              </w:rPr>
              <w:t>Time deposits</w:t>
            </w:r>
          </w:p>
        </w:tc>
        <w:tc>
          <w:tcPr>
            <w:tcW w:w="1560" w:type="dxa"/>
            <w:vAlign w:val="bottom"/>
          </w:tcPr>
          <w:p>
            <w:pPr>
              <w:jc w:val="right"/>
              <w:ind w:right="385"/>
              <w:spacing w:after="0" w:line="124" w:lineRule="exact"/>
              <w:rPr>
                <w:sz w:val="20"/>
                <w:szCs w:val="20"/>
                <w:color w:val="auto"/>
              </w:rPr>
            </w:pPr>
            <w:r>
              <w:rPr>
                <w:rFonts w:ascii="Arial" w:cs="Arial" w:eastAsia="Arial" w:hAnsi="Arial"/>
                <w:sz w:val="11"/>
                <w:szCs w:val="11"/>
                <w:color w:val="auto"/>
              </w:rPr>
              <w:t>45,107,429</w:t>
            </w:r>
          </w:p>
        </w:tc>
        <w:tc>
          <w:tcPr>
            <w:tcW w:w="1460" w:type="dxa"/>
            <w:vAlign w:val="bottom"/>
          </w:tcPr>
          <w:p>
            <w:pPr>
              <w:jc w:val="right"/>
              <w:ind w:right="365"/>
              <w:spacing w:after="0" w:line="124" w:lineRule="exact"/>
              <w:rPr>
                <w:sz w:val="20"/>
                <w:szCs w:val="20"/>
                <w:color w:val="auto"/>
              </w:rPr>
            </w:pPr>
            <w:r>
              <w:rPr>
                <w:rFonts w:ascii="Arial" w:cs="Arial" w:eastAsia="Arial" w:hAnsi="Arial"/>
                <w:sz w:val="11"/>
                <w:szCs w:val="11"/>
                <w:color w:val="auto"/>
              </w:rPr>
              <w:t>43,775,526</w:t>
            </w:r>
          </w:p>
        </w:tc>
        <w:tc>
          <w:tcPr>
            <w:tcW w:w="1300" w:type="dxa"/>
            <w:vAlign w:val="bottom"/>
          </w:tcPr>
          <w:p>
            <w:pPr>
              <w:jc w:val="right"/>
              <w:ind w:right="205"/>
              <w:spacing w:after="0" w:line="124" w:lineRule="exact"/>
              <w:rPr>
                <w:sz w:val="20"/>
                <w:szCs w:val="20"/>
                <w:color w:val="auto"/>
              </w:rPr>
            </w:pPr>
            <w:r>
              <w:rPr>
                <w:rFonts w:ascii="Arial" w:cs="Arial" w:eastAsia="Arial" w:hAnsi="Arial"/>
                <w:sz w:val="11"/>
                <w:szCs w:val="11"/>
                <w:color w:val="auto"/>
              </w:rPr>
              <w:t>43,504,883</w:t>
            </w:r>
          </w:p>
        </w:tc>
        <w:tc>
          <w:tcPr>
            <w:tcW w:w="740" w:type="dxa"/>
            <w:vAlign w:val="bottom"/>
          </w:tcPr>
          <w:p>
            <w:pPr>
              <w:jc w:val="center"/>
              <w:ind w:left="5"/>
              <w:spacing w:after="0" w:line="124" w:lineRule="exact"/>
              <w:rPr>
                <w:sz w:val="20"/>
                <w:szCs w:val="20"/>
                <w:color w:val="auto"/>
              </w:rPr>
            </w:pPr>
            <w:r>
              <w:rPr>
                <w:rFonts w:ascii="Arial" w:cs="Arial" w:eastAsia="Arial" w:hAnsi="Arial"/>
                <w:sz w:val="11"/>
                <w:szCs w:val="11"/>
                <w:color w:val="auto"/>
                <w:w w:val="97"/>
              </w:rPr>
              <w:t>-0.6%</w:t>
            </w:r>
          </w:p>
        </w:tc>
        <w:tc>
          <w:tcPr>
            <w:tcW w:w="700" w:type="dxa"/>
            <w:vAlign w:val="bottom"/>
          </w:tcPr>
          <w:p>
            <w:pPr>
              <w:jc w:val="center"/>
              <w:spacing w:after="0" w:line="124" w:lineRule="exact"/>
              <w:rPr>
                <w:sz w:val="20"/>
                <w:szCs w:val="20"/>
                <w:color w:val="auto"/>
              </w:rPr>
            </w:pPr>
            <w:r>
              <w:rPr>
                <w:rFonts w:ascii="Arial" w:cs="Arial" w:eastAsia="Arial" w:hAnsi="Arial"/>
                <w:sz w:val="11"/>
                <w:szCs w:val="11"/>
                <w:color w:val="auto"/>
                <w:w w:val="97"/>
              </w:rPr>
              <w:t>-3.6%</w:t>
            </w:r>
          </w:p>
        </w:tc>
        <w:tc>
          <w:tcPr>
            <w:tcW w:w="740" w:type="dxa"/>
            <w:vAlign w:val="bottom"/>
          </w:tcPr>
          <w:p>
            <w:pPr>
              <w:jc w:val="center"/>
              <w:spacing w:after="0" w:line="124" w:lineRule="exact"/>
              <w:rPr>
                <w:sz w:val="20"/>
                <w:szCs w:val="20"/>
                <w:color w:val="auto"/>
              </w:rPr>
            </w:pPr>
            <w:r>
              <w:rPr>
                <w:rFonts w:ascii="Arial" w:cs="Arial" w:eastAsia="Arial" w:hAnsi="Arial"/>
                <w:sz w:val="11"/>
                <w:szCs w:val="11"/>
                <w:color w:val="auto"/>
                <w:w w:val="96"/>
              </w:rPr>
              <w:t>45.8%</w:t>
            </w:r>
          </w:p>
        </w:tc>
        <w:tc>
          <w:tcPr>
            <w:tcW w:w="720" w:type="dxa"/>
            <w:vAlign w:val="bottom"/>
          </w:tcPr>
          <w:p>
            <w:pPr>
              <w:jc w:val="center"/>
              <w:spacing w:after="0" w:line="124" w:lineRule="exact"/>
              <w:rPr>
                <w:sz w:val="20"/>
                <w:szCs w:val="20"/>
                <w:color w:val="auto"/>
              </w:rPr>
            </w:pPr>
            <w:r>
              <w:rPr>
                <w:rFonts w:ascii="Arial" w:cs="Arial" w:eastAsia="Arial" w:hAnsi="Arial"/>
                <w:sz w:val="11"/>
                <w:szCs w:val="11"/>
                <w:color w:val="auto"/>
              </w:rPr>
              <w:t>54.2%</w:t>
            </w:r>
          </w:p>
        </w:tc>
        <w:tc>
          <w:tcPr>
            <w:tcW w:w="20" w:type="dxa"/>
            <w:vAlign w:val="bottom"/>
          </w:tcPr>
          <w:p>
            <w:pPr>
              <w:spacing w:after="0"/>
              <w:rPr>
                <w:sz w:val="10"/>
                <w:szCs w:val="10"/>
                <w:color w:val="auto"/>
              </w:rPr>
            </w:pPr>
          </w:p>
        </w:tc>
      </w:tr>
      <w:tr>
        <w:trPr>
          <w:trHeight w:val="123"/>
        </w:trPr>
        <w:tc>
          <w:tcPr>
            <w:tcW w:w="3160" w:type="dxa"/>
            <w:vAlign w:val="bottom"/>
          </w:tcPr>
          <w:p>
            <w:pPr>
              <w:ind w:left="80"/>
              <w:spacing w:after="0" w:line="124" w:lineRule="exact"/>
              <w:rPr>
                <w:sz w:val="20"/>
                <w:szCs w:val="20"/>
                <w:color w:val="auto"/>
              </w:rPr>
            </w:pPr>
            <w:r>
              <w:rPr>
                <w:rFonts w:ascii="Arial" w:cs="Arial" w:eastAsia="Arial" w:hAnsi="Arial"/>
                <w:sz w:val="11"/>
                <w:szCs w:val="11"/>
                <w:color w:val="auto"/>
              </w:rPr>
              <w:t>Severance indemnity deposits</w:t>
            </w:r>
          </w:p>
        </w:tc>
        <w:tc>
          <w:tcPr>
            <w:tcW w:w="1560" w:type="dxa"/>
            <w:vAlign w:val="bottom"/>
          </w:tcPr>
          <w:p>
            <w:pPr>
              <w:jc w:val="right"/>
              <w:ind w:right="385"/>
              <w:spacing w:after="0" w:line="124" w:lineRule="exact"/>
              <w:rPr>
                <w:sz w:val="20"/>
                <w:szCs w:val="20"/>
                <w:color w:val="auto"/>
              </w:rPr>
            </w:pPr>
            <w:r>
              <w:rPr>
                <w:rFonts w:ascii="Arial" w:cs="Arial" w:eastAsia="Arial" w:hAnsi="Arial"/>
                <w:sz w:val="11"/>
                <w:szCs w:val="11"/>
                <w:color w:val="auto"/>
              </w:rPr>
              <w:t>3,545,001</w:t>
            </w:r>
          </w:p>
        </w:tc>
        <w:tc>
          <w:tcPr>
            <w:tcW w:w="1460" w:type="dxa"/>
            <w:vAlign w:val="bottom"/>
          </w:tcPr>
          <w:p>
            <w:pPr>
              <w:jc w:val="right"/>
              <w:ind w:right="365"/>
              <w:spacing w:after="0" w:line="124" w:lineRule="exact"/>
              <w:rPr>
                <w:sz w:val="20"/>
                <w:szCs w:val="20"/>
                <w:color w:val="auto"/>
              </w:rPr>
            </w:pPr>
            <w:r>
              <w:rPr>
                <w:rFonts w:ascii="Arial" w:cs="Arial" w:eastAsia="Arial" w:hAnsi="Arial"/>
                <w:sz w:val="11"/>
                <w:szCs w:val="11"/>
                <w:color w:val="auto"/>
              </w:rPr>
              <w:t>3,086,767</w:t>
            </w:r>
          </w:p>
        </w:tc>
        <w:tc>
          <w:tcPr>
            <w:tcW w:w="1300" w:type="dxa"/>
            <w:vAlign w:val="bottom"/>
          </w:tcPr>
          <w:p>
            <w:pPr>
              <w:jc w:val="right"/>
              <w:ind w:right="205"/>
              <w:spacing w:after="0" w:line="124" w:lineRule="exact"/>
              <w:rPr>
                <w:sz w:val="20"/>
                <w:szCs w:val="20"/>
                <w:color w:val="auto"/>
              </w:rPr>
            </w:pPr>
            <w:r>
              <w:rPr>
                <w:rFonts w:ascii="Arial" w:cs="Arial" w:eastAsia="Arial" w:hAnsi="Arial"/>
                <w:sz w:val="11"/>
                <w:szCs w:val="11"/>
                <w:color w:val="auto"/>
              </w:rPr>
              <w:t>3,358,408</w:t>
            </w:r>
          </w:p>
        </w:tc>
        <w:tc>
          <w:tcPr>
            <w:tcW w:w="740" w:type="dxa"/>
            <w:vAlign w:val="bottom"/>
          </w:tcPr>
          <w:p>
            <w:pPr>
              <w:jc w:val="center"/>
              <w:ind w:left="5"/>
              <w:spacing w:after="0" w:line="124" w:lineRule="exact"/>
              <w:rPr>
                <w:sz w:val="20"/>
                <w:szCs w:val="20"/>
                <w:color w:val="auto"/>
              </w:rPr>
            </w:pPr>
            <w:r>
              <w:rPr>
                <w:rFonts w:ascii="Arial" w:cs="Arial" w:eastAsia="Arial" w:hAnsi="Arial"/>
                <w:sz w:val="11"/>
                <w:szCs w:val="11"/>
                <w:color w:val="auto"/>
                <w:w w:val="95"/>
              </w:rPr>
              <w:t>8.8%</w:t>
            </w:r>
          </w:p>
        </w:tc>
        <w:tc>
          <w:tcPr>
            <w:tcW w:w="700" w:type="dxa"/>
            <w:vAlign w:val="bottom"/>
          </w:tcPr>
          <w:p>
            <w:pPr>
              <w:jc w:val="center"/>
              <w:spacing w:after="0" w:line="124" w:lineRule="exact"/>
              <w:rPr>
                <w:sz w:val="20"/>
                <w:szCs w:val="20"/>
                <w:color w:val="auto"/>
              </w:rPr>
            </w:pPr>
            <w:r>
              <w:rPr>
                <w:rFonts w:ascii="Arial" w:cs="Arial" w:eastAsia="Arial" w:hAnsi="Arial"/>
                <w:sz w:val="11"/>
                <w:szCs w:val="11"/>
                <w:color w:val="auto"/>
                <w:w w:val="97"/>
              </w:rPr>
              <w:t>-5.3%</w:t>
            </w:r>
          </w:p>
        </w:tc>
        <w:tc>
          <w:tcPr>
            <w:tcW w:w="740" w:type="dxa"/>
            <w:vAlign w:val="bottom"/>
          </w:tcPr>
          <w:p>
            <w:pPr>
              <w:jc w:val="center"/>
              <w:spacing w:after="0" w:line="124" w:lineRule="exact"/>
              <w:rPr>
                <w:sz w:val="20"/>
                <w:szCs w:val="20"/>
                <w:color w:val="auto"/>
              </w:rPr>
            </w:pPr>
            <w:r>
              <w:rPr>
                <w:rFonts w:ascii="Arial" w:cs="Arial" w:eastAsia="Arial" w:hAnsi="Arial"/>
                <w:sz w:val="11"/>
                <w:szCs w:val="11"/>
                <w:color w:val="auto"/>
                <w:w w:val="96"/>
              </w:rPr>
              <w:t>73.0%</w:t>
            </w:r>
          </w:p>
        </w:tc>
        <w:tc>
          <w:tcPr>
            <w:tcW w:w="720" w:type="dxa"/>
            <w:vAlign w:val="bottom"/>
          </w:tcPr>
          <w:p>
            <w:pPr>
              <w:jc w:val="center"/>
              <w:spacing w:after="0" w:line="124" w:lineRule="exact"/>
              <w:rPr>
                <w:sz w:val="20"/>
                <w:szCs w:val="20"/>
                <w:color w:val="auto"/>
              </w:rPr>
            </w:pPr>
            <w:r>
              <w:rPr>
                <w:rFonts w:ascii="Arial" w:cs="Arial" w:eastAsia="Arial" w:hAnsi="Arial"/>
                <w:sz w:val="11"/>
                <w:szCs w:val="11"/>
                <w:color w:val="auto"/>
              </w:rPr>
              <w:t>27.0%</w:t>
            </w:r>
          </w:p>
        </w:tc>
        <w:tc>
          <w:tcPr>
            <w:tcW w:w="20" w:type="dxa"/>
            <w:vAlign w:val="bottom"/>
          </w:tcPr>
          <w:p>
            <w:pPr>
              <w:spacing w:after="0"/>
              <w:rPr>
                <w:sz w:val="10"/>
                <w:szCs w:val="10"/>
                <w:color w:val="auto"/>
              </w:rPr>
            </w:pPr>
          </w:p>
        </w:tc>
      </w:tr>
      <w:tr>
        <w:trPr>
          <w:trHeight w:val="130"/>
        </w:trPr>
        <w:tc>
          <w:tcPr>
            <w:tcW w:w="3160" w:type="dxa"/>
            <w:vAlign w:val="bottom"/>
            <w:tcBorders>
              <w:bottom w:val="single" w:sz="8" w:color="auto"/>
            </w:tcBorders>
          </w:tcPr>
          <w:p>
            <w:pPr>
              <w:ind w:left="80"/>
              <w:spacing w:after="0"/>
              <w:rPr>
                <w:sz w:val="20"/>
                <w:szCs w:val="20"/>
                <w:color w:val="auto"/>
              </w:rPr>
            </w:pPr>
            <w:r>
              <w:rPr>
                <w:rFonts w:ascii="Arial" w:cs="Arial" w:eastAsia="Arial" w:hAnsi="Arial"/>
                <w:sz w:val="11"/>
                <w:szCs w:val="11"/>
                <w:color w:val="auto"/>
              </w:rPr>
              <w:t>Interest payable</w:t>
            </w:r>
          </w:p>
        </w:tc>
        <w:tc>
          <w:tcPr>
            <w:tcW w:w="1560" w:type="dxa"/>
            <w:vAlign w:val="bottom"/>
            <w:tcBorders>
              <w:bottom w:val="single" w:sz="8" w:color="auto"/>
            </w:tcBorders>
          </w:tcPr>
          <w:p>
            <w:pPr>
              <w:jc w:val="right"/>
              <w:ind w:right="385"/>
              <w:spacing w:after="0"/>
              <w:rPr>
                <w:sz w:val="20"/>
                <w:szCs w:val="20"/>
                <w:color w:val="auto"/>
              </w:rPr>
            </w:pPr>
            <w:r>
              <w:rPr>
                <w:rFonts w:ascii="Arial" w:cs="Arial" w:eastAsia="Arial" w:hAnsi="Arial"/>
                <w:sz w:val="11"/>
                <w:szCs w:val="11"/>
                <w:color w:val="auto"/>
              </w:rPr>
              <w:t>1,348,783</w:t>
            </w:r>
          </w:p>
        </w:tc>
        <w:tc>
          <w:tcPr>
            <w:tcW w:w="1460" w:type="dxa"/>
            <w:vAlign w:val="bottom"/>
            <w:tcBorders>
              <w:bottom w:val="single" w:sz="8" w:color="auto"/>
            </w:tcBorders>
          </w:tcPr>
          <w:p>
            <w:pPr>
              <w:jc w:val="right"/>
              <w:ind w:right="365"/>
              <w:spacing w:after="0"/>
              <w:rPr>
                <w:sz w:val="20"/>
                <w:szCs w:val="20"/>
                <w:color w:val="auto"/>
              </w:rPr>
            </w:pPr>
            <w:r>
              <w:rPr>
                <w:rFonts w:ascii="Arial" w:cs="Arial" w:eastAsia="Arial" w:hAnsi="Arial"/>
                <w:sz w:val="11"/>
                <w:szCs w:val="11"/>
                <w:color w:val="auto"/>
              </w:rPr>
              <w:t>1,371,658</w:t>
            </w:r>
          </w:p>
        </w:tc>
        <w:tc>
          <w:tcPr>
            <w:tcW w:w="1300" w:type="dxa"/>
            <w:vAlign w:val="bottom"/>
            <w:tcBorders>
              <w:bottom w:val="single" w:sz="8" w:color="auto"/>
            </w:tcBorders>
          </w:tcPr>
          <w:p>
            <w:pPr>
              <w:jc w:val="right"/>
              <w:ind w:right="205"/>
              <w:spacing w:after="0"/>
              <w:rPr>
                <w:sz w:val="20"/>
                <w:szCs w:val="20"/>
                <w:color w:val="auto"/>
              </w:rPr>
            </w:pPr>
            <w:r>
              <w:rPr>
                <w:rFonts w:ascii="Arial" w:cs="Arial" w:eastAsia="Arial" w:hAnsi="Arial"/>
                <w:sz w:val="11"/>
                <w:szCs w:val="11"/>
                <w:color w:val="auto"/>
              </w:rPr>
              <w:t>1,435,917</w:t>
            </w:r>
          </w:p>
        </w:tc>
        <w:tc>
          <w:tcPr>
            <w:tcW w:w="740" w:type="dxa"/>
            <w:vAlign w:val="bottom"/>
            <w:tcBorders>
              <w:bottom w:val="single" w:sz="8" w:color="auto"/>
            </w:tcBorders>
          </w:tcPr>
          <w:p>
            <w:pPr>
              <w:jc w:val="center"/>
              <w:ind w:left="5"/>
              <w:spacing w:after="0"/>
              <w:rPr>
                <w:sz w:val="20"/>
                <w:szCs w:val="20"/>
                <w:color w:val="auto"/>
              </w:rPr>
            </w:pPr>
            <w:r>
              <w:rPr>
                <w:rFonts w:ascii="Arial" w:cs="Arial" w:eastAsia="Arial" w:hAnsi="Arial"/>
                <w:sz w:val="11"/>
                <w:szCs w:val="11"/>
                <w:color w:val="auto"/>
                <w:w w:val="95"/>
              </w:rPr>
              <w:t>4.7%</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5"/>
              </w:rPr>
              <w:t>6.5%</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6"/>
              </w:rPr>
              <w:t>29.4%</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70.6%</w:t>
            </w:r>
          </w:p>
        </w:tc>
        <w:tc>
          <w:tcPr>
            <w:tcW w:w="20" w:type="dxa"/>
            <w:vAlign w:val="bottom"/>
            <w:tcBorders>
              <w:bottom w:val="single" w:sz="8" w:color="auto"/>
            </w:tcBorders>
          </w:tcPr>
          <w:p>
            <w:pPr>
              <w:spacing w:after="0"/>
              <w:rPr>
                <w:sz w:val="11"/>
                <w:szCs w:val="11"/>
                <w:color w:val="auto"/>
              </w:rPr>
            </w:pPr>
          </w:p>
        </w:tc>
      </w:tr>
      <w:tr>
        <w:trPr>
          <w:trHeight w:val="114"/>
        </w:trPr>
        <w:tc>
          <w:tcPr>
            <w:tcW w:w="3160" w:type="dxa"/>
            <w:vAlign w:val="bottom"/>
            <w:tcBorders>
              <w:bottom w:val="single" w:sz="8" w:color="auto"/>
            </w:tcBorders>
          </w:tcPr>
          <w:p>
            <w:pPr>
              <w:ind w:left="80"/>
              <w:spacing w:after="0" w:line="114" w:lineRule="exact"/>
              <w:rPr>
                <w:sz w:val="20"/>
                <w:szCs w:val="20"/>
                <w:color w:val="auto"/>
              </w:rPr>
            </w:pPr>
            <w:r>
              <w:rPr>
                <w:rFonts w:ascii="Arial" w:cs="Arial" w:eastAsia="Arial" w:hAnsi="Arial"/>
                <w:sz w:val="11"/>
                <w:szCs w:val="11"/>
                <w:b w:val="1"/>
                <w:bCs w:val="1"/>
                <w:color w:val="auto"/>
              </w:rPr>
              <w:t>Low-cost deposits (1)</w:t>
            </w:r>
          </w:p>
        </w:tc>
        <w:tc>
          <w:tcPr>
            <w:tcW w:w="1560" w:type="dxa"/>
            <w:vAlign w:val="bottom"/>
            <w:tcBorders>
              <w:bottom w:val="single" w:sz="8" w:color="auto"/>
            </w:tcBorders>
          </w:tcPr>
          <w:p>
            <w:pPr>
              <w:jc w:val="right"/>
              <w:ind w:right="385"/>
              <w:spacing w:after="0" w:line="114" w:lineRule="exact"/>
              <w:rPr>
                <w:sz w:val="20"/>
                <w:szCs w:val="20"/>
                <w:color w:val="auto"/>
              </w:rPr>
            </w:pPr>
            <w:r>
              <w:rPr>
                <w:rFonts w:ascii="Arial" w:cs="Arial" w:eastAsia="Arial" w:hAnsi="Arial"/>
                <w:sz w:val="11"/>
                <w:szCs w:val="11"/>
                <w:b w:val="1"/>
                <w:bCs w:val="1"/>
                <w:color w:val="auto"/>
              </w:rPr>
              <w:t>93,386,504</w:t>
            </w:r>
          </w:p>
        </w:tc>
        <w:tc>
          <w:tcPr>
            <w:tcW w:w="1460" w:type="dxa"/>
            <w:vAlign w:val="bottom"/>
            <w:tcBorders>
              <w:bottom w:val="single" w:sz="8" w:color="auto"/>
            </w:tcBorders>
          </w:tcPr>
          <w:p>
            <w:pPr>
              <w:jc w:val="right"/>
              <w:ind w:right="365"/>
              <w:spacing w:after="0" w:line="114" w:lineRule="exact"/>
              <w:rPr>
                <w:sz w:val="20"/>
                <w:szCs w:val="20"/>
                <w:color w:val="auto"/>
              </w:rPr>
            </w:pPr>
            <w:r>
              <w:rPr>
                <w:rFonts w:ascii="Arial" w:cs="Arial" w:eastAsia="Arial" w:hAnsi="Arial"/>
                <w:sz w:val="11"/>
                <w:szCs w:val="11"/>
                <w:b w:val="1"/>
                <w:bCs w:val="1"/>
                <w:color w:val="auto"/>
              </w:rPr>
              <w:t>99,623,176</w:t>
            </w:r>
          </w:p>
        </w:tc>
        <w:tc>
          <w:tcPr>
            <w:tcW w:w="1300" w:type="dxa"/>
            <w:vAlign w:val="bottom"/>
            <w:tcBorders>
              <w:bottom w:val="single" w:sz="8" w:color="auto"/>
            </w:tcBorders>
          </w:tcPr>
          <w:p>
            <w:pPr>
              <w:jc w:val="right"/>
              <w:ind w:right="205"/>
              <w:spacing w:after="0" w:line="114" w:lineRule="exact"/>
              <w:rPr>
                <w:sz w:val="20"/>
                <w:szCs w:val="20"/>
                <w:color w:val="auto"/>
              </w:rPr>
            </w:pPr>
            <w:r>
              <w:rPr>
                <w:rFonts w:ascii="Arial" w:cs="Arial" w:eastAsia="Arial" w:hAnsi="Arial"/>
                <w:sz w:val="11"/>
                <w:szCs w:val="11"/>
                <w:b w:val="1"/>
                <w:bCs w:val="1"/>
                <w:color w:val="auto"/>
              </w:rPr>
              <w:t>103,672,776</w:t>
            </w:r>
          </w:p>
        </w:tc>
        <w:tc>
          <w:tcPr>
            <w:tcW w:w="740" w:type="dxa"/>
            <w:vAlign w:val="bottom"/>
            <w:tcBorders>
              <w:bottom w:val="single" w:sz="8" w:color="auto"/>
            </w:tcBorders>
          </w:tcPr>
          <w:p>
            <w:pPr>
              <w:jc w:val="center"/>
              <w:ind w:left="5"/>
              <w:spacing w:after="0" w:line="114" w:lineRule="exact"/>
              <w:rPr>
                <w:sz w:val="20"/>
                <w:szCs w:val="20"/>
                <w:color w:val="auto"/>
              </w:rPr>
            </w:pPr>
            <w:r>
              <w:rPr>
                <w:rFonts w:ascii="Arial" w:cs="Arial" w:eastAsia="Arial" w:hAnsi="Arial"/>
                <w:sz w:val="11"/>
                <w:szCs w:val="11"/>
                <w:b w:val="1"/>
                <w:bCs w:val="1"/>
                <w:color w:val="auto"/>
                <w:w w:val="95"/>
              </w:rPr>
              <w:t>4.1%</w:t>
            </w:r>
          </w:p>
        </w:tc>
        <w:tc>
          <w:tcPr>
            <w:tcW w:w="7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w w:val="96"/>
              </w:rPr>
              <w:t>11.0%</w:t>
            </w:r>
          </w:p>
        </w:tc>
        <w:tc>
          <w:tcPr>
            <w:tcW w:w="7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w w:val="96"/>
              </w:rPr>
              <w:t>52.4%</w:t>
            </w:r>
          </w:p>
        </w:tc>
        <w:tc>
          <w:tcPr>
            <w:tcW w:w="72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47.6%</w:t>
            </w:r>
          </w:p>
        </w:tc>
        <w:tc>
          <w:tcPr>
            <w:tcW w:w="20" w:type="dxa"/>
            <w:vAlign w:val="bottom"/>
            <w:tcBorders>
              <w:bottom w:val="single" w:sz="8" w:color="auto"/>
            </w:tcBorders>
          </w:tcPr>
          <w:p>
            <w:pPr>
              <w:spacing w:after="0"/>
              <w:rPr>
                <w:sz w:val="9"/>
                <w:szCs w:val="9"/>
                <w:color w:val="auto"/>
              </w:rPr>
            </w:pPr>
          </w:p>
        </w:tc>
      </w:tr>
      <w:tr>
        <w:trPr>
          <w:trHeight w:val="119"/>
        </w:trPr>
        <w:tc>
          <w:tcPr>
            <w:tcW w:w="316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Total Deposits</w:t>
            </w:r>
          </w:p>
        </w:tc>
        <w:tc>
          <w:tcPr>
            <w:tcW w:w="1560" w:type="dxa"/>
            <w:vAlign w:val="bottom"/>
          </w:tcPr>
          <w:p>
            <w:pPr>
              <w:jc w:val="right"/>
              <w:ind w:right="385"/>
              <w:spacing w:after="0" w:line="120" w:lineRule="exact"/>
              <w:rPr>
                <w:sz w:val="20"/>
                <w:szCs w:val="20"/>
                <w:color w:val="auto"/>
              </w:rPr>
            </w:pPr>
            <w:r>
              <w:rPr>
                <w:rFonts w:ascii="Arial" w:cs="Arial" w:eastAsia="Arial" w:hAnsi="Arial"/>
                <w:sz w:val="11"/>
                <w:szCs w:val="11"/>
                <w:b w:val="1"/>
                <w:bCs w:val="1"/>
                <w:color w:val="auto"/>
              </w:rPr>
              <w:t>143,387,717</w:t>
            </w:r>
          </w:p>
        </w:tc>
        <w:tc>
          <w:tcPr>
            <w:tcW w:w="1460" w:type="dxa"/>
            <w:vAlign w:val="bottom"/>
          </w:tcPr>
          <w:p>
            <w:pPr>
              <w:jc w:val="right"/>
              <w:ind w:right="365"/>
              <w:spacing w:after="0" w:line="120" w:lineRule="exact"/>
              <w:rPr>
                <w:sz w:val="20"/>
                <w:szCs w:val="20"/>
                <w:color w:val="auto"/>
              </w:rPr>
            </w:pPr>
            <w:r>
              <w:rPr>
                <w:rFonts w:ascii="Arial" w:cs="Arial" w:eastAsia="Arial" w:hAnsi="Arial"/>
                <w:sz w:val="11"/>
                <w:szCs w:val="11"/>
                <w:b w:val="1"/>
                <w:bCs w:val="1"/>
                <w:color w:val="auto"/>
              </w:rPr>
              <w:t>147,857,127</w:t>
            </w:r>
          </w:p>
        </w:tc>
        <w:tc>
          <w:tcPr>
            <w:tcW w:w="1300" w:type="dxa"/>
            <w:vAlign w:val="bottom"/>
          </w:tcPr>
          <w:p>
            <w:pPr>
              <w:jc w:val="right"/>
              <w:ind w:right="205"/>
              <w:spacing w:after="0" w:line="120" w:lineRule="exact"/>
              <w:rPr>
                <w:sz w:val="20"/>
                <w:szCs w:val="20"/>
                <w:color w:val="auto"/>
              </w:rPr>
            </w:pPr>
            <w:r>
              <w:rPr>
                <w:rFonts w:ascii="Arial" w:cs="Arial" w:eastAsia="Arial" w:hAnsi="Arial"/>
                <w:sz w:val="11"/>
                <w:szCs w:val="11"/>
                <w:b w:val="1"/>
                <w:bCs w:val="1"/>
                <w:color w:val="auto"/>
              </w:rPr>
              <w:t>151,971,984</w:t>
            </w:r>
          </w:p>
        </w:tc>
        <w:tc>
          <w:tcPr>
            <w:tcW w:w="740" w:type="dxa"/>
            <w:vAlign w:val="bottom"/>
          </w:tcPr>
          <w:p>
            <w:pPr>
              <w:jc w:val="center"/>
              <w:ind w:left="5"/>
              <w:spacing w:after="0" w:line="120" w:lineRule="exact"/>
              <w:rPr>
                <w:sz w:val="20"/>
                <w:szCs w:val="20"/>
                <w:color w:val="auto"/>
              </w:rPr>
            </w:pPr>
            <w:r>
              <w:rPr>
                <w:rFonts w:ascii="Arial" w:cs="Arial" w:eastAsia="Arial" w:hAnsi="Arial"/>
                <w:sz w:val="11"/>
                <w:szCs w:val="11"/>
                <w:b w:val="1"/>
                <w:bCs w:val="1"/>
                <w:color w:val="auto"/>
                <w:w w:val="95"/>
              </w:rPr>
              <w:t>2.8%</w:t>
            </w:r>
          </w:p>
        </w:tc>
        <w:tc>
          <w:tcPr>
            <w:tcW w:w="70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5"/>
              </w:rPr>
              <w:t>6.0%</w:t>
            </w:r>
          </w:p>
        </w:tc>
        <w:tc>
          <w:tcPr>
            <w:tcW w:w="74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6"/>
              </w:rPr>
              <w:t>52.0%</w:t>
            </w:r>
          </w:p>
        </w:tc>
        <w:tc>
          <w:tcPr>
            <w:tcW w:w="72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rPr>
              <w:t>48.0%</w:t>
            </w:r>
          </w:p>
        </w:tc>
        <w:tc>
          <w:tcPr>
            <w:tcW w:w="20" w:type="dxa"/>
            <w:vAlign w:val="bottom"/>
          </w:tcPr>
          <w:p>
            <w:pPr>
              <w:spacing w:after="0"/>
              <w:rPr>
                <w:sz w:val="10"/>
                <w:szCs w:val="10"/>
                <w:color w:val="auto"/>
              </w:rPr>
            </w:pPr>
          </w:p>
        </w:tc>
      </w:tr>
    </w:tbl>
    <w:p>
      <w:pPr>
        <w:ind w:left="246" w:hanging="246"/>
        <w:spacing w:after="0"/>
        <w:tabs>
          <w:tab w:leader="none" w:pos="246" w:val="left"/>
        </w:tabs>
        <w:numPr>
          <w:ilvl w:val="0"/>
          <w:numId w:val="21"/>
        </w:numPr>
        <w:rPr>
          <w:rFonts w:ascii="Arial" w:cs="Arial" w:eastAsia="Arial" w:hAnsi="Arial"/>
          <w:sz w:val="10"/>
          <w:szCs w:val="10"/>
          <w:color w:val="auto"/>
        </w:rPr>
      </w:pPr>
      <w:r>
        <w:rPr>
          <w:rFonts w:ascii="Arial" w:cs="Arial" w:eastAsia="Arial" w:hAnsi="Arial"/>
          <w:sz w:val="10"/>
          <w:szCs w:val="10"/>
          <w:color w:val="auto"/>
        </w:rPr>
        <w:t>Includes Demand Deposits and Saving Deposits</w:t>
      </w:r>
    </w:p>
    <w:p>
      <w:pPr>
        <w:spacing w:after="0" w:line="132" w:lineRule="exact"/>
        <w:rPr>
          <w:sz w:val="20"/>
          <w:szCs w:val="20"/>
          <w:color w:val="auto"/>
        </w:rPr>
      </w:pPr>
    </w:p>
    <w:p>
      <w:pPr>
        <w:ind w:left="6"/>
        <w:spacing w:after="0"/>
        <w:rPr>
          <w:sz w:val="20"/>
          <w:szCs w:val="20"/>
          <w:color w:val="auto"/>
        </w:rPr>
      </w:pPr>
      <w:r>
        <w:rPr>
          <w:rFonts w:ascii="Arial" w:cs="Arial" w:eastAsia="Arial" w:hAnsi="Arial"/>
          <w:sz w:val="14"/>
          <w:szCs w:val="14"/>
          <w:color w:val="auto"/>
        </w:rPr>
        <w:t xml:space="preserve">QoQ, our balance for </w:t>
      </w:r>
      <w:r>
        <w:rPr>
          <w:rFonts w:ascii="Arial" w:cs="Arial" w:eastAsia="Arial" w:hAnsi="Arial"/>
          <w:sz w:val="14"/>
          <w:szCs w:val="14"/>
          <w:b w:val="1"/>
          <w:bCs w:val="1"/>
          <w:color w:val="auto"/>
        </w:rPr>
        <w:t>Total Deposits</w:t>
      </w:r>
      <w:r>
        <w:rPr>
          <w:rFonts w:ascii="Arial" w:cs="Arial" w:eastAsia="Arial" w:hAnsi="Arial"/>
          <w:sz w:val="14"/>
          <w:szCs w:val="14"/>
          <w:color w:val="auto"/>
        </w:rPr>
        <w:t xml:space="preserve"> rose 2.8%. This evolution was driven primarily by:</w:t>
      </w:r>
    </w:p>
    <w:p>
      <w:pPr>
        <w:spacing w:after="0" w:line="148" w:lineRule="exact"/>
        <w:rPr>
          <w:sz w:val="20"/>
          <w:szCs w:val="20"/>
          <w:color w:val="auto"/>
        </w:rPr>
      </w:pPr>
    </w:p>
    <w:p>
      <w:pPr>
        <w:ind w:left="486" w:hanging="240"/>
        <w:spacing w:after="0" w:line="261" w:lineRule="auto"/>
        <w:tabs>
          <w:tab w:leader="none" w:pos="452"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6.9% growth in the balance of </w:t>
      </w:r>
      <w:r>
        <w:rPr>
          <w:rFonts w:ascii="Arial" w:cs="Arial" w:eastAsia="Arial" w:hAnsi="Arial"/>
          <w:sz w:val="14"/>
          <w:szCs w:val="14"/>
          <w:b w:val="1"/>
          <w:bCs w:val="1"/>
          <w:color w:val="auto"/>
        </w:rPr>
        <w:t>Demand Deposits</w:t>
      </w:r>
      <w:r>
        <w:rPr>
          <w:rFonts w:ascii="Arial" w:cs="Arial" w:eastAsia="Arial" w:hAnsi="Arial"/>
          <w:sz w:val="14"/>
          <w:szCs w:val="14"/>
          <w:color w:val="auto"/>
        </w:rPr>
        <w:t xml:space="preserve"> and 1.5% in the balance for </w:t>
      </w:r>
      <w:r>
        <w:rPr>
          <w:rFonts w:ascii="Arial" w:cs="Arial" w:eastAsia="Arial" w:hAnsi="Arial"/>
          <w:sz w:val="14"/>
          <w:szCs w:val="14"/>
          <w:b w:val="1"/>
          <w:bCs w:val="1"/>
          <w:color w:val="auto"/>
        </w:rPr>
        <w:t>Savings Deposits.</w:t>
      </w:r>
      <w:r>
        <w:rPr>
          <w:rFonts w:ascii="Arial" w:cs="Arial" w:eastAsia="Arial" w:hAnsi="Arial"/>
          <w:sz w:val="14"/>
          <w:szCs w:val="14"/>
          <w:color w:val="auto"/>
        </w:rPr>
        <w:t xml:space="preserve"> Both increases were driven mainly by growth in deposits in LC at BCP, which was associated with the recent wave in pension fund withdrawals.</w:t>
      </w:r>
    </w:p>
    <w:p>
      <w:pPr>
        <w:spacing w:after="0" w:line="115" w:lineRule="exact"/>
        <w:rPr>
          <w:sz w:val="20"/>
          <w:szCs w:val="20"/>
          <w:color w:val="auto"/>
        </w:rPr>
      </w:pPr>
    </w:p>
    <w:p>
      <w:pPr>
        <w:ind w:left="6"/>
        <w:spacing w:after="0"/>
        <w:rPr>
          <w:sz w:val="20"/>
          <w:szCs w:val="20"/>
          <w:color w:val="auto"/>
        </w:rPr>
      </w:pPr>
      <w:r>
        <w:rPr>
          <w:rFonts w:ascii="Arial" w:cs="Arial" w:eastAsia="Arial" w:hAnsi="Arial"/>
          <w:sz w:val="14"/>
          <w:szCs w:val="14"/>
          <w:color w:val="auto"/>
        </w:rPr>
        <w:t>The aforementioned was partially offset by:</w:t>
      </w:r>
    </w:p>
    <w:p>
      <w:pPr>
        <w:spacing w:after="0" w:line="146" w:lineRule="exact"/>
        <w:rPr>
          <w:sz w:val="20"/>
          <w:szCs w:val="20"/>
          <w:color w:val="auto"/>
        </w:rPr>
      </w:pPr>
    </w:p>
    <w:p>
      <w:pPr>
        <w:jc w:val="both"/>
        <w:ind w:left="486" w:hanging="240"/>
        <w:spacing w:after="0" w:line="245" w:lineRule="auto"/>
        <w:tabs>
          <w:tab w:leader="none" w:pos="450"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A 0.6% reduciton in the balance of </w:t>
      </w:r>
      <w:r>
        <w:rPr>
          <w:rFonts w:ascii="Arial" w:cs="Arial" w:eastAsia="Arial" w:hAnsi="Arial"/>
          <w:sz w:val="14"/>
          <w:szCs w:val="14"/>
          <w:b w:val="1"/>
          <w:bCs w:val="1"/>
          <w:color w:val="auto"/>
        </w:rPr>
        <w:t>Time Deposits</w:t>
      </w:r>
      <w:r>
        <w:rPr>
          <w:rFonts w:ascii="Arial" w:cs="Arial" w:eastAsia="Arial" w:hAnsi="Arial"/>
          <w:sz w:val="14"/>
          <w:szCs w:val="14"/>
          <w:color w:val="auto"/>
        </w:rPr>
        <w:t>, which was spurred primarily by a decrease in the FC balance at BCP. The latter decline was associated with an uptick in the liquidity needs of institutional clients and was partially offset by growth in balances at Mibanco and BCP Bolivia, which was spurred by clients seeking higher-yield deposits.</w:t>
      </w:r>
    </w:p>
    <w:p>
      <w:pPr>
        <w:spacing w:after="0" w:line="124" w:lineRule="exact"/>
        <w:rPr>
          <w:sz w:val="20"/>
          <w:szCs w:val="20"/>
          <w:color w:val="auto"/>
        </w:rPr>
      </w:pPr>
    </w:p>
    <w:p>
      <w:pPr>
        <w:ind w:left="6"/>
        <w:spacing w:after="0"/>
        <w:rPr>
          <w:sz w:val="20"/>
          <w:szCs w:val="20"/>
          <w:color w:val="auto"/>
        </w:rPr>
      </w:pPr>
      <w:r>
        <w:rPr>
          <w:rFonts w:ascii="Arial" w:cs="Arial" w:eastAsia="Arial" w:hAnsi="Arial"/>
          <w:sz w:val="14"/>
          <w:szCs w:val="14"/>
          <w:color w:val="auto"/>
        </w:rPr>
        <w:t xml:space="preserve">YoY, the balance of </w:t>
      </w:r>
      <w:r>
        <w:rPr>
          <w:rFonts w:ascii="Arial" w:cs="Arial" w:eastAsia="Arial" w:hAnsi="Arial"/>
          <w:sz w:val="14"/>
          <w:szCs w:val="14"/>
          <w:b w:val="1"/>
          <w:bCs w:val="1"/>
          <w:color w:val="auto"/>
        </w:rPr>
        <w:t>Total Deposits</w:t>
      </w:r>
      <w:r>
        <w:rPr>
          <w:rFonts w:ascii="Arial" w:cs="Arial" w:eastAsia="Arial" w:hAnsi="Arial"/>
          <w:sz w:val="14"/>
          <w:szCs w:val="14"/>
          <w:color w:val="auto"/>
        </w:rPr>
        <w:t xml:space="preserve"> 6.0%, driven by the following dynamics:</w:t>
      </w:r>
    </w:p>
    <w:p>
      <w:pPr>
        <w:spacing w:after="0" w:line="148" w:lineRule="exact"/>
        <w:rPr>
          <w:sz w:val="20"/>
          <w:szCs w:val="20"/>
          <w:color w:val="auto"/>
        </w:rPr>
      </w:pPr>
    </w:p>
    <w:p>
      <w:pPr>
        <w:ind w:left="486" w:hanging="240"/>
        <w:spacing w:after="0" w:line="261" w:lineRule="auto"/>
        <w:tabs>
          <w:tab w:leader="none" w:pos="462"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15.3% growth in the balance of </w:t>
      </w:r>
      <w:r>
        <w:rPr>
          <w:rFonts w:ascii="Arial" w:cs="Arial" w:eastAsia="Arial" w:hAnsi="Arial"/>
          <w:sz w:val="14"/>
          <w:szCs w:val="14"/>
          <w:b w:val="1"/>
          <w:bCs w:val="1"/>
          <w:color w:val="auto"/>
        </w:rPr>
        <w:t>Demand Deposits</w:t>
      </w:r>
      <w:r>
        <w:rPr>
          <w:rFonts w:ascii="Arial" w:cs="Arial" w:eastAsia="Arial" w:hAnsi="Arial"/>
          <w:sz w:val="14"/>
          <w:szCs w:val="14"/>
          <w:color w:val="auto"/>
        </w:rPr>
        <w:t xml:space="preserve"> and 7.2% in balance of </w:t>
      </w:r>
      <w:r>
        <w:rPr>
          <w:rFonts w:ascii="Arial" w:cs="Arial" w:eastAsia="Arial" w:hAnsi="Arial"/>
          <w:sz w:val="14"/>
          <w:szCs w:val="14"/>
          <w:b w:val="1"/>
          <w:bCs w:val="1"/>
          <w:color w:val="auto"/>
        </w:rPr>
        <w:t>Savings Deposits</w:t>
      </w:r>
      <w:r>
        <w:rPr>
          <w:rFonts w:ascii="Arial" w:cs="Arial" w:eastAsia="Arial" w:hAnsi="Arial"/>
          <w:sz w:val="14"/>
          <w:szCs w:val="14"/>
          <w:color w:val="auto"/>
        </w:rPr>
        <w:t>, which was fueled mainly by an uptick in the balance of LC deposits and, to a lesser extent, in FC deposits at BCP due to the same dynamic indicated in the QoQ analysis.</w:t>
      </w:r>
    </w:p>
    <w:p>
      <w:pPr>
        <w:spacing w:after="0" w:line="115" w:lineRule="exact"/>
        <w:rPr>
          <w:sz w:val="20"/>
          <w:szCs w:val="20"/>
          <w:color w:val="auto"/>
        </w:rPr>
      </w:pPr>
    </w:p>
    <w:p>
      <w:pPr>
        <w:ind w:left="6"/>
        <w:spacing w:after="0"/>
        <w:rPr>
          <w:sz w:val="20"/>
          <w:szCs w:val="20"/>
          <w:color w:val="auto"/>
        </w:rPr>
      </w:pPr>
      <w:r>
        <w:rPr>
          <w:rFonts w:ascii="Arial" w:cs="Arial" w:eastAsia="Arial" w:hAnsi="Arial"/>
          <w:sz w:val="14"/>
          <w:szCs w:val="14"/>
          <w:color w:val="auto"/>
        </w:rPr>
        <w:t>The aforementioned was partially offset by:</w:t>
      </w:r>
    </w:p>
    <w:p>
      <w:pPr>
        <w:spacing w:after="0" w:line="146" w:lineRule="exact"/>
        <w:rPr>
          <w:sz w:val="20"/>
          <w:szCs w:val="20"/>
          <w:color w:val="auto"/>
        </w:rPr>
      </w:pPr>
    </w:p>
    <w:p>
      <w:pPr>
        <w:ind w:left="486" w:hanging="240"/>
        <w:spacing w:after="0" w:line="261" w:lineRule="auto"/>
        <w:tabs>
          <w:tab w:leader="none" w:pos="4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A 3.6% reduction in </w:t>
      </w:r>
      <w:r>
        <w:rPr>
          <w:rFonts w:ascii="Arial" w:cs="Arial" w:eastAsia="Arial" w:hAnsi="Arial"/>
          <w:sz w:val="14"/>
          <w:szCs w:val="14"/>
          <w:b w:val="1"/>
          <w:bCs w:val="1"/>
          <w:color w:val="auto"/>
        </w:rPr>
        <w:t>Time Deposits</w:t>
      </w:r>
      <w:r>
        <w:rPr>
          <w:rFonts w:ascii="Arial" w:cs="Arial" w:eastAsia="Arial" w:hAnsi="Arial"/>
          <w:sz w:val="14"/>
          <w:szCs w:val="14"/>
          <w:color w:val="auto"/>
        </w:rPr>
        <w:t>; this was driven primarily by a drop in deposits in LC at BCP and reflected withdrawals by corporate clients in a context of low rates. The aforementione decline was partially offset by an uptick in balances in FC, primarily at BCP Bolivia.</w:t>
      </w:r>
    </w:p>
    <w:p>
      <w:pPr>
        <w:spacing w:after="0" w:line="115" w:lineRule="exact"/>
        <w:rPr>
          <w:sz w:val="20"/>
          <w:szCs w:val="20"/>
          <w:color w:val="auto"/>
        </w:rPr>
      </w:pPr>
    </w:p>
    <w:p>
      <w:pPr>
        <w:jc w:val="both"/>
        <w:ind w:left="6"/>
        <w:spacing w:after="0" w:line="244" w:lineRule="auto"/>
        <w:rPr>
          <w:sz w:val="20"/>
          <w:szCs w:val="20"/>
          <w:color w:val="auto"/>
        </w:rPr>
      </w:pPr>
      <w:r>
        <w:rPr>
          <w:rFonts w:ascii="Arial" w:cs="Arial" w:eastAsia="Arial" w:hAnsi="Arial"/>
          <w:sz w:val="14"/>
          <w:szCs w:val="14"/>
          <w:color w:val="auto"/>
        </w:rPr>
        <w:t>Low-cost deposit volumes rose 4.1% QoQ and 11.0% YoY. It is important to note the significant uptick in the low-cost deposits’ share of total deposits, which stood at 68.2% of the total figure (+80 bps QoQ and +310 bps YoY). This improvement reflected prudent management to reverse a downward trend in low-cost deposits and consequently boosted the financial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748030</wp:posOffset>
            </wp:positionV>
            <wp:extent cx="7164705" cy="133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88265</wp:posOffset>
            </wp:positionV>
            <wp:extent cx="1502410" cy="44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5180330</wp:posOffset>
            </wp:positionH>
            <wp:positionV relativeFrom="paragraph">
              <wp:posOffset>251460</wp:posOffset>
            </wp:positionV>
            <wp:extent cx="1697990" cy="2806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97990" cy="280670"/>
                    </a:xfrm>
                    <a:prstGeom prst="rect">
                      <a:avLst/>
                    </a:prstGeom>
                    <a:noFill/>
                  </pic:spPr>
                </pic:pic>
              </a:graphicData>
            </a:graphic>
          </wp:anchor>
        </w:drawing>
      </w:r>
    </w:p>
    <w:p>
      <w:pPr>
        <w:sectPr>
          <w:pgSz w:w="11900" w:h="16838" w:orient="portrait"/>
          <w:cols w:equalWidth="0" w:num="1">
            <w:col w:w="10486"/>
          </w:cols>
          <w:pgMar w:left="754" w:top="298" w:right="659" w:bottom="1440" w:gutter="0" w:footer="0" w:header="0"/>
        </w:sectPr>
      </w:pPr>
    </w:p>
    <w:bookmarkStart w:id="23" w:name="page24"/>
    <w:bookmarkEnd w:id="23"/>
    <w:p>
      <w:pPr>
        <w:jc w:val="both"/>
        <w:ind w:left="2480"/>
        <w:spacing w:after="0"/>
        <w:tabs>
          <w:tab w:leader="none" w:pos="2680" w:val="left"/>
        </w:tabs>
        <w:rPr>
          <w:sz w:val="20"/>
          <w:szCs w:val="20"/>
          <w:color w:val="auto"/>
        </w:rPr>
      </w:pPr>
      <w:r>
        <w:rPr>
          <w:rFonts w:ascii="Arial" w:cs="Arial" w:eastAsia="Arial" w:hAnsi="Arial"/>
          <w:sz w:val="14"/>
          <w:szCs w:val="14"/>
          <w:color w:val="A6A6A6"/>
        </w:rPr>
        <w:t>|</w:t>
      </w:r>
      <w:r>
        <w:rPr>
          <w:sz w:val="20"/>
          <w:szCs w:val="20"/>
          <w:color w:val="auto"/>
        </w:rPr>
        <w:tab/>
      </w:r>
      <w:r>
        <w:rPr>
          <w:rFonts w:ascii="Arial" w:cs="Arial" w:eastAsia="Arial" w:hAnsi="Arial"/>
          <w:sz w:val="14"/>
          <w:szCs w:val="14"/>
          <w:b w:val="1"/>
          <w:bCs w:val="1"/>
          <w:color w:val="A6A6A6"/>
        </w:rPr>
        <w:t>Earnings Release 2Q / 2024</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02. Deposits</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Dollarization Level of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103505</wp:posOffset>
            </wp:positionV>
            <wp:extent cx="2188210" cy="1280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88210" cy="1280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Loan / Deposit Ratio (L/D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116840</wp:posOffset>
            </wp:positionV>
            <wp:extent cx="2638425" cy="29000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38425" cy="2900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2080"/>
        <w:spacing w:after="0"/>
        <w:rPr>
          <w:sz w:val="20"/>
          <w:szCs w:val="20"/>
          <w:color w:val="auto"/>
        </w:rPr>
      </w:pPr>
      <w:r>
        <w:rPr>
          <w:rFonts w:ascii="Arial" w:cs="Arial" w:eastAsia="Arial" w:hAnsi="Arial"/>
          <w:sz w:val="14"/>
          <w:szCs w:val="14"/>
          <w:b w:val="1"/>
          <w:bCs w:val="1"/>
          <w:color w:val="E93BAC"/>
        </w:rPr>
        <w:t>Analysis of 2Q24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-3719195</wp:posOffset>
            </wp:positionH>
            <wp:positionV relativeFrom="paragraph">
              <wp:posOffset>-222885</wp:posOffset>
            </wp:positionV>
            <wp:extent cx="7164705" cy="5810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705" cy="58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rPr>
          <w:sz w:val="20"/>
          <w:szCs w:val="20"/>
          <w:color w:val="auto"/>
        </w:rPr>
      </w:pPr>
      <w:r>
        <w:rPr>
          <w:rFonts w:ascii="Arial" w:cs="Arial" w:eastAsia="Arial" w:hAnsi="Arial"/>
          <w:sz w:val="14"/>
          <w:szCs w:val="14"/>
          <w:color w:val="auto"/>
        </w:rPr>
        <w:t xml:space="preserve">At the end of June 2024, the dollarization level of Total Deposits fell 160 bps </w:t>
      </w:r>
      <w:r>
        <w:rPr>
          <w:rFonts w:ascii="Arial" w:cs="Arial" w:eastAsia="Arial" w:hAnsi="Arial"/>
          <w:sz w:val="14"/>
          <w:szCs w:val="14"/>
          <w:b w:val="1"/>
          <w:bCs w:val="1"/>
          <w:color w:val="auto"/>
        </w:rPr>
        <w:t>QoQ</w:t>
      </w:r>
      <w:r>
        <w:rPr>
          <w:rFonts w:ascii="Arial" w:cs="Arial" w:eastAsia="Arial" w:hAnsi="Arial"/>
          <w:sz w:val="14"/>
          <w:szCs w:val="14"/>
          <w:color w:val="auto"/>
        </w:rPr>
        <w:t xml:space="preserve"> to stand at 48.0% (below the 2-year average of 49.6). This drop was driven primarily by </w:t>
      </w:r>
      <w:r>
        <w:rPr>
          <w:rFonts w:ascii="Arial" w:cs="Arial" w:eastAsia="Arial" w:hAnsi="Arial"/>
          <w:sz w:val="14"/>
          <w:szCs w:val="14"/>
          <w:b w:val="1"/>
          <w:bCs w:val="1"/>
          <w:color w:val="auto"/>
        </w:rPr>
        <w:t>Demand deposits</w:t>
      </w:r>
      <w:r>
        <w:rPr>
          <w:rFonts w:ascii="Arial" w:cs="Arial" w:eastAsia="Arial" w:hAnsi="Arial"/>
          <w:sz w:val="14"/>
          <w:szCs w:val="14"/>
          <w:color w:val="auto"/>
        </w:rPr>
        <w:t>, which registered an increase in the LC balance following the</w:t>
      </w:r>
      <w:r>
        <w:rPr>
          <w:rFonts w:ascii="Arial" w:cs="Arial" w:eastAsia="Arial" w:hAnsi="Arial"/>
          <w:sz w:val="14"/>
          <w:szCs w:val="14"/>
          <w:b w:val="1"/>
          <w:bCs w:val="1"/>
          <w:color w:val="auto"/>
        </w:rPr>
        <w:t xml:space="preserve"> </w:t>
      </w:r>
      <w:r>
        <w:rPr>
          <w:rFonts w:ascii="Arial" w:cs="Arial" w:eastAsia="Arial" w:hAnsi="Arial"/>
          <w:sz w:val="14"/>
          <w:szCs w:val="14"/>
          <w:color w:val="auto"/>
        </w:rPr>
        <w:t>recent wave of pension fund withdrawals.</w:t>
      </w:r>
    </w:p>
    <w:p>
      <w:pPr>
        <w:spacing w:after="0" w:line="127" w:lineRule="exact"/>
        <w:rPr>
          <w:sz w:val="20"/>
          <w:szCs w:val="20"/>
          <w:color w:val="auto"/>
        </w:rPr>
      </w:pPr>
    </w:p>
    <w:p>
      <w:pPr>
        <w:jc w:val="both"/>
        <w:spacing w:after="0" w:line="245" w:lineRule="auto"/>
        <w:rPr>
          <w:sz w:val="20"/>
          <w:szCs w:val="20"/>
          <w:color w:val="auto"/>
        </w:rPr>
      </w:pPr>
      <w:r>
        <w:rPr>
          <w:rFonts w:ascii="Arial" w:cs="Arial" w:eastAsia="Arial" w:hAnsi="Arial"/>
          <w:sz w:val="14"/>
          <w:szCs w:val="14"/>
          <w:b w:val="1"/>
          <w:bCs w:val="1"/>
          <w:color w:val="auto"/>
        </w:rPr>
        <w:t>YoY</w:t>
      </w:r>
      <w:r>
        <w:rPr>
          <w:rFonts w:ascii="Arial" w:cs="Arial" w:eastAsia="Arial" w:hAnsi="Arial"/>
          <w:sz w:val="14"/>
          <w:szCs w:val="14"/>
          <w:color w:val="auto"/>
        </w:rPr>
        <w:t>, the dollarization level decreased 120 bps. This decline was fueled mainly by</w:t>
      </w:r>
      <w:r>
        <w:rPr>
          <w:rFonts w:ascii="Arial" w:cs="Arial" w:eastAsia="Arial" w:hAnsi="Arial"/>
          <w:sz w:val="14"/>
          <w:szCs w:val="14"/>
          <w:b w:val="1"/>
          <w:bCs w:val="1"/>
          <w:color w:val="auto"/>
        </w:rPr>
        <w:t xml:space="preserve"> Savings Deposits </w:t>
      </w:r>
      <w:r>
        <w:rPr>
          <w:rFonts w:ascii="Arial" w:cs="Arial" w:eastAsia="Arial" w:hAnsi="Arial"/>
          <w:sz w:val="14"/>
          <w:szCs w:val="14"/>
          <w:color w:val="auto"/>
        </w:rPr>
        <w:t>and</w:t>
      </w:r>
      <w:r>
        <w:rPr>
          <w:rFonts w:ascii="Arial" w:cs="Arial" w:eastAsia="Arial" w:hAnsi="Arial"/>
          <w:sz w:val="14"/>
          <w:szCs w:val="14"/>
          <w:b w:val="1"/>
          <w:bCs w:val="1"/>
          <w:color w:val="auto"/>
        </w:rPr>
        <w:t xml:space="preserve"> Demand Deposits</w:t>
      </w:r>
      <w:r>
        <w:rPr>
          <w:rFonts w:ascii="Arial" w:cs="Arial" w:eastAsia="Arial" w:hAnsi="Arial"/>
          <w:sz w:val="14"/>
          <w:szCs w:val="14"/>
          <w:color w:val="auto"/>
        </w:rPr>
        <w:t>, where growth in LC balances outpaced</w:t>
      </w:r>
      <w:r>
        <w:rPr>
          <w:rFonts w:ascii="Arial" w:cs="Arial" w:eastAsia="Arial" w:hAnsi="Arial"/>
          <w:sz w:val="14"/>
          <w:szCs w:val="14"/>
          <w:b w:val="1"/>
          <w:bCs w:val="1"/>
          <w:color w:val="auto"/>
        </w:rPr>
        <w:t xml:space="preserve"> </w:t>
      </w:r>
      <w:r>
        <w:rPr>
          <w:rFonts w:ascii="Arial" w:cs="Arial" w:eastAsia="Arial" w:hAnsi="Arial"/>
          <w:sz w:val="14"/>
          <w:szCs w:val="14"/>
          <w:color w:val="auto"/>
        </w:rPr>
        <w:t>that registered for FC due to the same dynamics as those seen QoQ.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-2406015</wp:posOffset>
            </wp:positionH>
            <wp:positionV relativeFrom="paragraph">
              <wp:posOffset>688975</wp:posOffset>
            </wp:positionV>
            <wp:extent cx="4545965" cy="12477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545965" cy="1247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QoQ, the L/D ratio rose 140 bps at BCP and fell 860 bps at Mibanco. The uptick in BCP’s ratio was driven by the fact that growth in loans outstripped the increase reported for deposits . At Mibanco, the ratio fell due to growth in the balance for total deposits, mainly in Time Deposits in LC.</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YoY, the L/D ratio dropped 460 bps and 2340 bps at BCP and Mibanco respectively.</w:t>
      </w:r>
    </w:p>
    <w:p>
      <w:pPr>
        <w:spacing w:after="0" w:line="7"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At BCP, the decline registered for the ratio was driven by an uptick in the deposit balance, mainly in demand deposits. Meanwhile, at Mibanco, the decrease reported in the ratio reflected a drop in loans in a context of tightened lending policies.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In this context, the L/D ratio at Credicorp stood at 96.7%.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-3719195</wp:posOffset>
            </wp:positionH>
            <wp:positionV relativeFrom="paragraph">
              <wp:posOffset>2074545</wp:posOffset>
            </wp:positionV>
            <wp:extent cx="7164705" cy="133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1577975</wp:posOffset>
            </wp:positionV>
            <wp:extent cx="1737360" cy="2806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37360" cy="280670"/>
                    </a:xfrm>
                    <a:prstGeom prst="rect">
                      <a:avLst/>
                    </a:prstGeom>
                    <a:noFill/>
                  </pic:spPr>
                </pic:pic>
              </a:graphicData>
            </a:graphic>
          </wp:anchor>
        </w:drawing>
        <w:drawing>
          <wp:anchor simplePos="0" relativeHeight="251657728" behindDoc="1" locked="0" layoutInCell="0" allowOverlap="1">
            <wp:simplePos x="0" y="0"/>
            <wp:positionH relativeFrom="column">
              <wp:posOffset>878205</wp:posOffset>
            </wp:positionH>
            <wp:positionV relativeFrom="paragraph">
              <wp:posOffset>108585</wp:posOffset>
            </wp:positionV>
            <wp:extent cx="1697990" cy="11887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97990" cy="1188720"/>
                    </a:xfrm>
                    <a:prstGeom prst="rect">
                      <a:avLst/>
                    </a:prstGeom>
                    <a:noFill/>
                  </pic:spPr>
                </pic:pic>
              </a:graphicData>
            </a:graphic>
          </wp:anchor>
        </w:drawing>
      </w:r>
    </w:p>
    <w:p>
      <w:pPr>
        <w:sectPr>
          <w:pgSz w:w="11900" w:h="16838" w:orient="portrait"/>
          <w:cols w:equalWidth="0" w:num="2">
            <w:col w:w="4900" w:space="720"/>
            <w:col w:w="5180"/>
          </w:cols>
          <w:pgMar w:left="540" w:top="300" w:right="559" w:bottom="1440" w:gutter="0" w:footer="0" w:header="0"/>
        </w:sectPr>
      </w:pPr>
    </w:p>
    <w:bookmarkStart w:id="24" w:name="page25"/>
    <w:bookmarkEnd w:id="24"/>
    <w:p>
      <w:pPr>
        <w:jc w:val="both"/>
        <w:ind w:left="2480"/>
        <w:spacing w:after="0"/>
        <w:tabs>
          <w:tab w:leader="none" w:pos="2680" w:val="left"/>
          <w:tab w:leader="none" w:pos="7680"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10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705" cy="581025"/>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02. Deposits</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 Share of Deposits in the Peruvian Financial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1207770</wp:posOffset>
            </wp:positionH>
            <wp:positionV relativeFrom="paragraph">
              <wp:posOffset>103505</wp:posOffset>
            </wp:positionV>
            <wp:extent cx="4448175" cy="17506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448175" cy="1750695"/>
                    </a:xfrm>
                    <a:prstGeom prst="rect">
                      <a:avLst/>
                    </a:prstGeom>
                    <a:noFill/>
                  </pic:spPr>
                </pic:pic>
              </a:graphicData>
            </a:graphic>
          </wp:anchor>
        </w:drawing>
      </w:r>
    </w:p>
    <w:p>
      <w:pPr>
        <w:sectPr>
          <w:pgSz w:w="11900" w:h="16838" w:orient="portrait"/>
          <w:cols w:equalWidth="0" w:num="1">
            <w:col w:w="10800"/>
          </w:cols>
          <w:pgMar w:left="540" w:top="300"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96" w:lineRule="auto"/>
        <w:rPr>
          <w:sz w:val="20"/>
          <w:szCs w:val="20"/>
          <w:color w:val="auto"/>
        </w:rPr>
      </w:pPr>
      <w:r>
        <w:rPr>
          <w:rFonts w:ascii="Arial" w:cs="Arial" w:eastAsia="Arial" w:hAnsi="Arial"/>
          <w:sz w:val="13"/>
          <w:szCs w:val="13"/>
          <w:color w:val="auto"/>
        </w:rPr>
        <w:t>At the end of May 2024, the market share of Consequently, BCP continues to lead the market.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Total Deposits </w:t>
      </w:r>
      <w:r>
        <w:rPr>
          <w:rFonts w:ascii="Arial" w:cs="Arial" w:eastAsia="Arial" w:hAnsi="Arial"/>
          <w:sz w:val="14"/>
          <w:szCs w:val="14"/>
          <w:color w:val="auto"/>
        </w:rPr>
        <w:t>held by BCP and Mibanco in Peru stood at 32.7% and 2.7% (+86 bps and +2 bps vs June 2023 respectively).</w:t>
      </w:r>
    </w:p>
    <w:p>
      <w:pPr>
        <w:spacing w:after="0" w:line="303" w:lineRule="exact"/>
        <w:rPr>
          <w:sz w:val="20"/>
          <w:szCs w:val="20"/>
          <w:color w:val="auto"/>
        </w:rPr>
      </w:pPr>
    </w:p>
    <w:p>
      <w:pPr>
        <w:sectPr>
          <w:pgSz w:w="11900" w:h="16838" w:orient="portrait"/>
          <w:cols w:equalWidth="0" w:num="2">
            <w:col w:w="2860" w:space="40"/>
            <w:col w:w="7900"/>
          </w:cols>
          <w:pgMar w:left="540" w:top="300" w:right="559" w:bottom="1440" w:gutter="0" w:footer="0" w:header="0"/>
          <w:type w:val="continuous"/>
        </w:sectPr>
      </w:pPr>
    </w:p>
    <w:p>
      <w:pPr>
        <w:jc w:val="both"/>
        <w:spacing w:after="0" w:line="239" w:lineRule="auto"/>
        <w:rPr>
          <w:sz w:val="20"/>
          <w:szCs w:val="20"/>
          <w:color w:val="auto"/>
        </w:rPr>
      </w:pPr>
      <w:r>
        <w:rPr>
          <w:rFonts w:ascii="Arial" w:cs="Arial" w:eastAsia="Arial" w:hAnsi="Arial"/>
          <w:sz w:val="14"/>
          <w:szCs w:val="14"/>
          <w:color w:val="auto"/>
        </w:rPr>
        <w:t>The financial system in aggregate registered growth in low-cost deposits versus the figure in June 2023 (+7.7%). BCP’s performance, however, topped the system’s average with growth of +11.2%. Consequently, BCP continues to lead the market for low-cost deposits with an MS of 41.3% at the end of May 2024 (+133 bps vs June 2023). The financial system also registered growth in time deposits over the period (+6.2% vs June 2023); BCP’s result, however, was slightly lower (+6.1% vs June 23). In this context, BCP’s market share dropped 3 bps to stand at 19.5% at the end of May 2024.</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Credicorp’s share in the market for low-cost deposits stood at 41.9% (+127 bps with regard to June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761365</wp:posOffset>
            </wp:positionV>
            <wp:extent cx="7164705" cy="13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101600</wp:posOffset>
            </wp:positionV>
            <wp:extent cx="1502410" cy="44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264795</wp:posOffset>
            </wp:positionV>
            <wp:extent cx="1737360" cy="2806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37360" cy="280670"/>
                    </a:xfrm>
                    <a:prstGeom prst="rect">
                      <a:avLst/>
                    </a:prstGeom>
                    <a:noFill/>
                  </pic:spPr>
                </pic:pic>
              </a:graphicData>
            </a:graphic>
          </wp:anchor>
        </w:drawing>
      </w:r>
    </w:p>
    <w:p>
      <w:pPr>
        <w:sectPr>
          <w:pgSz w:w="11900" w:h="16838" w:orient="portrait"/>
          <w:cols w:equalWidth="0" w:num="1">
            <w:col w:w="10800"/>
          </w:cols>
          <w:pgMar w:left="540" w:top="300" w:right="55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359"/>
        </w:trPr>
        <w:tc>
          <w:tcPr>
            <w:tcW w:w="6820" w:type="dxa"/>
            <w:vAlign w:val="bottom"/>
            <w:shd w:val="clear" w:color="auto" w:fill="000000"/>
          </w:tcPr>
          <w:p>
            <w:pPr>
              <w:ind w:left="2720"/>
              <w:spacing w:after="0"/>
              <w:rPr>
                <w:sz w:val="20"/>
                <w:szCs w:val="20"/>
                <w:color w:val="auto"/>
              </w:rPr>
            </w:pPr>
            <w:r>
              <w:rPr>
                <w:rFonts w:ascii="Arial" w:cs="Arial" w:eastAsia="Arial" w:hAnsi="Arial"/>
                <w:sz w:val="15"/>
                <w:szCs w:val="15"/>
                <w:color w:val="A6A6A6"/>
              </w:rPr>
              <w:t xml:space="preserve">|   </w:t>
            </w:r>
            <w:r>
              <w:rPr>
                <w:rFonts w:ascii="Arial" w:cs="Arial" w:eastAsia="Arial" w:hAnsi="Arial"/>
                <w:sz w:val="13"/>
                <w:szCs w:val="13"/>
                <w:b w:val="1"/>
                <w:bCs w:val="1"/>
                <w:color w:val="A6A6A6"/>
              </w:rPr>
              <w:t>Earnings Release 2Q / 2024</w:t>
            </w:r>
          </w:p>
        </w:tc>
        <w:tc>
          <w:tcPr>
            <w:tcW w:w="4460" w:type="dxa"/>
            <w:vAlign w:val="bottom"/>
            <w:shd w:val="clear" w:color="auto" w:fill="000000"/>
          </w:tcPr>
          <w:p>
            <w:pPr>
              <w:ind w:left="1080"/>
              <w:spacing w:after="0"/>
              <w:rPr>
                <w:sz w:val="20"/>
                <w:szCs w:val="20"/>
                <w:color w:val="auto"/>
              </w:rPr>
            </w:pPr>
            <w:r>
              <w:rPr>
                <w:rFonts w:ascii="Arial" w:cs="Arial" w:eastAsia="Arial" w:hAnsi="Arial"/>
                <w:sz w:val="14"/>
                <w:szCs w:val="14"/>
                <w:b w:val="1"/>
                <w:bCs w:val="1"/>
                <w:color w:val="E93BAC"/>
              </w:rPr>
              <w:t>Analysis of 2Q24 Consolidated Results</w:t>
            </w:r>
          </w:p>
        </w:tc>
      </w:tr>
      <w:tr>
        <w:trPr>
          <w:trHeight w:val="176"/>
        </w:trPr>
        <w:tc>
          <w:tcPr>
            <w:tcW w:w="6820" w:type="dxa"/>
            <w:vAlign w:val="bottom"/>
            <w:shd w:val="clear" w:color="auto" w:fill="000000"/>
          </w:tcPr>
          <w:p>
            <w:pPr>
              <w:spacing w:after="0"/>
              <w:rPr>
                <w:sz w:val="15"/>
                <w:szCs w:val="15"/>
                <w:color w:val="auto"/>
              </w:rPr>
            </w:pPr>
          </w:p>
        </w:tc>
        <w:tc>
          <w:tcPr>
            <w:tcW w:w="4460" w:type="dxa"/>
            <w:vAlign w:val="bottom"/>
            <w:shd w:val="clear" w:color="auto" w:fill="000000"/>
          </w:tcPr>
          <w:p>
            <w:pPr>
              <w:spacing w:after="0"/>
              <w:rPr>
                <w:sz w:val="15"/>
                <w:szCs w:val="15"/>
                <w:color w:val="auto"/>
              </w:rPr>
            </w:pPr>
          </w:p>
        </w:tc>
      </w:tr>
      <w:tr>
        <w:trPr>
          <w:trHeight w:val="662"/>
        </w:trPr>
        <w:tc>
          <w:tcPr>
            <w:tcW w:w="6820" w:type="dxa"/>
            <w:vAlign w:val="bottom"/>
          </w:tcPr>
          <w:p>
            <w:pPr>
              <w:ind w:left="460"/>
              <w:spacing w:after="0"/>
              <w:rPr>
                <w:sz w:val="20"/>
                <w:szCs w:val="20"/>
                <w:color w:val="auto"/>
              </w:rPr>
            </w:pPr>
            <w:r>
              <w:rPr>
                <w:rFonts w:ascii="Arial" w:cs="Arial" w:eastAsia="Arial" w:hAnsi="Arial"/>
                <w:sz w:val="40"/>
                <w:szCs w:val="40"/>
                <w:b w:val="1"/>
                <w:bCs w:val="1"/>
                <w:color w:val="E93BAC"/>
              </w:rPr>
              <w:t xml:space="preserve">03 </w:t>
            </w:r>
            <w:r>
              <w:rPr>
                <w:rFonts w:ascii="Arial" w:cs="Arial" w:eastAsia="Arial" w:hAnsi="Arial"/>
                <w:sz w:val="24"/>
                <w:szCs w:val="24"/>
                <w:color w:val="E93BAB"/>
              </w:rPr>
              <w:t>Interest-earning Assets (IEA) and Funding</w:t>
            </w:r>
          </w:p>
        </w:tc>
        <w:tc>
          <w:tcPr>
            <w:tcW w:w="4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62865</wp:posOffset>
            </wp:positionV>
            <wp:extent cx="6597015" cy="8883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97015" cy="888365"/>
                    </a:xfrm>
                    <a:prstGeom prst="rect">
                      <a:avLst/>
                    </a:prstGeom>
                    <a:noFill/>
                  </pic:spPr>
                </pic:pic>
              </a:graphicData>
            </a:graphic>
          </wp:anchor>
        </w:drawing>
        <w:drawing>
          <wp:anchor simplePos="0" relativeHeight="251657728" behindDoc="1" locked="0" layoutInCell="0" allowOverlap="1">
            <wp:simplePos x="0" y="0"/>
            <wp:positionH relativeFrom="column">
              <wp:posOffset>217170</wp:posOffset>
            </wp:positionH>
            <wp:positionV relativeFrom="paragraph">
              <wp:posOffset>-648335</wp:posOffset>
            </wp:positionV>
            <wp:extent cx="979805" cy="1174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79805" cy="117475"/>
                    </a:xfrm>
                    <a:prstGeom prst="rect">
                      <a:avLst/>
                    </a:prstGeom>
                    <a:noFill/>
                  </pic:spPr>
                </pic:pic>
              </a:graphicData>
            </a:graphic>
          </wp:anchor>
        </w:drawing>
      </w:r>
    </w:p>
    <w:p>
      <w:pPr>
        <w:spacing w:after="0" w:line="148" w:lineRule="exact"/>
        <w:rPr>
          <w:sz w:val="20"/>
          <w:szCs w:val="20"/>
          <w:color w:val="auto"/>
        </w:rPr>
      </w:pPr>
    </w:p>
    <w:p>
      <w:pPr>
        <w:jc w:val="both"/>
        <w:ind w:left="560" w:right="560"/>
        <w:spacing w:after="0" w:line="239" w:lineRule="auto"/>
        <w:rPr>
          <w:sz w:val="20"/>
          <w:szCs w:val="20"/>
          <w:color w:val="auto"/>
        </w:rPr>
      </w:pPr>
      <w:r>
        <w:rPr>
          <w:rFonts w:ascii="Arial" w:cs="Arial" w:eastAsia="Arial" w:hAnsi="Arial"/>
          <w:sz w:val="14"/>
          <w:szCs w:val="14"/>
          <w:color w:val="FFFFFF"/>
        </w:rPr>
        <w:t>In 2Q24, IEAs rose 1.0% QoQ, driven mainly by loan growth via an uptick in the volume of short-term financing in Wholesale Banking. Notwithstanding, wholesale clients are taking a cautious approach to assuming longer-term financing. Growth in IEAs was partially offset by a drop in Cash and due from banks. YoY, IEAs increased 4.4%, driven by an uptick in the investments balance, which reflected an increase in Credicorp’s position in sovereign bonds under its strategy to increase the balance’s duration.</w:t>
      </w:r>
    </w:p>
    <w:p>
      <w:pPr>
        <w:spacing w:after="0" w:line="130" w:lineRule="exact"/>
        <w:rPr>
          <w:sz w:val="20"/>
          <w:szCs w:val="20"/>
          <w:color w:val="auto"/>
        </w:rPr>
      </w:pPr>
    </w:p>
    <w:p>
      <w:pPr>
        <w:jc w:val="both"/>
        <w:ind w:left="560" w:right="560"/>
        <w:spacing w:after="0" w:line="244" w:lineRule="auto"/>
        <w:rPr>
          <w:sz w:val="20"/>
          <w:szCs w:val="20"/>
          <w:color w:val="auto"/>
        </w:rPr>
      </w:pPr>
      <w:r>
        <w:rPr>
          <w:rFonts w:ascii="Arial" w:cs="Arial" w:eastAsia="Arial" w:hAnsi="Arial"/>
          <w:sz w:val="14"/>
          <w:szCs w:val="14"/>
          <w:color w:val="FFFFFF"/>
        </w:rPr>
        <w:t>Funding grew 2.5% QoQ, fueled mainly by a rise in deposits, which reflected the impact of pension fund withdrawals and, to a lesser extent, a move to increase debt through Due to banks. YoY, and fueled by the same dynamics that drove an increase in the bond balance, the funding balance rose (4.5%) but was partially offset by expirations of BCRP instruments.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3.1. IEA</w:t>
      </w:r>
    </w:p>
    <w:p>
      <w:pPr>
        <w:spacing w:after="0" w:line="153" w:lineRule="exact"/>
        <w:rPr>
          <w:sz w:val="20"/>
          <w:szCs w:val="20"/>
          <w:color w:val="auto"/>
        </w:rPr>
      </w:pPr>
    </w:p>
    <w:tbl>
      <w:tblPr>
        <w:tblLayout w:type="fixed"/>
        <w:tblInd w:w="470" w:type="dxa"/>
        <w:tblCellMar>
          <w:top w:w="0" w:type="dxa"/>
          <w:left w:w="0" w:type="dxa"/>
          <w:bottom w:w="0" w:type="dxa"/>
          <w:right w:w="0" w:type="dxa"/>
        </w:tblCellMar>
      </w:tblPr>
      <w:tr>
        <w:trPr>
          <w:trHeight w:val="154"/>
        </w:trPr>
        <w:tc>
          <w:tcPr>
            <w:tcW w:w="5200" w:type="dxa"/>
            <w:vAlign w:val="bottom"/>
            <w:tcBorders>
              <w:top w:val="single" w:sz="8" w:color="auto"/>
              <w:left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2"/>
                <w:szCs w:val="12"/>
                <w:b w:val="1"/>
                <w:bCs w:val="1"/>
                <w:color w:val="FFFFFF"/>
              </w:rPr>
              <w:t>Interest Earning Assets</w:t>
            </w:r>
          </w:p>
        </w:tc>
        <w:tc>
          <w:tcPr>
            <w:tcW w:w="1280" w:type="dxa"/>
            <w:vAlign w:val="bottom"/>
            <w:tcBorders>
              <w:top w:val="single" w:sz="8" w:color="auto"/>
            </w:tcBorders>
            <w:shd w:val="clear" w:color="auto" w:fill="2AD2C9"/>
          </w:tcPr>
          <w:p>
            <w:pPr>
              <w:spacing w:after="0"/>
              <w:rPr>
                <w:sz w:val="13"/>
                <w:szCs w:val="13"/>
                <w:color w:val="auto"/>
              </w:rPr>
            </w:pPr>
          </w:p>
        </w:tc>
        <w:tc>
          <w:tcPr>
            <w:tcW w:w="1120" w:type="dxa"/>
            <w:vAlign w:val="bottom"/>
            <w:tcBorders>
              <w:top w:val="single" w:sz="8" w:color="auto"/>
            </w:tcBorders>
            <w:shd w:val="clear" w:color="auto" w:fill="2AD2C9"/>
          </w:tcPr>
          <w:p>
            <w:pPr>
              <w:jc w:val="right"/>
              <w:ind w:right="518"/>
              <w:spacing w:after="0"/>
              <w:rPr>
                <w:sz w:val="20"/>
                <w:szCs w:val="20"/>
                <w:color w:val="auto"/>
              </w:rPr>
            </w:pPr>
            <w:r>
              <w:rPr>
                <w:rFonts w:ascii="Arial" w:cs="Arial" w:eastAsia="Arial" w:hAnsi="Arial"/>
                <w:sz w:val="12"/>
                <w:szCs w:val="12"/>
                <w:b w:val="1"/>
                <w:bCs w:val="1"/>
                <w:color w:val="FFFFFF"/>
              </w:rPr>
              <w:t>As of</w:t>
            </w:r>
          </w:p>
        </w:tc>
        <w:tc>
          <w:tcPr>
            <w:tcW w:w="980" w:type="dxa"/>
            <w:vAlign w:val="bottom"/>
            <w:tcBorders>
              <w:top w:val="single" w:sz="8" w:color="auto"/>
              <w:right w:val="single" w:sz="8" w:color="auto"/>
            </w:tcBorders>
            <w:shd w:val="clear" w:color="auto" w:fill="2AD2C9"/>
          </w:tcPr>
          <w:p>
            <w:pPr>
              <w:spacing w:after="0"/>
              <w:rPr>
                <w:sz w:val="13"/>
                <w:szCs w:val="13"/>
                <w:color w:val="auto"/>
              </w:rPr>
            </w:pPr>
          </w:p>
        </w:tc>
        <w:tc>
          <w:tcPr>
            <w:tcW w:w="1200" w:type="dxa"/>
            <w:vAlign w:val="bottom"/>
            <w:tcBorders>
              <w:top w:val="single" w:sz="8" w:color="auto"/>
            </w:tcBorders>
            <w:shd w:val="clear" w:color="auto" w:fill="2AD2C9"/>
          </w:tcPr>
          <w:p>
            <w:pPr>
              <w:jc w:val="right"/>
              <w:spacing w:after="0"/>
              <w:rPr>
                <w:sz w:val="20"/>
                <w:szCs w:val="20"/>
                <w:color w:val="auto"/>
              </w:rPr>
            </w:pPr>
            <w:r>
              <w:rPr>
                <w:rFonts w:ascii="Arial" w:cs="Arial" w:eastAsia="Arial" w:hAnsi="Arial"/>
                <w:sz w:val="12"/>
                <w:szCs w:val="12"/>
                <w:b w:val="1"/>
                <w:bCs w:val="1"/>
                <w:color w:val="FFFFFF"/>
              </w:rPr>
              <w:t>% change</w:t>
            </w:r>
          </w:p>
        </w:tc>
        <w:tc>
          <w:tcPr>
            <w:tcW w:w="600" w:type="dxa"/>
            <w:vAlign w:val="bottom"/>
            <w:tcBorders>
              <w:top w:val="single" w:sz="8" w:color="auto"/>
              <w:right w:val="single" w:sz="8" w:color="auto"/>
            </w:tcBorders>
            <w:shd w:val="clear" w:color="auto" w:fill="2AD2C9"/>
          </w:tcPr>
          <w:p>
            <w:pPr>
              <w:spacing w:after="0"/>
              <w:rPr>
                <w:sz w:val="13"/>
                <w:szCs w:val="13"/>
                <w:color w:val="auto"/>
              </w:rPr>
            </w:pPr>
          </w:p>
        </w:tc>
      </w:tr>
      <w:tr>
        <w:trPr>
          <w:trHeight w:val="144"/>
        </w:trPr>
        <w:tc>
          <w:tcPr>
            <w:tcW w:w="520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2"/>
                <w:szCs w:val="12"/>
                <w:b w:val="1"/>
                <w:bCs w:val="1"/>
                <w:color w:val="FFFFFF"/>
              </w:rPr>
              <w:t>S/000</w:t>
            </w:r>
          </w:p>
        </w:tc>
        <w:tc>
          <w:tcPr>
            <w:tcW w:w="1280" w:type="dxa"/>
            <w:vAlign w:val="bottom"/>
            <w:tcBorders>
              <w:bottom w:val="single" w:sz="8" w:color="auto"/>
            </w:tcBorders>
            <w:shd w:val="clear" w:color="auto" w:fill="2AD2C9"/>
          </w:tcPr>
          <w:p>
            <w:pPr>
              <w:jc w:val="right"/>
              <w:ind w:right="478"/>
              <w:spacing w:after="0"/>
              <w:rPr>
                <w:sz w:val="20"/>
                <w:szCs w:val="20"/>
                <w:color w:val="auto"/>
              </w:rPr>
            </w:pPr>
            <w:r>
              <w:rPr>
                <w:rFonts w:ascii="Arial" w:cs="Arial" w:eastAsia="Arial" w:hAnsi="Arial"/>
                <w:sz w:val="12"/>
                <w:szCs w:val="12"/>
                <w:b w:val="1"/>
                <w:bCs w:val="1"/>
                <w:color w:val="FFFFFF"/>
              </w:rPr>
              <w:t>Jun 23</w:t>
            </w:r>
          </w:p>
        </w:tc>
        <w:tc>
          <w:tcPr>
            <w:tcW w:w="1120" w:type="dxa"/>
            <w:vAlign w:val="bottom"/>
            <w:tcBorders>
              <w:bottom w:val="single" w:sz="8" w:color="auto"/>
            </w:tcBorders>
            <w:shd w:val="clear" w:color="auto" w:fill="2AD2C9"/>
          </w:tcPr>
          <w:p>
            <w:pPr>
              <w:jc w:val="right"/>
              <w:ind w:right="478"/>
              <w:spacing w:after="0"/>
              <w:rPr>
                <w:sz w:val="20"/>
                <w:szCs w:val="20"/>
                <w:color w:val="auto"/>
              </w:rPr>
            </w:pPr>
            <w:r>
              <w:rPr>
                <w:rFonts w:ascii="Arial" w:cs="Arial" w:eastAsia="Arial" w:hAnsi="Arial"/>
                <w:sz w:val="12"/>
                <w:szCs w:val="12"/>
                <w:b w:val="1"/>
                <w:bCs w:val="1"/>
                <w:color w:val="FFFFFF"/>
              </w:rPr>
              <w:t>Mar 24</w:t>
            </w:r>
          </w:p>
        </w:tc>
        <w:tc>
          <w:tcPr>
            <w:tcW w:w="980" w:type="dxa"/>
            <w:vAlign w:val="bottom"/>
            <w:tcBorders>
              <w:bottom w:val="single" w:sz="8" w:color="auto"/>
              <w:right w:val="single" w:sz="8" w:color="auto"/>
            </w:tcBorders>
            <w:shd w:val="clear" w:color="auto" w:fill="2AD2C9"/>
          </w:tcPr>
          <w:p>
            <w:pPr>
              <w:jc w:val="right"/>
              <w:ind w:right="338"/>
              <w:spacing w:after="0"/>
              <w:rPr>
                <w:sz w:val="20"/>
                <w:szCs w:val="20"/>
                <w:color w:val="auto"/>
              </w:rPr>
            </w:pPr>
            <w:r>
              <w:rPr>
                <w:rFonts w:ascii="Arial" w:cs="Arial" w:eastAsia="Arial" w:hAnsi="Arial"/>
                <w:sz w:val="12"/>
                <w:szCs w:val="12"/>
                <w:b w:val="1"/>
                <w:bCs w:val="1"/>
                <w:color w:val="FFFFFF"/>
              </w:rPr>
              <w:t>Jun 24</w:t>
            </w:r>
          </w:p>
        </w:tc>
        <w:tc>
          <w:tcPr>
            <w:tcW w:w="1200" w:type="dxa"/>
            <w:vAlign w:val="bottom"/>
            <w:tcBorders>
              <w:bottom w:val="single" w:sz="8" w:color="auto"/>
            </w:tcBorders>
            <w:shd w:val="clear" w:color="auto" w:fill="2AD2C9"/>
          </w:tcPr>
          <w:p>
            <w:pPr>
              <w:jc w:val="right"/>
              <w:ind w:right="578"/>
              <w:spacing w:after="0"/>
              <w:rPr>
                <w:sz w:val="20"/>
                <w:szCs w:val="20"/>
                <w:color w:val="auto"/>
              </w:rPr>
            </w:pPr>
            <w:r>
              <w:rPr>
                <w:rFonts w:ascii="Arial" w:cs="Arial" w:eastAsia="Arial" w:hAnsi="Arial"/>
                <w:sz w:val="12"/>
                <w:szCs w:val="12"/>
                <w:b w:val="1"/>
                <w:bCs w:val="1"/>
                <w:color w:val="FFFFFF"/>
              </w:rPr>
              <w:t>QoQ</w:t>
            </w:r>
          </w:p>
        </w:tc>
        <w:tc>
          <w:tcPr>
            <w:tcW w:w="600" w:type="dxa"/>
            <w:vAlign w:val="bottom"/>
            <w:tcBorders>
              <w:bottom w:val="single" w:sz="8" w:color="auto"/>
              <w:right w:val="single" w:sz="8" w:color="auto"/>
            </w:tcBorders>
            <w:shd w:val="clear" w:color="auto" w:fill="2AD2C9"/>
          </w:tcPr>
          <w:p>
            <w:pPr>
              <w:jc w:val="right"/>
              <w:ind w:right="298"/>
              <w:spacing w:after="0"/>
              <w:rPr>
                <w:sz w:val="20"/>
                <w:szCs w:val="20"/>
                <w:color w:val="auto"/>
              </w:rPr>
            </w:pPr>
            <w:r>
              <w:rPr>
                <w:rFonts w:ascii="Arial" w:cs="Arial" w:eastAsia="Arial" w:hAnsi="Arial"/>
                <w:sz w:val="12"/>
                <w:szCs w:val="12"/>
                <w:b w:val="1"/>
                <w:bCs w:val="1"/>
                <w:color w:val="FFFFFF"/>
                <w:w w:val="94"/>
              </w:rPr>
              <w:t>YoY</w:t>
            </w:r>
          </w:p>
        </w:tc>
      </w:tr>
      <w:tr>
        <w:trPr>
          <w:trHeight w:val="124"/>
        </w:trPr>
        <w:tc>
          <w:tcPr>
            <w:tcW w:w="5200" w:type="dxa"/>
            <w:vAlign w:val="bottom"/>
            <w:tcBorders>
              <w:left w:val="single" w:sz="8" w:color="auto"/>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Cash and due from banks</w:t>
            </w:r>
          </w:p>
        </w:tc>
        <w:tc>
          <w:tcPr>
            <w:tcW w:w="1280" w:type="dxa"/>
            <w:vAlign w:val="bottom"/>
          </w:tcPr>
          <w:p>
            <w:pPr>
              <w:jc w:val="right"/>
              <w:ind w:right="138"/>
              <w:spacing w:after="0" w:line="124" w:lineRule="exact"/>
              <w:rPr>
                <w:sz w:val="20"/>
                <w:szCs w:val="20"/>
                <w:color w:val="auto"/>
              </w:rPr>
            </w:pPr>
            <w:r>
              <w:rPr>
                <w:rFonts w:ascii="Arial" w:cs="Arial" w:eastAsia="Arial" w:hAnsi="Arial"/>
                <w:sz w:val="12"/>
                <w:szCs w:val="12"/>
                <w:color w:val="auto"/>
              </w:rPr>
              <w:t>26,036,894</w:t>
            </w:r>
          </w:p>
        </w:tc>
        <w:tc>
          <w:tcPr>
            <w:tcW w:w="1120" w:type="dxa"/>
            <w:vAlign w:val="bottom"/>
          </w:tcPr>
          <w:p>
            <w:pPr>
              <w:jc w:val="right"/>
              <w:ind w:right="138"/>
              <w:spacing w:after="0" w:line="124" w:lineRule="exact"/>
              <w:rPr>
                <w:sz w:val="20"/>
                <w:szCs w:val="20"/>
                <w:color w:val="auto"/>
              </w:rPr>
            </w:pPr>
            <w:r>
              <w:rPr>
                <w:rFonts w:ascii="Arial" w:cs="Arial" w:eastAsia="Arial" w:hAnsi="Arial"/>
                <w:sz w:val="12"/>
                <w:szCs w:val="12"/>
                <w:color w:val="auto"/>
              </w:rPr>
              <w:t>31,134,572</w:t>
            </w:r>
          </w:p>
        </w:tc>
        <w:tc>
          <w:tcPr>
            <w:tcW w:w="9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27,157,901</w:t>
            </w:r>
          </w:p>
        </w:tc>
        <w:tc>
          <w:tcPr>
            <w:tcW w:w="1200" w:type="dxa"/>
            <w:vAlign w:val="bottom"/>
          </w:tcPr>
          <w:p>
            <w:pPr>
              <w:jc w:val="right"/>
              <w:ind w:right="298"/>
              <w:spacing w:after="0" w:line="124" w:lineRule="exact"/>
              <w:rPr>
                <w:sz w:val="20"/>
                <w:szCs w:val="20"/>
                <w:color w:val="auto"/>
              </w:rPr>
            </w:pPr>
            <w:r>
              <w:rPr>
                <w:rFonts w:ascii="Arial" w:cs="Arial" w:eastAsia="Arial" w:hAnsi="Arial"/>
                <w:sz w:val="12"/>
                <w:szCs w:val="12"/>
                <w:color w:val="auto"/>
              </w:rPr>
              <w:t>-12.8%</w:t>
            </w:r>
          </w:p>
        </w:tc>
        <w:tc>
          <w:tcPr>
            <w:tcW w:w="6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4.3%</w:t>
            </w:r>
          </w:p>
        </w:tc>
      </w:tr>
      <w:tr>
        <w:trPr>
          <w:trHeight w:val="144"/>
        </w:trPr>
        <w:tc>
          <w:tcPr>
            <w:tcW w:w="5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Total investments</w:t>
            </w:r>
          </w:p>
        </w:tc>
        <w:tc>
          <w:tcPr>
            <w:tcW w:w="1280" w:type="dxa"/>
            <w:vAlign w:val="bottom"/>
          </w:tcPr>
          <w:p>
            <w:pPr>
              <w:jc w:val="right"/>
              <w:ind w:right="138"/>
              <w:spacing w:after="0"/>
              <w:rPr>
                <w:sz w:val="20"/>
                <w:szCs w:val="20"/>
                <w:color w:val="auto"/>
              </w:rPr>
            </w:pPr>
            <w:r>
              <w:rPr>
                <w:rFonts w:ascii="Arial" w:cs="Arial" w:eastAsia="Arial" w:hAnsi="Arial"/>
                <w:sz w:val="12"/>
                <w:szCs w:val="12"/>
                <w:color w:val="auto"/>
              </w:rPr>
              <w:t>48,035,351</w:t>
            </w:r>
          </w:p>
        </w:tc>
        <w:tc>
          <w:tcPr>
            <w:tcW w:w="1120" w:type="dxa"/>
            <w:vAlign w:val="bottom"/>
          </w:tcPr>
          <w:p>
            <w:pPr>
              <w:jc w:val="right"/>
              <w:ind w:right="138"/>
              <w:spacing w:after="0"/>
              <w:rPr>
                <w:sz w:val="20"/>
                <w:szCs w:val="20"/>
                <w:color w:val="auto"/>
              </w:rPr>
            </w:pPr>
            <w:r>
              <w:rPr>
                <w:rFonts w:ascii="Arial" w:cs="Arial" w:eastAsia="Arial" w:hAnsi="Arial"/>
                <w:sz w:val="12"/>
                <w:szCs w:val="12"/>
                <w:color w:val="auto"/>
              </w:rPr>
              <w:t>52,555,386</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52,426,146</w:t>
            </w:r>
          </w:p>
        </w:tc>
        <w:tc>
          <w:tcPr>
            <w:tcW w:w="1200" w:type="dxa"/>
            <w:vAlign w:val="bottom"/>
          </w:tcPr>
          <w:p>
            <w:pPr>
              <w:jc w:val="right"/>
              <w:ind w:right="298"/>
              <w:spacing w:after="0"/>
              <w:rPr>
                <w:sz w:val="20"/>
                <w:szCs w:val="20"/>
                <w:color w:val="auto"/>
              </w:rPr>
            </w:pPr>
            <w:r>
              <w:rPr>
                <w:rFonts w:ascii="Arial" w:cs="Arial" w:eastAsia="Arial" w:hAnsi="Arial"/>
                <w:sz w:val="12"/>
                <w:szCs w:val="12"/>
                <w:color w:val="auto"/>
              </w:rPr>
              <w:t>-0.2%</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9.1%</w:t>
            </w:r>
          </w:p>
        </w:tc>
      </w:tr>
      <w:tr>
        <w:trPr>
          <w:trHeight w:val="144"/>
        </w:trPr>
        <w:tc>
          <w:tcPr>
            <w:tcW w:w="5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Cash collateral, reverse repurchase agreements and securities borrowing</w:t>
            </w:r>
          </w:p>
        </w:tc>
        <w:tc>
          <w:tcPr>
            <w:tcW w:w="1280" w:type="dxa"/>
            <w:vAlign w:val="bottom"/>
          </w:tcPr>
          <w:p>
            <w:pPr>
              <w:jc w:val="right"/>
              <w:ind w:right="138"/>
              <w:spacing w:after="0"/>
              <w:rPr>
                <w:sz w:val="20"/>
                <w:szCs w:val="20"/>
                <w:color w:val="auto"/>
              </w:rPr>
            </w:pPr>
            <w:r>
              <w:rPr>
                <w:rFonts w:ascii="Arial" w:cs="Arial" w:eastAsia="Arial" w:hAnsi="Arial"/>
                <w:sz w:val="12"/>
                <w:szCs w:val="12"/>
                <w:color w:val="auto"/>
              </w:rPr>
              <w:t>1,863,243</w:t>
            </w:r>
          </w:p>
        </w:tc>
        <w:tc>
          <w:tcPr>
            <w:tcW w:w="1120" w:type="dxa"/>
            <w:vAlign w:val="bottom"/>
          </w:tcPr>
          <w:p>
            <w:pPr>
              <w:jc w:val="right"/>
              <w:ind w:right="138"/>
              <w:spacing w:after="0"/>
              <w:rPr>
                <w:sz w:val="20"/>
                <w:szCs w:val="20"/>
                <w:color w:val="auto"/>
              </w:rPr>
            </w:pPr>
            <w:r>
              <w:rPr>
                <w:rFonts w:ascii="Arial" w:cs="Arial" w:eastAsia="Arial" w:hAnsi="Arial"/>
                <w:sz w:val="12"/>
                <w:szCs w:val="12"/>
                <w:color w:val="auto"/>
              </w:rPr>
              <w:t>1,526,232</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1,777,491</w:t>
            </w:r>
          </w:p>
        </w:tc>
        <w:tc>
          <w:tcPr>
            <w:tcW w:w="1200" w:type="dxa"/>
            <w:vAlign w:val="bottom"/>
          </w:tcPr>
          <w:p>
            <w:pPr>
              <w:jc w:val="right"/>
              <w:ind w:right="298"/>
              <w:spacing w:after="0"/>
              <w:rPr>
                <w:sz w:val="20"/>
                <w:szCs w:val="20"/>
                <w:color w:val="auto"/>
              </w:rPr>
            </w:pPr>
            <w:r>
              <w:rPr>
                <w:rFonts w:ascii="Arial" w:cs="Arial" w:eastAsia="Arial" w:hAnsi="Arial"/>
                <w:sz w:val="12"/>
                <w:szCs w:val="12"/>
                <w:color w:val="auto"/>
              </w:rPr>
              <w:t>16.5%</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-4.6%</w:t>
            </w:r>
          </w:p>
        </w:tc>
      </w:tr>
      <w:tr>
        <w:trPr>
          <w:trHeight w:val="155"/>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2"/>
                <w:szCs w:val="12"/>
                <w:color w:val="auto"/>
              </w:rPr>
              <w:t>Total loans</w:t>
            </w:r>
          </w:p>
        </w:tc>
        <w:tc>
          <w:tcPr>
            <w:tcW w:w="128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142,845,549</w:t>
            </w:r>
          </w:p>
        </w:tc>
        <w:tc>
          <w:tcPr>
            <w:tcW w:w="112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140,798,083</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146,946,546</w:t>
            </w:r>
          </w:p>
        </w:tc>
        <w:tc>
          <w:tcPr>
            <w:tcW w:w="120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4.4%</w:t>
            </w: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2.9%</w:t>
            </w:r>
          </w:p>
        </w:tc>
      </w:tr>
      <w:tr>
        <w:trPr>
          <w:trHeight w:val="134"/>
        </w:trPr>
        <w:tc>
          <w:tcPr>
            <w:tcW w:w="5200" w:type="dxa"/>
            <w:vAlign w:val="bottom"/>
            <w:tcBorders>
              <w:left w:val="single" w:sz="8" w:color="auto"/>
              <w:bottom w:val="single" w:sz="8" w:color="auto"/>
              <w:right w:val="single" w:sz="8" w:color="auto"/>
            </w:tcBorders>
          </w:tcPr>
          <w:p>
            <w:pPr>
              <w:ind w:left="40"/>
              <w:spacing w:after="0" w:line="134" w:lineRule="exact"/>
              <w:rPr>
                <w:sz w:val="20"/>
                <w:szCs w:val="20"/>
                <w:color w:val="auto"/>
              </w:rPr>
            </w:pPr>
            <w:r>
              <w:rPr>
                <w:rFonts w:ascii="Arial" w:cs="Arial" w:eastAsia="Arial" w:hAnsi="Arial"/>
                <w:sz w:val="12"/>
                <w:szCs w:val="12"/>
                <w:b w:val="1"/>
                <w:bCs w:val="1"/>
                <w:color w:val="auto"/>
              </w:rPr>
              <w:t>Total interest earning assets</w:t>
            </w:r>
          </w:p>
        </w:tc>
        <w:tc>
          <w:tcPr>
            <w:tcW w:w="1280" w:type="dxa"/>
            <w:vAlign w:val="bottom"/>
            <w:tcBorders>
              <w:bottom w:val="single" w:sz="8" w:color="auto"/>
            </w:tcBorders>
          </w:tcPr>
          <w:p>
            <w:pPr>
              <w:jc w:val="right"/>
              <w:ind w:right="138"/>
              <w:spacing w:after="0" w:line="134" w:lineRule="exact"/>
              <w:rPr>
                <w:sz w:val="20"/>
                <w:szCs w:val="20"/>
                <w:color w:val="auto"/>
              </w:rPr>
            </w:pPr>
            <w:r>
              <w:rPr>
                <w:rFonts w:ascii="Arial" w:cs="Arial" w:eastAsia="Arial" w:hAnsi="Arial"/>
                <w:sz w:val="12"/>
                <w:szCs w:val="12"/>
                <w:b w:val="1"/>
                <w:bCs w:val="1"/>
                <w:color w:val="auto"/>
              </w:rPr>
              <w:t>218,781,037</w:t>
            </w:r>
          </w:p>
        </w:tc>
        <w:tc>
          <w:tcPr>
            <w:tcW w:w="1120" w:type="dxa"/>
            <w:vAlign w:val="bottom"/>
            <w:tcBorders>
              <w:bottom w:val="single" w:sz="8" w:color="auto"/>
            </w:tcBorders>
          </w:tcPr>
          <w:p>
            <w:pPr>
              <w:jc w:val="right"/>
              <w:ind w:right="138"/>
              <w:spacing w:after="0" w:line="134" w:lineRule="exact"/>
              <w:rPr>
                <w:sz w:val="20"/>
                <w:szCs w:val="20"/>
                <w:color w:val="auto"/>
              </w:rPr>
            </w:pPr>
            <w:r>
              <w:rPr>
                <w:rFonts w:ascii="Arial" w:cs="Arial" w:eastAsia="Arial" w:hAnsi="Arial"/>
                <w:sz w:val="12"/>
                <w:szCs w:val="12"/>
                <w:b w:val="1"/>
                <w:bCs w:val="1"/>
                <w:color w:val="auto"/>
              </w:rPr>
              <w:t>226,014,273</w:t>
            </w:r>
          </w:p>
        </w:tc>
        <w:tc>
          <w:tcPr>
            <w:tcW w:w="980" w:type="dxa"/>
            <w:vAlign w:val="bottom"/>
            <w:tcBorders>
              <w:bottom w:val="single" w:sz="8" w:color="auto"/>
              <w:right w:val="single" w:sz="8" w:color="auto"/>
            </w:tcBorders>
          </w:tcPr>
          <w:p>
            <w:pPr>
              <w:jc w:val="right"/>
              <w:spacing w:after="0" w:line="134" w:lineRule="exact"/>
              <w:rPr>
                <w:sz w:val="20"/>
                <w:szCs w:val="20"/>
                <w:color w:val="auto"/>
              </w:rPr>
            </w:pPr>
            <w:r>
              <w:rPr>
                <w:rFonts w:ascii="Arial" w:cs="Arial" w:eastAsia="Arial" w:hAnsi="Arial"/>
                <w:sz w:val="12"/>
                <w:szCs w:val="12"/>
                <w:b w:val="1"/>
                <w:bCs w:val="1"/>
                <w:color w:val="auto"/>
              </w:rPr>
              <w:t>228,308,084</w:t>
            </w:r>
          </w:p>
        </w:tc>
        <w:tc>
          <w:tcPr>
            <w:tcW w:w="1200" w:type="dxa"/>
            <w:vAlign w:val="bottom"/>
            <w:tcBorders>
              <w:bottom w:val="single" w:sz="8" w:color="auto"/>
            </w:tcBorders>
          </w:tcPr>
          <w:p>
            <w:pPr>
              <w:jc w:val="right"/>
              <w:ind w:right="298"/>
              <w:spacing w:after="0" w:line="134" w:lineRule="exact"/>
              <w:rPr>
                <w:sz w:val="20"/>
                <w:szCs w:val="20"/>
                <w:color w:val="auto"/>
              </w:rPr>
            </w:pPr>
            <w:r>
              <w:rPr>
                <w:rFonts w:ascii="Arial" w:cs="Arial" w:eastAsia="Arial" w:hAnsi="Arial"/>
                <w:sz w:val="12"/>
                <w:szCs w:val="12"/>
                <w:b w:val="1"/>
                <w:bCs w:val="1"/>
                <w:color w:val="auto"/>
              </w:rPr>
              <w:t>1.0%</w:t>
            </w:r>
          </w:p>
        </w:tc>
        <w:tc>
          <w:tcPr>
            <w:tcW w:w="600" w:type="dxa"/>
            <w:vAlign w:val="bottom"/>
            <w:tcBorders>
              <w:bottom w:val="single" w:sz="8" w:color="auto"/>
              <w:right w:val="single" w:sz="8" w:color="auto"/>
            </w:tcBorders>
          </w:tcPr>
          <w:p>
            <w:pPr>
              <w:jc w:val="right"/>
              <w:spacing w:after="0" w:line="134" w:lineRule="exact"/>
              <w:rPr>
                <w:sz w:val="20"/>
                <w:szCs w:val="20"/>
                <w:color w:val="auto"/>
              </w:rPr>
            </w:pPr>
            <w:r>
              <w:rPr>
                <w:rFonts w:ascii="Arial" w:cs="Arial" w:eastAsia="Arial" w:hAnsi="Arial"/>
                <w:sz w:val="12"/>
                <w:szCs w:val="12"/>
                <w:b w:val="1"/>
                <w:bCs w:val="1"/>
                <w:color w:val="auto"/>
              </w:rPr>
              <w:t>4.4%</w:t>
            </w:r>
          </w:p>
        </w:tc>
      </w:tr>
    </w:tbl>
    <w:p>
      <w:pPr>
        <w:spacing w:after="0" w:line="142" w:lineRule="exact"/>
        <w:rPr>
          <w:sz w:val="20"/>
          <w:szCs w:val="20"/>
          <w:color w:val="auto"/>
        </w:rPr>
      </w:pPr>
    </w:p>
    <w:p>
      <w:pPr>
        <w:jc w:val="both"/>
        <w:ind w:left="460" w:right="440"/>
        <w:spacing w:after="0" w:line="244" w:lineRule="auto"/>
        <w:rPr>
          <w:sz w:val="20"/>
          <w:szCs w:val="20"/>
          <w:color w:val="auto"/>
        </w:rPr>
      </w:pPr>
      <w:r>
        <w:rPr>
          <w:rFonts w:ascii="Arial" w:cs="Arial" w:eastAsia="Arial" w:hAnsi="Arial"/>
          <w:sz w:val="14"/>
          <w:szCs w:val="14"/>
          <w:color w:val="auto"/>
        </w:rPr>
        <w:t>QoQ, IEA increased 1.0%, driven primarily by loan growth, which was partially offset by a drop in the balance for available funds. The uptick registered in loans was fueled by a recovery in corporate loans, which was primarily concentrated in short-term operations. The balance for available funds, in turn, dropped this quarter, which reflects an uptick in liquidity needs to cover Credicorp’s dividend payments.</w:t>
      </w:r>
    </w:p>
    <w:p>
      <w:pPr>
        <w:spacing w:after="0" w:line="126" w:lineRule="exact"/>
        <w:rPr>
          <w:sz w:val="20"/>
          <w:szCs w:val="20"/>
          <w:color w:val="auto"/>
        </w:rPr>
      </w:pPr>
    </w:p>
    <w:p>
      <w:pPr>
        <w:jc w:val="both"/>
        <w:ind w:left="460" w:right="440"/>
        <w:spacing w:after="0" w:line="237" w:lineRule="auto"/>
        <w:rPr>
          <w:sz w:val="20"/>
          <w:szCs w:val="20"/>
          <w:color w:val="auto"/>
        </w:rPr>
      </w:pPr>
      <w:r>
        <w:rPr>
          <w:rFonts w:ascii="Arial" w:cs="Arial" w:eastAsia="Arial" w:hAnsi="Arial"/>
          <w:sz w:val="14"/>
          <w:szCs w:val="14"/>
          <w:color w:val="auto"/>
        </w:rPr>
        <w:t>YoY, IEAs rose 4.4%, driven primarily by growth in investments and secondarily, by an increase in the loan balance. The investment balance rose on the back of a strategy to increase asset duration by assuming a larger position in sovereign bonds. It is important to note that in 2Q24, BCP swapped its sovereign bonds for longer-duration instruments offered under a new MEF issuance. Additionally, some BCRP Certificate of Deposits (CDs) with less attractive rates were not renewed, which increased the duration of the portfolio given that CDs have relatively short tenures. Over the year, loans rose on the back of Middle Market loan issuances for the fishing campaign in 2Q24.</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3.2. Funding</w:t>
      </w:r>
      <w:r>
        <w:rPr>
          <w:rFonts w:ascii="Arial" w:cs="Arial" w:eastAsia="Arial" w:hAnsi="Arial"/>
          <w:sz w:val="22"/>
          <w:szCs w:val="2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48260</wp:posOffset>
            </wp:positionV>
            <wp:extent cx="6590030" cy="7575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590030" cy="757555"/>
                    </a:xfrm>
                    <a:prstGeom prst="rect">
                      <a:avLst/>
                    </a:prstGeom>
                    <a:noFill/>
                  </pic:spPr>
                </pic:pic>
              </a:graphicData>
            </a:graphic>
          </wp:anchor>
        </w:drawing>
      </w:r>
    </w:p>
    <w:p>
      <w:pPr>
        <w:spacing w:after="0" w:line="58"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5180" w:type="dxa"/>
            <w:vAlign w:val="bottom"/>
            <w:shd w:val="clear" w:color="auto" w:fill="2AD2C9"/>
          </w:tcPr>
          <w:p>
            <w:pPr>
              <w:ind w:left="40"/>
              <w:spacing w:after="0"/>
              <w:rPr>
                <w:sz w:val="20"/>
                <w:szCs w:val="20"/>
                <w:color w:val="auto"/>
              </w:rPr>
            </w:pPr>
            <w:r>
              <w:rPr>
                <w:rFonts w:ascii="Arial" w:cs="Arial" w:eastAsia="Arial" w:hAnsi="Arial"/>
                <w:sz w:val="12"/>
                <w:szCs w:val="12"/>
                <w:b w:val="1"/>
                <w:bCs w:val="1"/>
                <w:color w:val="FFFFFF"/>
              </w:rPr>
              <w:t>Funding</w:t>
            </w:r>
          </w:p>
        </w:tc>
        <w:tc>
          <w:tcPr>
            <w:tcW w:w="1300" w:type="dxa"/>
            <w:vAlign w:val="bottom"/>
            <w:shd w:val="clear" w:color="auto" w:fill="2AD2C9"/>
          </w:tcPr>
          <w:p>
            <w:pPr>
              <w:spacing w:after="0"/>
              <w:rPr>
                <w:sz w:val="13"/>
                <w:szCs w:val="13"/>
                <w:color w:val="auto"/>
              </w:rPr>
            </w:pPr>
          </w:p>
        </w:tc>
        <w:tc>
          <w:tcPr>
            <w:tcW w:w="1120" w:type="dxa"/>
            <w:vAlign w:val="bottom"/>
            <w:shd w:val="clear" w:color="auto" w:fill="2AD2C9"/>
          </w:tcPr>
          <w:p>
            <w:pPr>
              <w:jc w:val="right"/>
              <w:ind w:right="518"/>
              <w:spacing w:after="0"/>
              <w:rPr>
                <w:sz w:val="20"/>
                <w:szCs w:val="20"/>
                <w:color w:val="auto"/>
              </w:rPr>
            </w:pPr>
            <w:r>
              <w:rPr>
                <w:rFonts w:ascii="Arial" w:cs="Arial" w:eastAsia="Arial" w:hAnsi="Arial"/>
                <w:sz w:val="12"/>
                <w:szCs w:val="12"/>
                <w:b w:val="1"/>
                <w:bCs w:val="1"/>
                <w:color w:val="FFFFFF"/>
              </w:rPr>
              <w:t>As of</w:t>
            </w:r>
          </w:p>
        </w:tc>
        <w:tc>
          <w:tcPr>
            <w:tcW w:w="1100" w:type="dxa"/>
            <w:vAlign w:val="bottom"/>
            <w:shd w:val="clear" w:color="auto" w:fill="2AD2C9"/>
          </w:tcPr>
          <w:p>
            <w:pPr>
              <w:spacing w:after="0"/>
              <w:rPr>
                <w:sz w:val="13"/>
                <w:szCs w:val="13"/>
                <w:color w:val="auto"/>
              </w:rPr>
            </w:pPr>
          </w:p>
        </w:tc>
        <w:tc>
          <w:tcPr>
            <w:tcW w:w="1080" w:type="dxa"/>
            <w:vAlign w:val="bottom"/>
            <w:shd w:val="clear" w:color="auto" w:fill="2AD2C9"/>
          </w:tcPr>
          <w:p>
            <w:pPr>
              <w:jc w:val="right"/>
              <w:spacing w:after="0"/>
              <w:rPr>
                <w:sz w:val="20"/>
                <w:szCs w:val="20"/>
                <w:color w:val="auto"/>
              </w:rPr>
            </w:pPr>
            <w:r>
              <w:rPr>
                <w:rFonts w:ascii="Arial" w:cs="Arial" w:eastAsia="Arial" w:hAnsi="Arial"/>
                <w:sz w:val="12"/>
                <w:szCs w:val="12"/>
                <w:b w:val="1"/>
                <w:bCs w:val="1"/>
                <w:color w:val="FFFFFF"/>
              </w:rPr>
              <w:t>% change</w:t>
            </w:r>
          </w:p>
        </w:tc>
        <w:tc>
          <w:tcPr>
            <w:tcW w:w="580" w:type="dxa"/>
            <w:vAlign w:val="bottom"/>
            <w:shd w:val="clear" w:color="auto" w:fill="2AD2C9"/>
          </w:tcPr>
          <w:p>
            <w:pPr>
              <w:spacing w:after="0"/>
              <w:rPr>
                <w:sz w:val="13"/>
                <w:szCs w:val="13"/>
                <w:color w:val="auto"/>
              </w:rPr>
            </w:pPr>
          </w:p>
        </w:tc>
        <w:tc>
          <w:tcPr>
            <w:tcW w:w="20" w:type="dxa"/>
            <w:vAlign w:val="bottom"/>
          </w:tcPr>
          <w:p>
            <w:pPr>
              <w:spacing w:after="0"/>
              <w:rPr>
                <w:sz w:val="13"/>
                <w:szCs w:val="13"/>
                <w:color w:val="auto"/>
              </w:rPr>
            </w:pPr>
          </w:p>
        </w:tc>
      </w:tr>
      <w:tr>
        <w:trPr>
          <w:trHeight w:val="144"/>
        </w:trPr>
        <w:tc>
          <w:tcPr>
            <w:tcW w:w="5180" w:type="dxa"/>
            <w:vAlign w:val="bottom"/>
            <w:tcBorders>
              <w:bottom w:val="single" w:sz="8" w:color="auto"/>
            </w:tcBorders>
            <w:shd w:val="clear" w:color="auto" w:fill="2AD2C9"/>
          </w:tcPr>
          <w:p>
            <w:pPr>
              <w:ind w:left="40"/>
              <w:spacing w:after="0"/>
              <w:rPr>
                <w:sz w:val="20"/>
                <w:szCs w:val="20"/>
                <w:color w:val="auto"/>
              </w:rPr>
            </w:pPr>
            <w:r>
              <w:rPr>
                <w:rFonts w:ascii="Arial" w:cs="Arial" w:eastAsia="Arial" w:hAnsi="Arial"/>
                <w:sz w:val="12"/>
                <w:szCs w:val="12"/>
                <w:b w:val="1"/>
                <w:bCs w:val="1"/>
                <w:color w:val="FFFFFF"/>
              </w:rPr>
              <w:t>S/000</w:t>
            </w:r>
          </w:p>
        </w:tc>
        <w:tc>
          <w:tcPr>
            <w:tcW w:w="1300" w:type="dxa"/>
            <w:vAlign w:val="bottom"/>
            <w:tcBorders>
              <w:bottom w:val="single" w:sz="8" w:color="auto"/>
            </w:tcBorders>
            <w:shd w:val="clear" w:color="auto" w:fill="2AD2C9"/>
          </w:tcPr>
          <w:p>
            <w:pPr>
              <w:jc w:val="right"/>
              <w:ind w:right="478"/>
              <w:spacing w:after="0"/>
              <w:rPr>
                <w:sz w:val="20"/>
                <w:szCs w:val="20"/>
                <w:color w:val="auto"/>
              </w:rPr>
            </w:pPr>
            <w:r>
              <w:rPr>
                <w:rFonts w:ascii="Arial" w:cs="Arial" w:eastAsia="Arial" w:hAnsi="Arial"/>
                <w:sz w:val="12"/>
                <w:szCs w:val="12"/>
                <w:b w:val="1"/>
                <w:bCs w:val="1"/>
                <w:color w:val="FFFFFF"/>
              </w:rPr>
              <w:t>Jun 23</w:t>
            </w:r>
          </w:p>
        </w:tc>
        <w:tc>
          <w:tcPr>
            <w:tcW w:w="1120" w:type="dxa"/>
            <w:vAlign w:val="bottom"/>
            <w:tcBorders>
              <w:bottom w:val="single" w:sz="8" w:color="auto"/>
            </w:tcBorders>
            <w:shd w:val="clear" w:color="auto" w:fill="2AD2C9"/>
          </w:tcPr>
          <w:p>
            <w:pPr>
              <w:jc w:val="right"/>
              <w:ind w:right="478"/>
              <w:spacing w:after="0"/>
              <w:rPr>
                <w:sz w:val="20"/>
                <w:szCs w:val="20"/>
                <w:color w:val="auto"/>
              </w:rPr>
            </w:pPr>
            <w:r>
              <w:rPr>
                <w:rFonts w:ascii="Arial" w:cs="Arial" w:eastAsia="Arial" w:hAnsi="Arial"/>
                <w:sz w:val="12"/>
                <w:szCs w:val="12"/>
                <w:b w:val="1"/>
                <w:bCs w:val="1"/>
                <w:color w:val="FFFFFF"/>
              </w:rPr>
              <w:t>Mar 24</w:t>
            </w:r>
          </w:p>
        </w:tc>
        <w:tc>
          <w:tcPr>
            <w:tcW w:w="1100" w:type="dxa"/>
            <w:vAlign w:val="bottom"/>
            <w:tcBorders>
              <w:bottom w:val="single" w:sz="8" w:color="auto"/>
            </w:tcBorders>
            <w:shd w:val="clear" w:color="auto" w:fill="2AD2C9"/>
          </w:tcPr>
          <w:p>
            <w:pPr>
              <w:jc w:val="right"/>
              <w:ind w:right="458"/>
              <w:spacing w:after="0"/>
              <w:rPr>
                <w:sz w:val="20"/>
                <w:szCs w:val="20"/>
                <w:color w:val="auto"/>
              </w:rPr>
            </w:pPr>
            <w:r>
              <w:rPr>
                <w:rFonts w:ascii="Arial" w:cs="Arial" w:eastAsia="Arial" w:hAnsi="Arial"/>
                <w:sz w:val="12"/>
                <w:szCs w:val="12"/>
                <w:b w:val="1"/>
                <w:bCs w:val="1"/>
                <w:color w:val="FFFFFF"/>
              </w:rPr>
              <w:t>Jun 24</w:t>
            </w:r>
          </w:p>
        </w:tc>
        <w:tc>
          <w:tcPr>
            <w:tcW w:w="1080" w:type="dxa"/>
            <w:vAlign w:val="bottom"/>
            <w:tcBorders>
              <w:bottom w:val="single" w:sz="8" w:color="auto"/>
            </w:tcBorders>
            <w:shd w:val="clear" w:color="auto" w:fill="2AD2C9"/>
          </w:tcPr>
          <w:p>
            <w:pPr>
              <w:jc w:val="right"/>
              <w:ind w:right="578"/>
              <w:spacing w:after="0"/>
              <w:rPr>
                <w:sz w:val="20"/>
                <w:szCs w:val="20"/>
                <w:color w:val="auto"/>
              </w:rPr>
            </w:pPr>
            <w:r>
              <w:rPr>
                <w:rFonts w:ascii="Arial" w:cs="Arial" w:eastAsia="Arial" w:hAnsi="Arial"/>
                <w:sz w:val="12"/>
                <w:szCs w:val="12"/>
                <w:b w:val="1"/>
                <w:bCs w:val="1"/>
                <w:color w:val="FFFFFF"/>
              </w:rPr>
              <w:t>QoQ</w:t>
            </w:r>
          </w:p>
        </w:tc>
        <w:tc>
          <w:tcPr>
            <w:tcW w:w="580" w:type="dxa"/>
            <w:vAlign w:val="bottom"/>
            <w:tcBorders>
              <w:bottom w:val="single" w:sz="8" w:color="auto"/>
            </w:tcBorders>
            <w:shd w:val="clear" w:color="auto" w:fill="2AD2C9"/>
          </w:tcPr>
          <w:p>
            <w:pPr>
              <w:jc w:val="right"/>
              <w:ind w:right="278"/>
              <w:spacing w:after="0"/>
              <w:rPr>
                <w:sz w:val="20"/>
                <w:szCs w:val="20"/>
                <w:color w:val="auto"/>
              </w:rPr>
            </w:pPr>
            <w:r>
              <w:rPr>
                <w:rFonts w:ascii="Arial" w:cs="Arial" w:eastAsia="Arial" w:hAnsi="Arial"/>
                <w:sz w:val="12"/>
                <w:szCs w:val="12"/>
                <w:b w:val="1"/>
                <w:bCs w:val="1"/>
                <w:color w:val="FFFFFF"/>
                <w:w w:val="94"/>
              </w:rPr>
              <w:t>YoY</w:t>
            </w:r>
          </w:p>
        </w:tc>
        <w:tc>
          <w:tcPr>
            <w:tcW w:w="20" w:type="dxa"/>
            <w:vAlign w:val="bottom"/>
            <w:tcBorders>
              <w:bottom w:val="single" w:sz="8" w:color="auto"/>
            </w:tcBorders>
          </w:tcPr>
          <w:p>
            <w:pPr>
              <w:spacing w:after="0"/>
              <w:rPr>
                <w:sz w:val="12"/>
                <w:szCs w:val="12"/>
                <w:color w:val="auto"/>
              </w:rPr>
            </w:pPr>
          </w:p>
        </w:tc>
      </w:tr>
      <w:tr>
        <w:trPr>
          <w:trHeight w:val="124"/>
        </w:trPr>
        <w:tc>
          <w:tcPr>
            <w:tcW w:w="5180" w:type="dxa"/>
            <w:vAlign w:val="bottom"/>
          </w:tcPr>
          <w:p>
            <w:pPr>
              <w:ind w:left="40"/>
              <w:spacing w:after="0" w:line="124" w:lineRule="exact"/>
              <w:rPr>
                <w:sz w:val="20"/>
                <w:szCs w:val="20"/>
                <w:color w:val="auto"/>
              </w:rPr>
            </w:pPr>
            <w:r>
              <w:rPr>
                <w:rFonts w:ascii="Arial" w:cs="Arial" w:eastAsia="Arial" w:hAnsi="Arial"/>
                <w:sz w:val="12"/>
                <w:szCs w:val="12"/>
                <w:color w:val="auto"/>
              </w:rPr>
              <w:t>Deposits and obligations</w:t>
            </w:r>
          </w:p>
        </w:tc>
        <w:tc>
          <w:tcPr>
            <w:tcW w:w="1300" w:type="dxa"/>
            <w:vAlign w:val="bottom"/>
          </w:tcPr>
          <w:p>
            <w:pPr>
              <w:jc w:val="right"/>
              <w:ind w:right="138"/>
              <w:spacing w:after="0" w:line="124" w:lineRule="exact"/>
              <w:rPr>
                <w:sz w:val="20"/>
                <w:szCs w:val="20"/>
                <w:color w:val="auto"/>
              </w:rPr>
            </w:pPr>
            <w:r>
              <w:rPr>
                <w:rFonts w:ascii="Arial" w:cs="Arial" w:eastAsia="Arial" w:hAnsi="Arial"/>
                <w:sz w:val="12"/>
                <w:szCs w:val="12"/>
                <w:color w:val="auto"/>
              </w:rPr>
              <w:t>143,387,717</w:t>
            </w:r>
          </w:p>
        </w:tc>
        <w:tc>
          <w:tcPr>
            <w:tcW w:w="1120" w:type="dxa"/>
            <w:vAlign w:val="bottom"/>
          </w:tcPr>
          <w:p>
            <w:pPr>
              <w:jc w:val="right"/>
              <w:ind w:right="138"/>
              <w:spacing w:after="0" w:line="124" w:lineRule="exact"/>
              <w:rPr>
                <w:sz w:val="20"/>
                <w:szCs w:val="20"/>
                <w:color w:val="auto"/>
              </w:rPr>
            </w:pPr>
            <w:r>
              <w:rPr>
                <w:rFonts w:ascii="Arial" w:cs="Arial" w:eastAsia="Arial" w:hAnsi="Arial"/>
                <w:sz w:val="12"/>
                <w:szCs w:val="12"/>
                <w:color w:val="auto"/>
              </w:rPr>
              <w:t>147,857,127</w:t>
            </w:r>
          </w:p>
        </w:tc>
        <w:tc>
          <w:tcPr>
            <w:tcW w:w="1100" w:type="dxa"/>
            <w:vAlign w:val="bottom"/>
          </w:tcPr>
          <w:p>
            <w:pPr>
              <w:jc w:val="right"/>
              <w:ind w:right="118"/>
              <w:spacing w:after="0" w:line="124" w:lineRule="exact"/>
              <w:rPr>
                <w:sz w:val="20"/>
                <w:szCs w:val="20"/>
                <w:color w:val="auto"/>
              </w:rPr>
            </w:pPr>
            <w:r>
              <w:rPr>
                <w:rFonts w:ascii="Arial" w:cs="Arial" w:eastAsia="Arial" w:hAnsi="Arial"/>
                <w:sz w:val="12"/>
                <w:szCs w:val="12"/>
                <w:color w:val="auto"/>
              </w:rPr>
              <w:t>151,971,984</w:t>
            </w:r>
          </w:p>
        </w:tc>
        <w:tc>
          <w:tcPr>
            <w:tcW w:w="1080" w:type="dxa"/>
            <w:vAlign w:val="bottom"/>
          </w:tcPr>
          <w:p>
            <w:pPr>
              <w:jc w:val="right"/>
              <w:ind w:right="298"/>
              <w:spacing w:after="0" w:line="124" w:lineRule="exact"/>
              <w:rPr>
                <w:sz w:val="20"/>
                <w:szCs w:val="20"/>
                <w:color w:val="auto"/>
              </w:rPr>
            </w:pPr>
            <w:r>
              <w:rPr>
                <w:rFonts w:ascii="Arial" w:cs="Arial" w:eastAsia="Arial" w:hAnsi="Arial"/>
                <w:sz w:val="12"/>
                <w:szCs w:val="12"/>
                <w:color w:val="auto"/>
              </w:rPr>
              <w:t>2.8%</w:t>
            </w:r>
          </w:p>
        </w:tc>
        <w:tc>
          <w:tcPr>
            <w:tcW w:w="580" w:type="dxa"/>
            <w:vAlign w:val="bottom"/>
          </w:tcPr>
          <w:p>
            <w:pPr>
              <w:jc w:val="right"/>
              <w:spacing w:after="0" w:line="124" w:lineRule="exact"/>
              <w:rPr>
                <w:sz w:val="20"/>
                <w:szCs w:val="20"/>
                <w:color w:val="auto"/>
              </w:rPr>
            </w:pPr>
            <w:r>
              <w:rPr>
                <w:rFonts w:ascii="Arial" w:cs="Arial" w:eastAsia="Arial" w:hAnsi="Arial"/>
                <w:sz w:val="12"/>
                <w:szCs w:val="12"/>
                <w:color w:val="auto"/>
              </w:rPr>
              <w:t>6.0%</w:t>
            </w:r>
          </w:p>
        </w:tc>
        <w:tc>
          <w:tcPr>
            <w:tcW w:w="20" w:type="dxa"/>
            <w:vAlign w:val="bottom"/>
          </w:tcPr>
          <w:p>
            <w:pPr>
              <w:spacing w:after="0"/>
              <w:rPr>
                <w:sz w:val="10"/>
                <w:szCs w:val="10"/>
                <w:color w:val="auto"/>
              </w:rPr>
            </w:pPr>
          </w:p>
        </w:tc>
      </w:tr>
      <w:tr>
        <w:trPr>
          <w:trHeight w:val="144"/>
        </w:trPr>
        <w:tc>
          <w:tcPr>
            <w:tcW w:w="5180" w:type="dxa"/>
            <w:vAlign w:val="bottom"/>
          </w:tcPr>
          <w:p>
            <w:pPr>
              <w:ind w:left="40"/>
              <w:spacing w:after="0"/>
              <w:rPr>
                <w:sz w:val="20"/>
                <w:szCs w:val="20"/>
                <w:color w:val="auto"/>
              </w:rPr>
            </w:pPr>
            <w:r>
              <w:rPr>
                <w:rFonts w:ascii="Arial" w:cs="Arial" w:eastAsia="Arial" w:hAnsi="Arial"/>
                <w:sz w:val="12"/>
                <w:szCs w:val="12"/>
                <w:color w:val="auto"/>
              </w:rPr>
              <w:t>Due to banks and correspondents</w:t>
            </w:r>
          </w:p>
        </w:tc>
        <w:tc>
          <w:tcPr>
            <w:tcW w:w="1300" w:type="dxa"/>
            <w:vAlign w:val="bottom"/>
          </w:tcPr>
          <w:p>
            <w:pPr>
              <w:jc w:val="right"/>
              <w:ind w:right="138"/>
              <w:spacing w:after="0"/>
              <w:rPr>
                <w:sz w:val="20"/>
                <w:szCs w:val="20"/>
                <w:color w:val="auto"/>
              </w:rPr>
            </w:pPr>
            <w:r>
              <w:rPr>
                <w:rFonts w:ascii="Arial" w:cs="Arial" w:eastAsia="Arial" w:hAnsi="Arial"/>
                <w:sz w:val="12"/>
                <w:szCs w:val="12"/>
                <w:color w:val="auto"/>
              </w:rPr>
              <w:t>10,062,290</w:t>
            </w:r>
          </w:p>
        </w:tc>
        <w:tc>
          <w:tcPr>
            <w:tcW w:w="1120" w:type="dxa"/>
            <w:vAlign w:val="bottom"/>
          </w:tcPr>
          <w:p>
            <w:pPr>
              <w:jc w:val="right"/>
              <w:ind w:right="138"/>
              <w:spacing w:after="0"/>
              <w:rPr>
                <w:sz w:val="20"/>
                <w:szCs w:val="20"/>
                <w:color w:val="auto"/>
              </w:rPr>
            </w:pPr>
            <w:r>
              <w:rPr>
                <w:rFonts w:ascii="Arial" w:cs="Arial" w:eastAsia="Arial" w:hAnsi="Arial"/>
                <w:sz w:val="12"/>
                <w:szCs w:val="12"/>
                <w:color w:val="auto"/>
              </w:rPr>
              <w:t>10,684,673</w:t>
            </w:r>
          </w:p>
        </w:tc>
        <w:tc>
          <w:tcPr>
            <w:tcW w:w="1100" w:type="dxa"/>
            <w:vAlign w:val="bottom"/>
          </w:tcPr>
          <w:p>
            <w:pPr>
              <w:jc w:val="right"/>
              <w:ind w:right="118"/>
              <w:spacing w:after="0"/>
              <w:rPr>
                <w:sz w:val="20"/>
                <w:szCs w:val="20"/>
                <w:color w:val="auto"/>
              </w:rPr>
            </w:pPr>
            <w:r>
              <w:rPr>
                <w:rFonts w:ascii="Arial" w:cs="Arial" w:eastAsia="Arial" w:hAnsi="Arial"/>
                <w:sz w:val="12"/>
                <w:szCs w:val="12"/>
                <w:color w:val="auto"/>
              </w:rPr>
              <w:t>12,620,346</w:t>
            </w:r>
          </w:p>
        </w:tc>
        <w:tc>
          <w:tcPr>
            <w:tcW w:w="1080" w:type="dxa"/>
            <w:vAlign w:val="bottom"/>
          </w:tcPr>
          <w:p>
            <w:pPr>
              <w:jc w:val="right"/>
              <w:ind w:right="298"/>
              <w:spacing w:after="0"/>
              <w:rPr>
                <w:sz w:val="20"/>
                <w:szCs w:val="20"/>
                <w:color w:val="auto"/>
              </w:rPr>
            </w:pPr>
            <w:r>
              <w:rPr>
                <w:rFonts w:ascii="Arial" w:cs="Arial" w:eastAsia="Arial" w:hAnsi="Arial"/>
                <w:sz w:val="12"/>
                <w:szCs w:val="12"/>
                <w:color w:val="auto"/>
              </w:rPr>
              <w:t>18.1%</w:t>
            </w:r>
          </w:p>
        </w:tc>
        <w:tc>
          <w:tcPr>
            <w:tcW w:w="580" w:type="dxa"/>
            <w:vAlign w:val="bottom"/>
          </w:tcPr>
          <w:p>
            <w:pPr>
              <w:jc w:val="right"/>
              <w:spacing w:after="0"/>
              <w:rPr>
                <w:sz w:val="20"/>
                <w:szCs w:val="20"/>
                <w:color w:val="auto"/>
              </w:rPr>
            </w:pPr>
            <w:r>
              <w:rPr>
                <w:rFonts w:ascii="Arial" w:cs="Arial" w:eastAsia="Arial" w:hAnsi="Arial"/>
                <w:sz w:val="12"/>
                <w:szCs w:val="12"/>
                <w:color w:val="auto"/>
              </w:rPr>
              <w:t>25.4%</w:t>
            </w:r>
          </w:p>
        </w:tc>
        <w:tc>
          <w:tcPr>
            <w:tcW w:w="20" w:type="dxa"/>
            <w:vAlign w:val="bottom"/>
          </w:tcPr>
          <w:p>
            <w:pPr>
              <w:spacing w:after="0"/>
              <w:rPr>
                <w:sz w:val="12"/>
                <w:szCs w:val="12"/>
                <w:color w:val="auto"/>
              </w:rPr>
            </w:pPr>
          </w:p>
        </w:tc>
      </w:tr>
      <w:tr>
        <w:trPr>
          <w:trHeight w:val="144"/>
        </w:trPr>
        <w:tc>
          <w:tcPr>
            <w:tcW w:w="5180" w:type="dxa"/>
            <w:vAlign w:val="bottom"/>
          </w:tcPr>
          <w:p>
            <w:pPr>
              <w:ind w:left="40"/>
              <w:spacing w:after="0"/>
              <w:rPr>
                <w:sz w:val="20"/>
                <w:szCs w:val="20"/>
                <w:color w:val="auto"/>
              </w:rPr>
            </w:pPr>
            <w:r>
              <w:rPr>
                <w:rFonts w:ascii="Arial" w:cs="Arial" w:eastAsia="Arial" w:hAnsi="Arial"/>
                <w:sz w:val="12"/>
                <w:szCs w:val="12"/>
                <w:color w:val="auto"/>
              </w:rPr>
              <w:t>BCRP instruments</w:t>
            </w:r>
          </w:p>
        </w:tc>
        <w:tc>
          <w:tcPr>
            <w:tcW w:w="1300" w:type="dxa"/>
            <w:vAlign w:val="bottom"/>
          </w:tcPr>
          <w:p>
            <w:pPr>
              <w:jc w:val="right"/>
              <w:ind w:right="138"/>
              <w:spacing w:after="0"/>
              <w:rPr>
                <w:sz w:val="20"/>
                <w:szCs w:val="20"/>
                <w:color w:val="auto"/>
              </w:rPr>
            </w:pPr>
            <w:r>
              <w:rPr>
                <w:rFonts w:ascii="Arial" w:cs="Arial" w:eastAsia="Arial" w:hAnsi="Arial"/>
                <w:sz w:val="12"/>
                <w:szCs w:val="12"/>
                <w:color w:val="auto"/>
              </w:rPr>
              <w:t>11,772,772</w:t>
            </w:r>
          </w:p>
        </w:tc>
        <w:tc>
          <w:tcPr>
            <w:tcW w:w="1120" w:type="dxa"/>
            <w:vAlign w:val="bottom"/>
          </w:tcPr>
          <w:p>
            <w:pPr>
              <w:jc w:val="right"/>
              <w:ind w:right="138"/>
              <w:spacing w:after="0"/>
              <w:rPr>
                <w:sz w:val="20"/>
                <w:szCs w:val="20"/>
                <w:color w:val="auto"/>
              </w:rPr>
            </w:pPr>
            <w:r>
              <w:rPr>
                <w:rFonts w:ascii="Arial" w:cs="Arial" w:eastAsia="Arial" w:hAnsi="Arial"/>
                <w:sz w:val="12"/>
                <w:szCs w:val="12"/>
                <w:color w:val="auto"/>
              </w:rPr>
              <w:t>6,854,368</w:t>
            </w:r>
          </w:p>
        </w:tc>
        <w:tc>
          <w:tcPr>
            <w:tcW w:w="1100" w:type="dxa"/>
            <w:vAlign w:val="bottom"/>
          </w:tcPr>
          <w:p>
            <w:pPr>
              <w:jc w:val="right"/>
              <w:ind w:right="118"/>
              <w:spacing w:after="0"/>
              <w:rPr>
                <w:sz w:val="20"/>
                <w:szCs w:val="20"/>
                <w:color w:val="auto"/>
              </w:rPr>
            </w:pPr>
            <w:r>
              <w:rPr>
                <w:rFonts w:ascii="Arial" w:cs="Arial" w:eastAsia="Arial" w:hAnsi="Arial"/>
                <w:sz w:val="12"/>
                <w:szCs w:val="12"/>
                <w:color w:val="auto"/>
              </w:rPr>
              <w:t>5,542,892</w:t>
            </w:r>
          </w:p>
        </w:tc>
        <w:tc>
          <w:tcPr>
            <w:tcW w:w="1080" w:type="dxa"/>
            <w:vAlign w:val="bottom"/>
          </w:tcPr>
          <w:p>
            <w:pPr>
              <w:jc w:val="right"/>
              <w:ind w:right="298"/>
              <w:spacing w:after="0"/>
              <w:rPr>
                <w:sz w:val="20"/>
                <w:szCs w:val="20"/>
                <w:color w:val="auto"/>
              </w:rPr>
            </w:pPr>
            <w:r>
              <w:rPr>
                <w:rFonts w:ascii="Arial" w:cs="Arial" w:eastAsia="Arial" w:hAnsi="Arial"/>
                <w:sz w:val="12"/>
                <w:szCs w:val="12"/>
                <w:color w:val="auto"/>
              </w:rPr>
              <w:t>-19.1%</w:t>
            </w:r>
          </w:p>
        </w:tc>
        <w:tc>
          <w:tcPr>
            <w:tcW w:w="580" w:type="dxa"/>
            <w:vAlign w:val="bottom"/>
          </w:tcPr>
          <w:p>
            <w:pPr>
              <w:jc w:val="right"/>
              <w:spacing w:after="0"/>
              <w:rPr>
                <w:sz w:val="20"/>
                <w:szCs w:val="20"/>
                <w:color w:val="auto"/>
              </w:rPr>
            </w:pPr>
            <w:r>
              <w:rPr>
                <w:rFonts w:ascii="Arial" w:cs="Arial" w:eastAsia="Arial" w:hAnsi="Arial"/>
                <w:sz w:val="12"/>
                <w:szCs w:val="12"/>
                <w:color w:val="auto"/>
              </w:rPr>
              <w:t>-52.9%</w:t>
            </w:r>
          </w:p>
        </w:tc>
        <w:tc>
          <w:tcPr>
            <w:tcW w:w="20" w:type="dxa"/>
            <w:vAlign w:val="bottom"/>
          </w:tcPr>
          <w:p>
            <w:pPr>
              <w:spacing w:after="0"/>
              <w:rPr>
                <w:sz w:val="12"/>
                <w:szCs w:val="12"/>
                <w:color w:val="auto"/>
              </w:rPr>
            </w:pPr>
          </w:p>
        </w:tc>
      </w:tr>
      <w:tr>
        <w:trPr>
          <w:trHeight w:val="144"/>
        </w:trPr>
        <w:tc>
          <w:tcPr>
            <w:tcW w:w="5180" w:type="dxa"/>
            <w:vAlign w:val="bottom"/>
          </w:tcPr>
          <w:p>
            <w:pPr>
              <w:ind w:left="40"/>
              <w:spacing w:after="0"/>
              <w:rPr>
                <w:sz w:val="20"/>
                <w:szCs w:val="20"/>
                <w:color w:val="auto"/>
              </w:rPr>
            </w:pPr>
            <w:r>
              <w:rPr>
                <w:rFonts w:ascii="Arial" w:cs="Arial" w:eastAsia="Arial" w:hAnsi="Arial"/>
                <w:sz w:val="12"/>
                <w:szCs w:val="12"/>
                <w:color w:val="auto"/>
              </w:rPr>
              <w:t>Repurchase agreements with clients and third parties</w:t>
            </w:r>
          </w:p>
        </w:tc>
        <w:tc>
          <w:tcPr>
            <w:tcW w:w="1300" w:type="dxa"/>
            <w:vAlign w:val="bottom"/>
          </w:tcPr>
          <w:p>
            <w:pPr>
              <w:jc w:val="right"/>
              <w:ind w:right="138"/>
              <w:spacing w:after="0"/>
              <w:rPr>
                <w:sz w:val="20"/>
                <w:szCs w:val="20"/>
                <w:color w:val="auto"/>
              </w:rPr>
            </w:pPr>
            <w:r>
              <w:rPr>
                <w:rFonts w:ascii="Arial" w:cs="Arial" w:eastAsia="Arial" w:hAnsi="Arial"/>
                <w:sz w:val="12"/>
                <w:szCs w:val="12"/>
                <w:color w:val="auto"/>
              </w:rPr>
              <w:t>2,534,108</w:t>
            </w:r>
          </w:p>
        </w:tc>
        <w:tc>
          <w:tcPr>
            <w:tcW w:w="1120" w:type="dxa"/>
            <w:vAlign w:val="bottom"/>
          </w:tcPr>
          <w:p>
            <w:pPr>
              <w:jc w:val="right"/>
              <w:ind w:right="138"/>
              <w:spacing w:after="0"/>
              <w:rPr>
                <w:sz w:val="20"/>
                <w:szCs w:val="20"/>
                <w:color w:val="auto"/>
              </w:rPr>
            </w:pPr>
            <w:r>
              <w:rPr>
                <w:rFonts w:ascii="Arial" w:cs="Arial" w:eastAsia="Arial" w:hAnsi="Arial"/>
                <w:sz w:val="12"/>
                <w:szCs w:val="12"/>
                <w:color w:val="auto"/>
              </w:rPr>
              <w:t>2,636,908</w:t>
            </w:r>
          </w:p>
        </w:tc>
        <w:tc>
          <w:tcPr>
            <w:tcW w:w="1100" w:type="dxa"/>
            <w:vAlign w:val="bottom"/>
          </w:tcPr>
          <w:p>
            <w:pPr>
              <w:jc w:val="right"/>
              <w:ind w:right="118"/>
              <w:spacing w:after="0"/>
              <w:rPr>
                <w:sz w:val="20"/>
                <w:szCs w:val="20"/>
                <w:color w:val="auto"/>
              </w:rPr>
            </w:pPr>
            <w:r>
              <w:rPr>
                <w:rFonts w:ascii="Arial" w:cs="Arial" w:eastAsia="Arial" w:hAnsi="Arial"/>
                <w:sz w:val="12"/>
                <w:szCs w:val="12"/>
                <w:color w:val="auto"/>
              </w:rPr>
              <w:t>2,146,797</w:t>
            </w:r>
          </w:p>
        </w:tc>
        <w:tc>
          <w:tcPr>
            <w:tcW w:w="1080" w:type="dxa"/>
            <w:vAlign w:val="bottom"/>
          </w:tcPr>
          <w:p>
            <w:pPr>
              <w:jc w:val="right"/>
              <w:ind w:right="298"/>
              <w:spacing w:after="0"/>
              <w:rPr>
                <w:sz w:val="20"/>
                <w:szCs w:val="20"/>
                <w:color w:val="auto"/>
              </w:rPr>
            </w:pPr>
            <w:r>
              <w:rPr>
                <w:rFonts w:ascii="Arial" w:cs="Arial" w:eastAsia="Arial" w:hAnsi="Arial"/>
                <w:sz w:val="12"/>
                <w:szCs w:val="12"/>
                <w:color w:val="auto"/>
              </w:rPr>
              <w:t>-18.6%</w:t>
            </w:r>
          </w:p>
        </w:tc>
        <w:tc>
          <w:tcPr>
            <w:tcW w:w="580" w:type="dxa"/>
            <w:vAlign w:val="bottom"/>
          </w:tcPr>
          <w:p>
            <w:pPr>
              <w:jc w:val="right"/>
              <w:spacing w:after="0"/>
              <w:rPr>
                <w:sz w:val="20"/>
                <w:szCs w:val="20"/>
                <w:color w:val="auto"/>
              </w:rPr>
            </w:pPr>
            <w:r>
              <w:rPr>
                <w:rFonts w:ascii="Arial" w:cs="Arial" w:eastAsia="Arial" w:hAnsi="Arial"/>
                <w:sz w:val="12"/>
                <w:szCs w:val="12"/>
                <w:color w:val="auto"/>
              </w:rPr>
              <w:t>-15.3%</w:t>
            </w:r>
          </w:p>
        </w:tc>
        <w:tc>
          <w:tcPr>
            <w:tcW w:w="20" w:type="dxa"/>
            <w:vAlign w:val="bottom"/>
          </w:tcPr>
          <w:p>
            <w:pPr>
              <w:spacing w:after="0"/>
              <w:rPr>
                <w:sz w:val="12"/>
                <w:szCs w:val="12"/>
                <w:color w:val="auto"/>
              </w:rPr>
            </w:pPr>
          </w:p>
        </w:tc>
      </w:tr>
      <w:tr>
        <w:trPr>
          <w:trHeight w:val="155"/>
        </w:trPr>
        <w:tc>
          <w:tcPr>
            <w:tcW w:w="518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Bonds and notes issued</w:t>
            </w:r>
          </w:p>
        </w:tc>
        <w:tc>
          <w:tcPr>
            <w:tcW w:w="130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14,235,697</w:t>
            </w:r>
          </w:p>
        </w:tc>
        <w:tc>
          <w:tcPr>
            <w:tcW w:w="112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17,541,121</w:t>
            </w:r>
          </w:p>
        </w:tc>
        <w:tc>
          <w:tcPr>
            <w:tcW w:w="110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17,953,508</w:t>
            </w:r>
          </w:p>
        </w:tc>
        <w:tc>
          <w:tcPr>
            <w:tcW w:w="108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2.4%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26.1%</w:t>
            </w:r>
          </w:p>
        </w:tc>
        <w:tc>
          <w:tcPr>
            <w:tcW w:w="20" w:type="dxa"/>
            <w:vAlign w:val="bottom"/>
            <w:tcBorders>
              <w:bottom w:val="single" w:sz="8" w:color="auto"/>
            </w:tcBorders>
          </w:tcPr>
          <w:p>
            <w:pPr>
              <w:spacing w:after="0"/>
              <w:rPr>
                <w:sz w:val="13"/>
                <w:szCs w:val="13"/>
                <w:color w:val="auto"/>
              </w:rPr>
            </w:pPr>
          </w:p>
        </w:tc>
      </w:tr>
      <w:tr>
        <w:trPr>
          <w:trHeight w:val="140"/>
        </w:trPr>
        <w:tc>
          <w:tcPr>
            <w:tcW w:w="5180" w:type="dxa"/>
            <w:vAlign w:val="bottom"/>
          </w:tcPr>
          <w:p>
            <w:pPr>
              <w:ind w:left="40"/>
              <w:spacing w:after="0"/>
              <w:rPr>
                <w:sz w:val="20"/>
                <w:szCs w:val="20"/>
                <w:color w:val="auto"/>
              </w:rPr>
            </w:pPr>
            <w:r>
              <w:rPr>
                <w:rFonts w:ascii="Arial" w:cs="Arial" w:eastAsia="Arial" w:hAnsi="Arial"/>
                <w:sz w:val="12"/>
                <w:szCs w:val="12"/>
                <w:b w:val="1"/>
                <w:bCs w:val="1"/>
                <w:color w:val="auto"/>
              </w:rPr>
              <w:t>Total funding</w:t>
            </w:r>
          </w:p>
        </w:tc>
        <w:tc>
          <w:tcPr>
            <w:tcW w:w="1300" w:type="dxa"/>
            <w:vAlign w:val="bottom"/>
          </w:tcPr>
          <w:p>
            <w:pPr>
              <w:jc w:val="right"/>
              <w:ind w:right="138"/>
              <w:spacing w:after="0"/>
              <w:rPr>
                <w:sz w:val="20"/>
                <w:szCs w:val="20"/>
                <w:color w:val="auto"/>
              </w:rPr>
            </w:pPr>
            <w:r>
              <w:rPr>
                <w:rFonts w:ascii="Arial" w:cs="Arial" w:eastAsia="Arial" w:hAnsi="Arial"/>
                <w:sz w:val="12"/>
                <w:szCs w:val="12"/>
                <w:b w:val="1"/>
                <w:bCs w:val="1"/>
                <w:color w:val="auto"/>
              </w:rPr>
              <w:t>181,992,584</w:t>
            </w:r>
          </w:p>
        </w:tc>
        <w:tc>
          <w:tcPr>
            <w:tcW w:w="1120" w:type="dxa"/>
            <w:vAlign w:val="bottom"/>
          </w:tcPr>
          <w:p>
            <w:pPr>
              <w:jc w:val="right"/>
              <w:ind w:right="138"/>
              <w:spacing w:after="0"/>
              <w:rPr>
                <w:sz w:val="20"/>
                <w:szCs w:val="20"/>
                <w:color w:val="auto"/>
              </w:rPr>
            </w:pPr>
            <w:r>
              <w:rPr>
                <w:rFonts w:ascii="Arial" w:cs="Arial" w:eastAsia="Arial" w:hAnsi="Arial"/>
                <w:sz w:val="12"/>
                <w:szCs w:val="12"/>
                <w:b w:val="1"/>
                <w:bCs w:val="1"/>
                <w:color w:val="auto"/>
              </w:rPr>
              <w:t>185,574,197</w:t>
            </w:r>
          </w:p>
        </w:tc>
        <w:tc>
          <w:tcPr>
            <w:tcW w:w="1100" w:type="dxa"/>
            <w:vAlign w:val="bottom"/>
          </w:tcPr>
          <w:p>
            <w:pPr>
              <w:jc w:val="right"/>
              <w:ind w:right="118"/>
              <w:spacing w:after="0"/>
              <w:rPr>
                <w:sz w:val="20"/>
                <w:szCs w:val="20"/>
                <w:color w:val="auto"/>
              </w:rPr>
            </w:pPr>
            <w:r>
              <w:rPr>
                <w:rFonts w:ascii="Arial" w:cs="Arial" w:eastAsia="Arial" w:hAnsi="Arial"/>
                <w:sz w:val="12"/>
                <w:szCs w:val="12"/>
                <w:b w:val="1"/>
                <w:bCs w:val="1"/>
                <w:color w:val="auto"/>
              </w:rPr>
              <w:t>190,235,527</w:t>
            </w:r>
          </w:p>
        </w:tc>
        <w:tc>
          <w:tcPr>
            <w:tcW w:w="1080" w:type="dxa"/>
            <w:vAlign w:val="bottom"/>
          </w:tcPr>
          <w:p>
            <w:pPr>
              <w:jc w:val="right"/>
              <w:ind w:right="298"/>
              <w:spacing w:after="0"/>
              <w:rPr>
                <w:sz w:val="20"/>
                <w:szCs w:val="20"/>
                <w:color w:val="auto"/>
              </w:rPr>
            </w:pPr>
            <w:r>
              <w:rPr>
                <w:rFonts w:ascii="Arial" w:cs="Arial" w:eastAsia="Arial" w:hAnsi="Arial"/>
                <w:sz w:val="12"/>
                <w:szCs w:val="12"/>
                <w:b w:val="1"/>
                <w:bCs w:val="1"/>
                <w:color w:val="auto"/>
              </w:rPr>
              <w:t>2.5%</w:t>
            </w: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rPr>
              <w:t>4.5%</w:t>
            </w:r>
          </w:p>
        </w:tc>
        <w:tc>
          <w:tcPr>
            <w:tcW w:w="20" w:type="dxa"/>
            <w:vAlign w:val="bottom"/>
          </w:tcPr>
          <w:p>
            <w:pPr>
              <w:spacing w:after="0"/>
              <w:rPr>
                <w:sz w:val="12"/>
                <w:szCs w:val="12"/>
                <w:color w:val="auto"/>
              </w:rPr>
            </w:pPr>
          </w:p>
        </w:tc>
      </w:tr>
    </w:tbl>
    <w:p>
      <w:pPr>
        <w:ind w:left="460"/>
        <w:spacing w:after="0"/>
        <w:rPr>
          <w:sz w:val="20"/>
          <w:szCs w:val="20"/>
          <w:color w:val="auto"/>
        </w:rPr>
      </w:pPr>
      <w:r>
        <w:rPr>
          <w:rFonts w:ascii="Arial" w:cs="Arial" w:eastAsia="Arial" w:hAnsi="Arial"/>
          <w:sz w:val="10"/>
          <w:szCs w:val="10"/>
          <w:color w:val="auto"/>
        </w:rPr>
        <w:t>(1) Effective 1Q23, Funding includes Repurchase agreements with clients.</w:t>
      </w:r>
    </w:p>
    <w:p>
      <w:pPr>
        <w:spacing w:after="0" w:line="134" w:lineRule="exact"/>
        <w:rPr>
          <w:sz w:val="20"/>
          <w:szCs w:val="20"/>
          <w:color w:val="auto"/>
        </w:rPr>
      </w:pPr>
    </w:p>
    <w:p>
      <w:pPr>
        <w:jc w:val="both"/>
        <w:ind w:left="460" w:right="440"/>
        <w:spacing w:after="0" w:line="239" w:lineRule="auto"/>
        <w:rPr>
          <w:sz w:val="20"/>
          <w:szCs w:val="20"/>
          <w:color w:val="auto"/>
        </w:rPr>
      </w:pPr>
      <w:r>
        <w:rPr>
          <w:rFonts w:ascii="Arial" w:cs="Arial" w:eastAsia="Arial" w:hAnsi="Arial"/>
          <w:sz w:val="14"/>
          <w:szCs w:val="14"/>
          <w:color w:val="auto"/>
        </w:rPr>
        <w:t>QoQ, funding grew 2.5% due primarily to an uptick in the deposit balance and secondarily, to an increase in Due to banks and correspondents. Deposits rose, bolstered by inflows from AFP withdrawals in 2Q24. Over the quarter, debt through Due to banks and correspondent rose to leverage opportunities for synthetic funding at attractive rates. Growth this quarter was partially offset by a drop in BCRP Instruments, which reflected the fact that no repo auctions were held this quarter because liquidity in the banking system had risen substantially due to inflows from AFP withdrawals.</w:t>
      </w:r>
    </w:p>
    <w:p>
      <w:pPr>
        <w:spacing w:after="0" w:line="130" w:lineRule="exact"/>
        <w:rPr>
          <w:sz w:val="20"/>
          <w:szCs w:val="20"/>
          <w:color w:val="auto"/>
        </w:rPr>
      </w:pPr>
    </w:p>
    <w:p>
      <w:pPr>
        <w:jc w:val="both"/>
        <w:ind w:left="460" w:right="440"/>
        <w:spacing w:after="0" w:line="239" w:lineRule="auto"/>
        <w:rPr>
          <w:sz w:val="20"/>
          <w:szCs w:val="20"/>
          <w:color w:val="auto"/>
        </w:rPr>
      </w:pPr>
      <w:r>
        <w:rPr>
          <w:rFonts w:ascii="Arial" w:cs="Arial" w:eastAsia="Arial" w:hAnsi="Arial"/>
          <w:sz w:val="14"/>
          <w:szCs w:val="14"/>
          <w:color w:val="auto"/>
        </w:rPr>
        <w:t>YoY, funding increased 4.5%, due primarily to growth in deposits which was driven by the same dynamics as those seen QoQ. To a lesser extent, growth in the funding balance also reflected a significant increase in the bond balance after BCP’s issuance in January, followed by a move to take on debt via Due to banks and correspondents. These dynamics were offset by a pronounced drop in BCRP instruments, which was triggered by repo expirations. It is worth noting that funding increased only 1.7% AaA in FX-neutral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619760</wp:posOffset>
            </wp:positionV>
            <wp:extent cx="7164705" cy="133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90805</wp:posOffset>
            </wp:positionV>
            <wp:extent cx="1502410" cy="44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254000</wp:posOffset>
            </wp:positionV>
            <wp:extent cx="1685290" cy="2806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85290" cy="28067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26" w:name="page27"/>
    <w:bookmarkEnd w:id="26"/>
    <w:p>
      <w:pPr>
        <w:ind w:left="2720"/>
        <w:spacing w:after="0"/>
        <w:tabs>
          <w:tab w:leader="none" w:pos="2920" w:val="left"/>
          <w:tab w:leader="none" w:pos="7880"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3397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705" cy="339725"/>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40"/>
          <w:szCs w:val="40"/>
          <w:b w:val="1"/>
          <w:bCs w:val="1"/>
          <w:color w:val="E93BAC"/>
        </w:rPr>
        <w:t xml:space="preserve">04 </w:t>
      </w:r>
      <w:r>
        <w:rPr>
          <w:rFonts w:ascii="Arial" w:cs="Arial" w:eastAsia="Arial" w:hAnsi="Arial"/>
          <w:sz w:val="24"/>
          <w:szCs w:val="24"/>
          <w:color w:val="E93BAB"/>
        </w:rPr>
        <w:t>Net Interest Income (NII)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118745</wp:posOffset>
            </wp:positionV>
            <wp:extent cx="6597015" cy="11823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97015" cy="1182370"/>
                    </a:xfrm>
                    <a:prstGeom prst="rect">
                      <a:avLst/>
                    </a:prstGeom>
                    <a:noFill/>
                  </pic:spPr>
                </pic:pic>
              </a:graphicData>
            </a:graphic>
          </wp:anchor>
        </w:drawing>
      </w:r>
    </w:p>
    <w:p>
      <w:pPr>
        <w:spacing w:after="0" w:line="236" w:lineRule="exact"/>
        <w:rPr>
          <w:sz w:val="20"/>
          <w:szCs w:val="20"/>
          <w:color w:val="auto"/>
        </w:rPr>
      </w:pPr>
    </w:p>
    <w:p>
      <w:pPr>
        <w:jc w:val="both"/>
        <w:ind w:left="560" w:right="560"/>
        <w:spacing w:after="0" w:line="244" w:lineRule="auto"/>
        <w:rPr>
          <w:sz w:val="20"/>
          <w:szCs w:val="20"/>
          <w:color w:val="auto"/>
        </w:rPr>
      </w:pPr>
      <w:r>
        <w:rPr>
          <w:rFonts w:ascii="Arial" w:cs="Arial" w:eastAsia="Arial" w:hAnsi="Arial"/>
          <w:sz w:val="14"/>
          <w:szCs w:val="14"/>
          <w:color w:val="FFFFFF"/>
        </w:rPr>
        <w:t>In 2Q24, Net Interest Income (NII) rose 1.2% QoQ. This evolution was driven mainly by a decrease in Interest and similar expenses in a context marked by high liquidity following AFP withdrawals, which, in turn, drove growth in low-cost deposits. An uptick in interest and similar income, which was spurred by loan growth, was a secondary contributor to NII growth.</w:t>
      </w:r>
    </w:p>
    <w:p>
      <w:pPr>
        <w:spacing w:after="0" w:line="126" w:lineRule="exact"/>
        <w:rPr>
          <w:sz w:val="20"/>
          <w:szCs w:val="20"/>
          <w:color w:val="auto"/>
        </w:rPr>
      </w:pPr>
    </w:p>
    <w:p>
      <w:pPr>
        <w:jc w:val="both"/>
        <w:ind w:left="560" w:right="540"/>
        <w:spacing w:after="0" w:line="244" w:lineRule="auto"/>
        <w:rPr>
          <w:sz w:val="20"/>
          <w:szCs w:val="20"/>
          <w:color w:val="auto"/>
        </w:rPr>
      </w:pPr>
      <w:r>
        <w:rPr>
          <w:rFonts w:ascii="Arial" w:cs="Arial" w:eastAsia="Arial" w:hAnsi="Arial"/>
          <w:sz w:val="14"/>
          <w:szCs w:val="14"/>
          <w:color w:val="FFFFFF"/>
        </w:rPr>
        <w:t>YoY, NII rose 8.2% driven by growth in interest and similar income due to higher interest income on loans. The main driver of the uptick in interest on loans was a loan book renewal in the SME-Pyme and SME Business segments, where rates reflect the current phase of the credit cycle. The uptick in NII year-over-year was also impacted, albeit to a lesser extent, by a positive volume effect via loan recovery in Wholesale Banking.</w:t>
      </w:r>
    </w:p>
    <w:p>
      <w:pPr>
        <w:spacing w:after="0" w:line="126" w:lineRule="exact"/>
        <w:rPr>
          <w:sz w:val="20"/>
          <w:szCs w:val="20"/>
          <w:color w:val="auto"/>
        </w:rPr>
      </w:pPr>
    </w:p>
    <w:p>
      <w:pPr>
        <w:jc w:val="both"/>
        <w:ind w:left="560" w:right="560"/>
        <w:spacing w:after="0" w:line="244" w:lineRule="auto"/>
        <w:rPr>
          <w:sz w:val="20"/>
          <w:szCs w:val="20"/>
          <w:color w:val="auto"/>
        </w:rPr>
      </w:pPr>
      <w:r>
        <w:rPr>
          <w:rFonts w:ascii="Arial" w:cs="Arial" w:eastAsia="Arial" w:hAnsi="Arial"/>
          <w:sz w:val="14"/>
          <w:szCs w:val="14"/>
          <w:color w:val="FFFFFF"/>
        </w:rPr>
        <w:t>NIM rose 3 bps QoQ and 31 bps YoY to 6.33%. These results reflect the resilience of IEA yields despite lower local rates and the positive impact of our competitive advantage in low-cost deposits, which reduced our funding cost. Risk-adjusted NIM fell 45 bps QoQ and 16 bps YoY. If we isolate the effect of a reversal of El Niño provisions in 1Q24, risk-adjusted NIM was stable QoQ.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251460</wp:posOffset>
            </wp:positionV>
            <wp:extent cx="287655"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7655" cy="137160"/>
                    </a:xfrm>
                    <a:prstGeom prst="rect">
                      <a:avLst/>
                    </a:prstGeom>
                    <a:noFill/>
                  </pic:spPr>
                </pic:pic>
              </a:graphicData>
            </a:graphic>
          </wp:anchor>
        </w:drawing>
        <w:drawing>
          <wp:anchor simplePos="0" relativeHeight="251657728" behindDoc="1" locked="0" layoutInCell="0" allowOverlap="1">
            <wp:simplePos x="0" y="0"/>
            <wp:positionH relativeFrom="column">
              <wp:posOffset>6885305</wp:posOffset>
            </wp:positionH>
            <wp:positionV relativeFrom="paragraph">
              <wp:posOffset>251460</wp:posOffset>
            </wp:positionV>
            <wp:extent cx="28067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0670" cy="137160"/>
                    </a:xfrm>
                    <a:prstGeom prst="rect">
                      <a:avLst/>
                    </a:prstGeom>
                    <a:noFill/>
                  </pic:spPr>
                </pic:pic>
              </a:graphicData>
            </a:graphic>
          </wp:anchor>
        </w:drawing>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99"/>
        </w:trPr>
        <w:tc>
          <w:tcPr>
            <w:tcW w:w="480" w:type="dxa"/>
            <w:vAlign w:val="bottom"/>
            <w:tcBorders>
              <w:top w:val="single" w:sz="8" w:color="2AD2C9"/>
              <w:right w:val="single" w:sz="8" w:color="auto"/>
            </w:tcBorders>
            <w:shd w:val="clear" w:color="auto" w:fill="2AD2C9"/>
          </w:tcPr>
          <w:p>
            <w:pPr>
              <w:spacing w:after="0"/>
              <w:rPr>
                <w:sz w:val="8"/>
                <w:szCs w:val="8"/>
                <w:color w:val="auto"/>
              </w:rPr>
            </w:pPr>
          </w:p>
        </w:tc>
        <w:tc>
          <w:tcPr>
            <w:tcW w:w="3840" w:type="dxa"/>
            <w:vAlign w:val="bottom"/>
            <w:tcBorders>
              <w:top w:val="single" w:sz="8" w:color="auto"/>
              <w:right w:val="single" w:sz="8" w:color="auto"/>
            </w:tcBorders>
            <w:shd w:val="clear" w:color="auto" w:fill="2AD2C9"/>
          </w:tcPr>
          <w:p>
            <w:pPr>
              <w:ind w:left="20"/>
              <w:spacing w:after="0" w:line="99" w:lineRule="exact"/>
              <w:rPr>
                <w:sz w:val="20"/>
                <w:szCs w:val="20"/>
                <w:color w:val="auto"/>
              </w:rPr>
            </w:pPr>
            <w:r>
              <w:rPr>
                <w:rFonts w:ascii="Arial" w:cs="Arial" w:eastAsia="Arial" w:hAnsi="Arial"/>
                <w:sz w:val="10"/>
                <w:szCs w:val="10"/>
                <w:b w:val="1"/>
                <w:bCs w:val="1"/>
                <w:color w:val="FFFFFF"/>
              </w:rPr>
              <w:t>Net interest income</w:t>
            </w:r>
          </w:p>
        </w:tc>
        <w:tc>
          <w:tcPr>
            <w:tcW w:w="860" w:type="dxa"/>
            <w:vAlign w:val="bottom"/>
            <w:tcBorders>
              <w:top w:val="single" w:sz="8" w:color="auto"/>
            </w:tcBorders>
            <w:shd w:val="clear" w:color="auto" w:fill="2AD2C9"/>
          </w:tcPr>
          <w:p>
            <w:pPr>
              <w:spacing w:after="0"/>
              <w:rPr>
                <w:sz w:val="8"/>
                <w:szCs w:val="8"/>
                <w:color w:val="auto"/>
              </w:rPr>
            </w:pPr>
          </w:p>
        </w:tc>
        <w:tc>
          <w:tcPr>
            <w:tcW w:w="800" w:type="dxa"/>
            <w:vAlign w:val="bottom"/>
            <w:tcBorders>
              <w:top w:val="single" w:sz="8" w:color="auto"/>
            </w:tcBorders>
            <w:shd w:val="clear" w:color="auto" w:fill="2AD2C9"/>
          </w:tcPr>
          <w:p>
            <w:pPr>
              <w:jc w:val="right"/>
              <w:ind w:right="273"/>
              <w:spacing w:after="0" w:line="99" w:lineRule="exact"/>
              <w:rPr>
                <w:sz w:val="20"/>
                <w:szCs w:val="20"/>
                <w:color w:val="auto"/>
              </w:rPr>
            </w:pPr>
            <w:r>
              <w:rPr>
                <w:rFonts w:ascii="Arial" w:cs="Arial" w:eastAsia="Arial" w:hAnsi="Arial"/>
                <w:sz w:val="10"/>
                <w:szCs w:val="10"/>
                <w:b w:val="1"/>
                <w:bCs w:val="1"/>
                <w:color w:val="FFFFFF"/>
              </w:rPr>
              <w:t>Quarter</w:t>
            </w:r>
          </w:p>
        </w:tc>
        <w:tc>
          <w:tcPr>
            <w:tcW w:w="700" w:type="dxa"/>
            <w:vAlign w:val="bottom"/>
            <w:tcBorders>
              <w:top w:val="single" w:sz="8" w:color="auto"/>
              <w:right w:val="single" w:sz="8" w:color="auto"/>
            </w:tcBorders>
            <w:shd w:val="clear" w:color="auto" w:fill="2AD2C9"/>
          </w:tcPr>
          <w:p>
            <w:pPr>
              <w:spacing w:after="0"/>
              <w:rPr>
                <w:sz w:val="8"/>
                <w:szCs w:val="8"/>
                <w:color w:val="auto"/>
              </w:rPr>
            </w:pPr>
          </w:p>
        </w:tc>
        <w:tc>
          <w:tcPr>
            <w:tcW w:w="560" w:type="dxa"/>
            <w:vAlign w:val="bottom"/>
            <w:tcBorders>
              <w:top w:val="single" w:sz="8" w:color="auto"/>
            </w:tcBorders>
            <w:shd w:val="clear" w:color="auto" w:fill="2AD2C9"/>
          </w:tcPr>
          <w:p>
            <w:pPr>
              <w:spacing w:after="0"/>
              <w:rPr>
                <w:sz w:val="8"/>
                <w:szCs w:val="8"/>
                <w:color w:val="auto"/>
              </w:rPr>
            </w:pPr>
          </w:p>
        </w:tc>
        <w:tc>
          <w:tcPr>
            <w:tcW w:w="1040" w:type="dxa"/>
            <w:vAlign w:val="bottom"/>
            <w:tcBorders>
              <w:top w:val="single" w:sz="8" w:color="auto"/>
              <w:right w:val="single" w:sz="8" w:color="auto"/>
            </w:tcBorders>
            <w:shd w:val="clear" w:color="auto" w:fill="2AD2C9"/>
          </w:tcPr>
          <w:p>
            <w:pPr>
              <w:spacing w:after="0" w:line="99" w:lineRule="exact"/>
              <w:rPr>
                <w:sz w:val="20"/>
                <w:szCs w:val="20"/>
                <w:color w:val="auto"/>
              </w:rPr>
            </w:pPr>
            <w:r>
              <w:rPr>
                <w:rFonts w:ascii="Arial" w:cs="Arial" w:eastAsia="Arial" w:hAnsi="Arial"/>
                <w:sz w:val="10"/>
                <w:szCs w:val="10"/>
                <w:b w:val="1"/>
                <w:bCs w:val="1"/>
                <w:color w:val="FFFFFF"/>
              </w:rPr>
              <w:t>% change</w:t>
            </w:r>
          </w:p>
        </w:tc>
        <w:tc>
          <w:tcPr>
            <w:tcW w:w="940" w:type="dxa"/>
            <w:vAlign w:val="bottom"/>
            <w:tcBorders>
              <w:top w:val="single" w:sz="8" w:color="auto"/>
            </w:tcBorders>
            <w:shd w:val="clear" w:color="auto" w:fill="2AD2C9"/>
          </w:tcPr>
          <w:p>
            <w:pPr>
              <w:jc w:val="right"/>
              <w:spacing w:after="0" w:line="99" w:lineRule="exact"/>
              <w:rPr>
                <w:sz w:val="20"/>
                <w:szCs w:val="20"/>
                <w:color w:val="auto"/>
              </w:rPr>
            </w:pPr>
            <w:r>
              <w:rPr>
                <w:rFonts w:ascii="Arial" w:cs="Arial" w:eastAsia="Arial" w:hAnsi="Arial"/>
                <w:sz w:val="10"/>
                <w:szCs w:val="10"/>
                <w:b w:val="1"/>
                <w:bCs w:val="1"/>
                <w:color w:val="FFFFFF"/>
              </w:rPr>
              <w:t>Up to</w:t>
            </w:r>
          </w:p>
        </w:tc>
        <w:tc>
          <w:tcPr>
            <w:tcW w:w="640" w:type="dxa"/>
            <w:vAlign w:val="bottom"/>
            <w:tcBorders>
              <w:top w:val="single" w:sz="8" w:color="auto"/>
              <w:right w:val="single" w:sz="8" w:color="auto"/>
            </w:tcBorders>
            <w:shd w:val="clear" w:color="auto" w:fill="2AD2C9"/>
          </w:tcPr>
          <w:p>
            <w:pPr>
              <w:spacing w:after="0"/>
              <w:rPr>
                <w:sz w:val="8"/>
                <w:szCs w:val="8"/>
                <w:color w:val="auto"/>
              </w:rPr>
            </w:pPr>
          </w:p>
        </w:tc>
        <w:tc>
          <w:tcPr>
            <w:tcW w:w="1000" w:type="dxa"/>
            <w:vAlign w:val="bottom"/>
            <w:tcBorders>
              <w:top w:val="single" w:sz="8" w:color="auto"/>
              <w:right w:val="single" w:sz="8" w:color="auto"/>
            </w:tcBorders>
            <w:shd w:val="clear" w:color="auto" w:fill="2AD2C9"/>
          </w:tcPr>
          <w:p>
            <w:pPr>
              <w:ind w:left="260"/>
              <w:spacing w:after="0" w:line="99" w:lineRule="exact"/>
              <w:rPr>
                <w:sz w:val="20"/>
                <w:szCs w:val="20"/>
                <w:color w:val="auto"/>
              </w:rPr>
            </w:pPr>
            <w:r>
              <w:rPr>
                <w:rFonts w:ascii="Arial" w:cs="Arial" w:eastAsia="Arial" w:hAnsi="Arial"/>
                <w:sz w:val="10"/>
                <w:szCs w:val="10"/>
                <w:b w:val="1"/>
                <w:bCs w:val="1"/>
                <w:color w:val="FFFFFF"/>
              </w:rPr>
              <w:t>% change</w:t>
            </w:r>
          </w:p>
        </w:tc>
        <w:tc>
          <w:tcPr>
            <w:tcW w:w="420" w:type="dxa"/>
            <w:vAlign w:val="bottom"/>
            <w:tcBorders>
              <w:top w:val="single" w:sz="8" w:color="2AD2C9"/>
            </w:tcBorders>
            <w:shd w:val="clear" w:color="auto" w:fill="2AD2C9"/>
          </w:tcPr>
          <w:p>
            <w:pPr>
              <w:spacing w:after="0"/>
              <w:rPr>
                <w:sz w:val="8"/>
                <w:szCs w:val="8"/>
                <w:color w:val="auto"/>
              </w:rPr>
            </w:pPr>
          </w:p>
        </w:tc>
      </w:tr>
      <w:tr>
        <w:trPr>
          <w:trHeight w:val="117"/>
        </w:trPr>
        <w:tc>
          <w:tcPr>
            <w:tcW w:w="480" w:type="dxa"/>
            <w:vAlign w:val="bottom"/>
            <w:tcBorders>
              <w:right w:val="single" w:sz="8" w:color="auto"/>
            </w:tcBorders>
            <w:shd w:val="clear" w:color="auto" w:fill="2AD2C9"/>
          </w:tcPr>
          <w:p>
            <w:pPr>
              <w:spacing w:after="0"/>
              <w:rPr>
                <w:sz w:val="10"/>
                <w:szCs w:val="10"/>
                <w:color w:val="auto"/>
              </w:rPr>
            </w:pPr>
          </w:p>
        </w:tc>
        <w:tc>
          <w:tcPr>
            <w:tcW w:w="3840" w:type="dxa"/>
            <w:vAlign w:val="bottom"/>
            <w:tcBorders>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0"/>
                <w:szCs w:val="10"/>
                <w:b w:val="1"/>
                <w:bCs w:val="1"/>
                <w:color w:val="FFFFFF"/>
              </w:rPr>
              <w:t>S/ 000</w:t>
            </w:r>
          </w:p>
        </w:tc>
        <w:tc>
          <w:tcPr>
            <w:tcW w:w="860" w:type="dxa"/>
            <w:vAlign w:val="bottom"/>
            <w:tcBorders>
              <w:bottom w:val="single" w:sz="8" w:color="auto"/>
            </w:tcBorders>
            <w:shd w:val="clear" w:color="auto" w:fill="2AD2C9"/>
          </w:tcPr>
          <w:p>
            <w:pPr>
              <w:jc w:val="center"/>
              <w:ind w:right="53"/>
              <w:spacing w:after="0"/>
              <w:rPr>
                <w:sz w:val="20"/>
                <w:szCs w:val="20"/>
                <w:color w:val="auto"/>
              </w:rPr>
            </w:pPr>
            <w:r>
              <w:rPr>
                <w:rFonts w:ascii="Arial" w:cs="Arial" w:eastAsia="Arial" w:hAnsi="Arial"/>
                <w:sz w:val="10"/>
                <w:szCs w:val="10"/>
                <w:b w:val="1"/>
                <w:bCs w:val="1"/>
                <w:color w:val="FFFFFF"/>
                <w:w w:val="97"/>
              </w:rPr>
              <w:t>2Q23</w:t>
            </w:r>
          </w:p>
        </w:tc>
        <w:tc>
          <w:tcPr>
            <w:tcW w:w="800" w:type="dxa"/>
            <w:vAlign w:val="bottom"/>
            <w:tcBorders>
              <w:bottom w:val="single" w:sz="8" w:color="auto"/>
            </w:tcBorders>
            <w:shd w:val="clear" w:color="auto" w:fill="2AD2C9"/>
          </w:tcPr>
          <w:p>
            <w:pPr>
              <w:jc w:val="center"/>
              <w:ind w:right="153"/>
              <w:spacing w:after="0"/>
              <w:rPr>
                <w:sz w:val="20"/>
                <w:szCs w:val="20"/>
                <w:color w:val="auto"/>
              </w:rPr>
            </w:pPr>
            <w:r>
              <w:rPr>
                <w:rFonts w:ascii="Arial" w:cs="Arial" w:eastAsia="Arial" w:hAnsi="Arial"/>
                <w:sz w:val="10"/>
                <w:szCs w:val="10"/>
                <w:b w:val="1"/>
                <w:bCs w:val="1"/>
                <w:color w:val="FFFFFF"/>
                <w:w w:val="97"/>
              </w:rPr>
              <w:t>1Q24</w:t>
            </w:r>
          </w:p>
        </w:tc>
        <w:tc>
          <w:tcPr>
            <w:tcW w:w="700" w:type="dxa"/>
            <w:vAlign w:val="bottom"/>
            <w:tcBorders>
              <w:bottom w:val="single" w:sz="8" w:color="auto"/>
              <w:right w:val="single" w:sz="8" w:color="auto"/>
            </w:tcBorders>
            <w:shd w:val="clear" w:color="auto" w:fill="2AD2C9"/>
          </w:tcPr>
          <w:p>
            <w:pPr>
              <w:jc w:val="center"/>
              <w:ind w:right="73"/>
              <w:spacing w:after="0"/>
              <w:rPr>
                <w:sz w:val="20"/>
                <w:szCs w:val="20"/>
                <w:color w:val="auto"/>
              </w:rPr>
            </w:pPr>
            <w:r>
              <w:rPr>
                <w:rFonts w:ascii="Arial" w:cs="Arial" w:eastAsia="Arial" w:hAnsi="Arial"/>
                <w:sz w:val="10"/>
                <w:szCs w:val="10"/>
                <w:b w:val="1"/>
                <w:bCs w:val="1"/>
                <w:color w:val="FFFFFF"/>
                <w:w w:val="89"/>
              </w:rPr>
              <w:t>2Q24</w:t>
            </w:r>
          </w:p>
        </w:tc>
        <w:tc>
          <w:tcPr>
            <w:tcW w:w="560" w:type="dxa"/>
            <w:vAlign w:val="bottom"/>
            <w:tcBorders>
              <w:bottom w:val="single" w:sz="8" w:color="auto"/>
            </w:tcBorders>
            <w:shd w:val="clear" w:color="auto" w:fill="2AD2C9"/>
          </w:tcPr>
          <w:p>
            <w:pPr>
              <w:ind w:left="280"/>
              <w:spacing w:after="0"/>
              <w:rPr>
                <w:sz w:val="20"/>
                <w:szCs w:val="20"/>
                <w:color w:val="auto"/>
              </w:rPr>
            </w:pPr>
            <w:r>
              <w:rPr>
                <w:rFonts w:ascii="Arial" w:cs="Arial" w:eastAsia="Arial" w:hAnsi="Arial"/>
                <w:sz w:val="10"/>
                <w:szCs w:val="10"/>
                <w:b w:val="1"/>
                <w:bCs w:val="1"/>
                <w:color w:val="FFFFFF"/>
              </w:rPr>
              <w:t>QoQ</w:t>
            </w:r>
          </w:p>
        </w:tc>
        <w:tc>
          <w:tcPr>
            <w:tcW w:w="1040" w:type="dxa"/>
            <w:vAlign w:val="bottom"/>
            <w:tcBorders>
              <w:bottom w:val="single" w:sz="8" w:color="auto"/>
              <w:right w:val="single" w:sz="8" w:color="auto"/>
            </w:tcBorders>
            <w:shd w:val="clear" w:color="auto" w:fill="2AD2C9"/>
          </w:tcPr>
          <w:p>
            <w:pPr>
              <w:ind w:left="520"/>
              <w:spacing w:after="0"/>
              <w:rPr>
                <w:sz w:val="20"/>
                <w:szCs w:val="20"/>
                <w:color w:val="auto"/>
              </w:rPr>
            </w:pPr>
            <w:r>
              <w:rPr>
                <w:rFonts w:ascii="Arial" w:cs="Arial" w:eastAsia="Arial" w:hAnsi="Arial"/>
                <w:sz w:val="10"/>
                <w:szCs w:val="10"/>
                <w:b w:val="1"/>
                <w:bCs w:val="1"/>
                <w:color w:val="FFFFFF"/>
              </w:rPr>
              <w:t>YoY</w:t>
            </w:r>
          </w:p>
        </w:tc>
        <w:tc>
          <w:tcPr>
            <w:tcW w:w="940" w:type="dxa"/>
            <w:vAlign w:val="bottom"/>
            <w:tcBorders>
              <w:bottom w:val="single" w:sz="8" w:color="auto"/>
            </w:tcBorders>
            <w:shd w:val="clear" w:color="auto" w:fill="2AD2C9"/>
          </w:tcPr>
          <w:p>
            <w:pPr>
              <w:jc w:val="center"/>
              <w:ind w:right="153"/>
              <w:spacing w:after="0"/>
              <w:rPr>
                <w:sz w:val="20"/>
                <w:szCs w:val="20"/>
                <w:color w:val="auto"/>
              </w:rPr>
            </w:pPr>
            <w:r>
              <w:rPr>
                <w:rFonts w:ascii="Arial" w:cs="Arial" w:eastAsia="Arial" w:hAnsi="Arial"/>
                <w:sz w:val="10"/>
                <w:szCs w:val="10"/>
                <w:b w:val="1"/>
                <w:bCs w:val="1"/>
                <w:color w:val="FFFFFF"/>
                <w:w w:val="91"/>
              </w:rPr>
              <w:t>1H23</w:t>
            </w:r>
          </w:p>
        </w:tc>
        <w:tc>
          <w:tcPr>
            <w:tcW w:w="640" w:type="dxa"/>
            <w:vAlign w:val="bottom"/>
            <w:tcBorders>
              <w:bottom w:val="single" w:sz="8" w:color="auto"/>
              <w:right w:val="single" w:sz="8" w:color="auto"/>
            </w:tcBorders>
            <w:shd w:val="clear" w:color="auto" w:fill="2AD2C9"/>
          </w:tcPr>
          <w:p>
            <w:pPr>
              <w:jc w:val="center"/>
              <w:ind w:right="153"/>
              <w:spacing w:after="0"/>
              <w:rPr>
                <w:sz w:val="20"/>
                <w:szCs w:val="20"/>
                <w:color w:val="auto"/>
              </w:rPr>
            </w:pPr>
            <w:r>
              <w:rPr>
                <w:rFonts w:ascii="Arial" w:cs="Arial" w:eastAsia="Arial" w:hAnsi="Arial"/>
                <w:sz w:val="10"/>
                <w:szCs w:val="10"/>
                <w:b w:val="1"/>
                <w:bCs w:val="1"/>
                <w:color w:val="FFFFFF"/>
              </w:rPr>
              <w:t>1H24</w:t>
            </w:r>
          </w:p>
        </w:tc>
        <w:tc>
          <w:tcPr>
            <w:tcW w:w="10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6"/>
              </w:rPr>
              <w:t>1H24 / 1H23</w:t>
            </w:r>
          </w:p>
        </w:tc>
        <w:tc>
          <w:tcPr>
            <w:tcW w:w="420" w:type="dxa"/>
            <w:vAlign w:val="bottom"/>
            <w:shd w:val="clear" w:color="auto" w:fill="2AD2C9"/>
          </w:tcPr>
          <w:p>
            <w:pPr>
              <w:spacing w:after="0"/>
              <w:rPr>
                <w:sz w:val="10"/>
                <w:szCs w:val="10"/>
                <w:color w:val="auto"/>
              </w:rPr>
            </w:pPr>
          </w:p>
        </w:tc>
      </w:tr>
      <w:tr>
        <w:trPr>
          <w:trHeight w:val="81"/>
        </w:trPr>
        <w:tc>
          <w:tcPr>
            <w:tcW w:w="480" w:type="dxa"/>
            <w:vAlign w:val="bottom"/>
            <w:tcBorders>
              <w:right w:val="single" w:sz="8" w:color="auto"/>
            </w:tcBorders>
          </w:tcPr>
          <w:p>
            <w:pPr>
              <w:spacing w:after="0"/>
              <w:rPr>
                <w:sz w:val="7"/>
                <w:szCs w:val="7"/>
                <w:color w:val="auto"/>
              </w:rPr>
            </w:pPr>
          </w:p>
        </w:tc>
        <w:tc>
          <w:tcPr>
            <w:tcW w:w="3840" w:type="dxa"/>
            <w:vAlign w:val="bottom"/>
            <w:tcBorders>
              <w:right w:val="single" w:sz="8" w:color="auto"/>
            </w:tcBorders>
          </w:tcPr>
          <w:p>
            <w:pPr>
              <w:ind w:left="100"/>
              <w:spacing w:after="0" w:line="81" w:lineRule="exact"/>
              <w:rPr>
                <w:sz w:val="20"/>
                <w:szCs w:val="20"/>
                <w:color w:val="auto"/>
              </w:rPr>
            </w:pPr>
            <w:r>
              <w:rPr>
                <w:rFonts w:ascii="Arial" w:cs="Arial" w:eastAsia="Arial" w:hAnsi="Arial"/>
                <w:sz w:val="8"/>
                <w:szCs w:val="8"/>
                <w:color w:val="auto"/>
              </w:rPr>
              <w:t>Interest Income</w:t>
            </w:r>
          </w:p>
        </w:tc>
        <w:tc>
          <w:tcPr>
            <w:tcW w:w="860" w:type="dxa"/>
            <w:vAlign w:val="bottom"/>
          </w:tcPr>
          <w:p>
            <w:pPr>
              <w:jc w:val="right"/>
              <w:ind w:right="113"/>
              <w:spacing w:after="0" w:line="81" w:lineRule="exact"/>
              <w:rPr>
                <w:sz w:val="20"/>
                <w:szCs w:val="20"/>
                <w:color w:val="auto"/>
              </w:rPr>
            </w:pPr>
            <w:r>
              <w:rPr>
                <w:rFonts w:ascii="Arial" w:cs="Arial" w:eastAsia="Arial" w:hAnsi="Arial"/>
                <w:sz w:val="8"/>
                <w:szCs w:val="8"/>
                <w:b w:val="1"/>
                <w:bCs w:val="1"/>
                <w:color w:val="auto"/>
              </w:rPr>
              <w:t>4,653,246</w:t>
            </w:r>
          </w:p>
        </w:tc>
        <w:tc>
          <w:tcPr>
            <w:tcW w:w="800" w:type="dxa"/>
            <w:vAlign w:val="bottom"/>
          </w:tcPr>
          <w:p>
            <w:pPr>
              <w:jc w:val="right"/>
              <w:ind w:right="113"/>
              <w:spacing w:after="0" w:line="81" w:lineRule="exact"/>
              <w:rPr>
                <w:sz w:val="20"/>
                <w:szCs w:val="20"/>
                <w:color w:val="auto"/>
              </w:rPr>
            </w:pPr>
            <w:r>
              <w:rPr>
                <w:rFonts w:ascii="Arial" w:cs="Arial" w:eastAsia="Arial" w:hAnsi="Arial"/>
                <w:sz w:val="8"/>
                <w:szCs w:val="8"/>
                <w:b w:val="1"/>
                <w:bCs w:val="1"/>
                <w:color w:val="auto"/>
              </w:rPr>
              <w:t>4,925,926</w:t>
            </w:r>
          </w:p>
        </w:tc>
        <w:tc>
          <w:tcPr>
            <w:tcW w:w="700" w:type="dxa"/>
            <w:vAlign w:val="bottom"/>
            <w:tcBorders>
              <w:right w:val="single" w:sz="8" w:color="auto"/>
            </w:tcBorders>
          </w:tcPr>
          <w:p>
            <w:pPr>
              <w:jc w:val="right"/>
              <w:ind w:right="13"/>
              <w:spacing w:after="0" w:line="81" w:lineRule="exact"/>
              <w:rPr>
                <w:sz w:val="20"/>
                <w:szCs w:val="20"/>
                <w:color w:val="auto"/>
              </w:rPr>
            </w:pPr>
            <w:r>
              <w:rPr>
                <w:rFonts w:ascii="Arial" w:cs="Arial" w:eastAsia="Arial" w:hAnsi="Arial"/>
                <w:sz w:val="8"/>
                <w:szCs w:val="8"/>
                <w:b w:val="1"/>
                <w:bCs w:val="1"/>
                <w:color w:val="auto"/>
              </w:rPr>
              <w:t>4,935,238</w:t>
            </w:r>
          </w:p>
        </w:tc>
        <w:tc>
          <w:tcPr>
            <w:tcW w:w="560" w:type="dxa"/>
            <w:vAlign w:val="bottom"/>
          </w:tcPr>
          <w:p>
            <w:pPr>
              <w:jc w:val="center"/>
              <w:ind w:left="173"/>
              <w:spacing w:after="0" w:line="81" w:lineRule="exact"/>
              <w:rPr>
                <w:sz w:val="20"/>
                <w:szCs w:val="20"/>
                <w:color w:val="auto"/>
              </w:rPr>
            </w:pPr>
            <w:r>
              <w:rPr>
                <w:rFonts w:ascii="Arial" w:cs="Arial" w:eastAsia="Arial" w:hAnsi="Arial"/>
                <w:sz w:val="8"/>
                <w:szCs w:val="8"/>
                <w:b w:val="1"/>
                <w:bCs w:val="1"/>
                <w:color w:val="auto"/>
              </w:rPr>
              <w:t>0.2%</w:t>
            </w:r>
          </w:p>
        </w:tc>
        <w:tc>
          <w:tcPr>
            <w:tcW w:w="1040" w:type="dxa"/>
            <w:vAlign w:val="bottom"/>
            <w:tcBorders>
              <w:right w:val="single" w:sz="8" w:color="auto"/>
            </w:tcBorders>
          </w:tcPr>
          <w:p>
            <w:pPr>
              <w:jc w:val="center"/>
              <w:ind w:left="133"/>
              <w:spacing w:after="0" w:line="81" w:lineRule="exact"/>
              <w:rPr>
                <w:sz w:val="20"/>
                <w:szCs w:val="20"/>
                <w:color w:val="auto"/>
              </w:rPr>
            </w:pPr>
            <w:r>
              <w:rPr>
                <w:rFonts w:ascii="Arial" w:cs="Arial" w:eastAsia="Arial" w:hAnsi="Arial"/>
                <w:sz w:val="8"/>
                <w:szCs w:val="8"/>
                <w:b w:val="1"/>
                <w:bCs w:val="1"/>
                <w:color w:val="auto"/>
              </w:rPr>
              <w:t>6.1%</w:t>
            </w:r>
          </w:p>
        </w:tc>
        <w:tc>
          <w:tcPr>
            <w:tcW w:w="940" w:type="dxa"/>
            <w:vAlign w:val="bottom"/>
          </w:tcPr>
          <w:p>
            <w:pPr>
              <w:jc w:val="right"/>
              <w:ind w:right="193"/>
              <w:spacing w:after="0" w:line="81" w:lineRule="exact"/>
              <w:rPr>
                <w:sz w:val="20"/>
                <w:szCs w:val="20"/>
                <w:color w:val="auto"/>
              </w:rPr>
            </w:pPr>
            <w:r>
              <w:rPr>
                <w:rFonts w:ascii="Arial" w:cs="Arial" w:eastAsia="Arial" w:hAnsi="Arial"/>
                <w:sz w:val="8"/>
                <w:szCs w:val="8"/>
                <w:color w:val="auto"/>
              </w:rPr>
              <w:t>9,109,352</w:t>
            </w:r>
          </w:p>
        </w:tc>
        <w:tc>
          <w:tcPr>
            <w:tcW w:w="640" w:type="dxa"/>
            <w:vAlign w:val="bottom"/>
            <w:tcBorders>
              <w:right w:val="single" w:sz="8" w:color="auto"/>
            </w:tcBorders>
          </w:tcPr>
          <w:p>
            <w:pPr>
              <w:jc w:val="right"/>
              <w:ind w:right="33"/>
              <w:spacing w:after="0" w:line="81" w:lineRule="exact"/>
              <w:rPr>
                <w:sz w:val="20"/>
                <w:szCs w:val="20"/>
                <w:color w:val="auto"/>
              </w:rPr>
            </w:pPr>
            <w:r>
              <w:rPr>
                <w:rFonts w:ascii="Arial" w:cs="Arial" w:eastAsia="Arial" w:hAnsi="Arial"/>
                <w:sz w:val="8"/>
                <w:szCs w:val="8"/>
                <w:color w:val="auto"/>
              </w:rPr>
              <w:t>9,861,164</w:t>
            </w:r>
          </w:p>
        </w:tc>
        <w:tc>
          <w:tcPr>
            <w:tcW w:w="100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8.3%</w:t>
            </w:r>
          </w:p>
        </w:tc>
        <w:tc>
          <w:tcPr>
            <w:tcW w:w="420" w:type="dxa"/>
            <w:vAlign w:val="bottom"/>
          </w:tcPr>
          <w:p>
            <w:pPr>
              <w:spacing w:after="0"/>
              <w:rPr>
                <w:sz w:val="7"/>
                <w:szCs w:val="7"/>
                <w:color w:val="auto"/>
              </w:rPr>
            </w:pPr>
          </w:p>
        </w:tc>
      </w:tr>
      <w:tr>
        <w:trPr>
          <w:trHeight w:val="103"/>
        </w:trPr>
        <w:tc>
          <w:tcPr>
            <w:tcW w:w="480" w:type="dxa"/>
            <w:vAlign w:val="bottom"/>
            <w:tcBorders>
              <w:right w:val="single" w:sz="8" w:color="auto"/>
            </w:tcBorders>
          </w:tcPr>
          <w:p>
            <w:pPr>
              <w:spacing w:after="0"/>
              <w:rPr>
                <w:sz w:val="8"/>
                <w:szCs w:val="8"/>
                <w:color w:val="auto"/>
              </w:rPr>
            </w:pPr>
          </w:p>
        </w:tc>
        <w:tc>
          <w:tcPr>
            <w:tcW w:w="3840" w:type="dxa"/>
            <w:vAlign w:val="bottom"/>
            <w:tcBorders>
              <w:right w:val="single" w:sz="8" w:color="auto"/>
            </w:tcBorders>
          </w:tcPr>
          <w:p>
            <w:pPr>
              <w:ind w:left="100"/>
              <w:spacing w:after="0" w:line="103" w:lineRule="exact"/>
              <w:rPr>
                <w:sz w:val="20"/>
                <w:szCs w:val="20"/>
                <w:color w:val="auto"/>
              </w:rPr>
            </w:pPr>
            <w:r>
              <w:rPr>
                <w:rFonts w:ascii="Arial" w:cs="Arial" w:eastAsia="Arial" w:hAnsi="Arial"/>
                <w:sz w:val="10"/>
                <w:szCs w:val="10"/>
                <w:color w:val="auto"/>
              </w:rPr>
              <w:t>Interest Expense</w:t>
            </w:r>
          </w:p>
        </w:tc>
        <w:tc>
          <w:tcPr>
            <w:tcW w:w="860" w:type="dxa"/>
            <w:vAlign w:val="bottom"/>
          </w:tcPr>
          <w:p>
            <w:pPr>
              <w:jc w:val="right"/>
              <w:ind w:right="73"/>
              <w:spacing w:after="0" w:line="103" w:lineRule="exact"/>
              <w:rPr>
                <w:sz w:val="20"/>
                <w:szCs w:val="20"/>
                <w:color w:val="auto"/>
              </w:rPr>
            </w:pPr>
            <w:r>
              <w:rPr>
                <w:rFonts w:ascii="Arial" w:cs="Arial" w:eastAsia="Arial" w:hAnsi="Arial"/>
                <w:sz w:val="10"/>
                <w:szCs w:val="10"/>
                <w:color w:val="auto"/>
              </w:rPr>
              <w:t>(1,449,090)</w:t>
            </w:r>
          </w:p>
        </w:tc>
        <w:tc>
          <w:tcPr>
            <w:tcW w:w="800" w:type="dxa"/>
            <w:vAlign w:val="bottom"/>
          </w:tcPr>
          <w:p>
            <w:pPr>
              <w:jc w:val="right"/>
              <w:ind w:right="93"/>
              <w:spacing w:after="0" w:line="103" w:lineRule="exact"/>
              <w:rPr>
                <w:sz w:val="20"/>
                <w:szCs w:val="20"/>
                <w:color w:val="auto"/>
              </w:rPr>
            </w:pPr>
            <w:r>
              <w:rPr>
                <w:rFonts w:ascii="Arial" w:cs="Arial" w:eastAsia="Arial" w:hAnsi="Arial"/>
                <w:sz w:val="10"/>
                <w:szCs w:val="10"/>
                <w:color w:val="auto"/>
              </w:rPr>
              <w:t>(1,499,803)</w:t>
            </w:r>
          </w:p>
        </w:tc>
        <w:tc>
          <w:tcPr>
            <w:tcW w:w="700" w:type="dxa"/>
            <w:vAlign w:val="bottom"/>
            <w:tcBorders>
              <w:right w:val="single" w:sz="8" w:color="auto"/>
            </w:tcBorders>
          </w:tcPr>
          <w:p>
            <w:pPr>
              <w:jc w:val="right"/>
              <w:spacing w:after="0" w:line="103" w:lineRule="exact"/>
              <w:rPr>
                <w:sz w:val="20"/>
                <w:szCs w:val="20"/>
                <w:color w:val="auto"/>
              </w:rPr>
            </w:pPr>
            <w:r>
              <w:rPr>
                <w:rFonts w:ascii="Arial" w:cs="Arial" w:eastAsia="Arial" w:hAnsi="Arial"/>
                <w:sz w:val="10"/>
                <w:szCs w:val="10"/>
                <w:color w:val="auto"/>
              </w:rPr>
              <w:t>(1,466,774)</w:t>
            </w:r>
          </w:p>
        </w:tc>
        <w:tc>
          <w:tcPr>
            <w:tcW w:w="560" w:type="dxa"/>
            <w:vAlign w:val="bottom"/>
          </w:tcPr>
          <w:p>
            <w:pPr>
              <w:jc w:val="center"/>
              <w:ind w:left="173"/>
              <w:spacing w:after="0" w:line="103" w:lineRule="exact"/>
              <w:rPr>
                <w:sz w:val="20"/>
                <w:szCs w:val="20"/>
                <w:color w:val="auto"/>
              </w:rPr>
            </w:pPr>
            <w:r>
              <w:rPr>
                <w:rFonts w:ascii="Arial" w:cs="Arial" w:eastAsia="Arial" w:hAnsi="Arial"/>
                <w:sz w:val="10"/>
                <w:szCs w:val="10"/>
                <w:color w:val="auto"/>
                <w:w w:val="99"/>
              </w:rPr>
              <w:t>-2.2%</w:t>
            </w:r>
          </w:p>
        </w:tc>
        <w:tc>
          <w:tcPr>
            <w:tcW w:w="1040" w:type="dxa"/>
            <w:vAlign w:val="bottom"/>
            <w:tcBorders>
              <w:right w:val="single" w:sz="8" w:color="auto"/>
            </w:tcBorders>
          </w:tcPr>
          <w:p>
            <w:pPr>
              <w:jc w:val="center"/>
              <w:ind w:left="133"/>
              <w:spacing w:after="0" w:line="103" w:lineRule="exact"/>
              <w:rPr>
                <w:sz w:val="20"/>
                <w:szCs w:val="20"/>
                <w:color w:val="auto"/>
              </w:rPr>
            </w:pPr>
            <w:r>
              <w:rPr>
                <w:rFonts w:ascii="Arial" w:cs="Arial" w:eastAsia="Arial" w:hAnsi="Arial"/>
                <w:sz w:val="10"/>
                <w:szCs w:val="10"/>
                <w:color w:val="auto"/>
                <w:w w:val="96"/>
              </w:rPr>
              <w:t>1.2%</w:t>
            </w:r>
          </w:p>
        </w:tc>
        <w:tc>
          <w:tcPr>
            <w:tcW w:w="940" w:type="dxa"/>
            <w:vAlign w:val="bottom"/>
          </w:tcPr>
          <w:p>
            <w:pPr>
              <w:jc w:val="right"/>
              <w:ind w:right="153"/>
              <w:spacing w:after="0" w:line="103" w:lineRule="exact"/>
              <w:rPr>
                <w:sz w:val="20"/>
                <w:szCs w:val="20"/>
                <w:color w:val="auto"/>
              </w:rPr>
            </w:pPr>
            <w:r>
              <w:rPr>
                <w:rFonts w:ascii="Arial" w:cs="Arial" w:eastAsia="Arial" w:hAnsi="Arial"/>
                <w:sz w:val="10"/>
                <w:szCs w:val="10"/>
                <w:color w:val="auto"/>
              </w:rPr>
              <w:t>(2,773,107)</w:t>
            </w:r>
          </w:p>
        </w:tc>
        <w:tc>
          <w:tcPr>
            <w:tcW w:w="640" w:type="dxa"/>
            <w:vAlign w:val="bottom"/>
            <w:tcBorders>
              <w:right w:val="single" w:sz="8" w:color="auto"/>
            </w:tcBorders>
          </w:tcPr>
          <w:p>
            <w:pPr>
              <w:jc w:val="right"/>
              <w:ind w:right="13"/>
              <w:spacing w:after="0" w:line="103" w:lineRule="exact"/>
              <w:rPr>
                <w:sz w:val="20"/>
                <w:szCs w:val="20"/>
                <w:color w:val="auto"/>
              </w:rPr>
            </w:pPr>
            <w:r>
              <w:rPr>
                <w:rFonts w:ascii="Arial" w:cs="Arial" w:eastAsia="Arial" w:hAnsi="Arial"/>
                <w:sz w:val="10"/>
                <w:szCs w:val="10"/>
                <w:color w:val="auto"/>
              </w:rPr>
              <w:t>(2,966,577)</w:t>
            </w:r>
          </w:p>
        </w:tc>
        <w:tc>
          <w:tcPr>
            <w:tcW w:w="10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7.0%</w:t>
            </w:r>
          </w:p>
        </w:tc>
        <w:tc>
          <w:tcPr>
            <w:tcW w:w="420" w:type="dxa"/>
            <w:vAlign w:val="bottom"/>
          </w:tcPr>
          <w:p>
            <w:pPr>
              <w:spacing w:after="0"/>
              <w:rPr>
                <w:sz w:val="8"/>
                <w:szCs w:val="8"/>
                <w:color w:val="auto"/>
              </w:rPr>
            </w:pPr>
          </w:p>
        </w:tc>
      </w:tr>
      <w:tr>
        <w:trPr>
          <w:trHeight w:val="103"/>
        </w:trPr>
        <w:tc>
          <w:tcPr>
            <w:tcW w:w="480" w:type="dxa"/>
            <w:vAlign w:val="bottom"/>
            <w:tcBorders>
              <w:right w:val="single" w:sz="8" w:color="auto"/>
            </w:tcBorders>
          </w:tcPr>
          <w:p>
            <w:pPr>
              <w:spacing w:after="0"/>
              <w:rPr>
                <w:sz w:val="8"/>
                <w:szCs w:val="8"/>
                <w:color w:val="auto"/>
              </w:rPr>
            </w:pPr>
          </w:p>
        </w:tc>
        <w:tc>
          <w:tcPr>
            <w:tcW w:w="3840" w:type="dxa"/>
            <w:vAlign w:val="bottom"/>
            <w:tcBorders>
              <w:right w:val="single" w:sz="8" w:color="auto"/>
            </w:tcBorders>
          </w:tcPr>
          <w:p>
            <w:pPr>
              <w:ind w:left="240"/>
              <w:spacing w:after="0" w:line="103" w:lineRule="exact"/>
              <w:rPr>
                <w:sz w:val="20"/>
                <w:szCs w:val="20"/>
                <w:color w:val="auto"/>
              </w:rPr>
            </w:pPr>
            <w:r>
              <w:rPr>
                <w:rFonts w:ascii="Arial" w:cs="Arial" w:eastAsia="Arial" w:hAnsi="Arial"/>
                <w:sz w:val="10"/>
                <w:szCs w:val="10"/>
                <w:color w:val="auto"/>
              </w:rPr>
              <w:t>Interest Expense (excluding Net Insurance Financial Expenses)</w:t>
            </w:r>
          </w:p>
        </w:tc>
        <w:tc>
          <w:tcPr>
            <w:tcW w:w="860" w:type="dxa"/>
            <w:vAlign w:val="bottom"/>
          </w:tcPr>
          <w:p>
            <w:pPr>
              <w:jc w:val="right"/>
              <w:ind w:right="73"/>
              <w:spacing w:after="0" w:line="103" w:lineRule="exact"/>
              <w:rPr>
                <w:sz w:val="20"/>
                <w:szCs w:val="20"/>
                <w:color w:val="auto"/>
              </w:rPr>
            </w:pPr>
            <w:r>
              <w:rPr>
                <w:rFonts w:ascii="Arial" w:cs="Arial" w:eastAsia="Arial" w:hAnsi="Arial"/>
                <w:sz w:val="10"/>
                <w:szCs w:val="10"/>
                <w:color w:val="auto"/>
              </w:rPr>
              <w:t>(1,333,924)</w:t>
            </w:r>
          </w:p>
        </w:tc>
        <w:tc>
          <w:tcPr>
            <w:tcW w:w="800" w:type="dxa"/>
            <w:vAlign w:val="bottom"/>
          </w:tcPr>
          <w:p>
            <w:pPr>
              <w:jc w:val="right"/>
              <w:ind w:right="93"/>
              <w:spacing w:after="0" w:line="103" w:lineRule="exact"/>
              <w:rPr>
                <w:sz w:val="20"/>
                <w:szCs w:val="20"/>
                <w:color w:val="auto"/>
              </w:rPr>
            </w:pPr>
            <w:r>
              <w:rPr>
                <w:rFonts w:ascii="Arial" w:cs="Arial" w:eastAsia="Arial" w:hAnsi="Arial"/>
                <w:sz w:val="10"/>
                <w:szCs w:val="10"/>
                <w:color w:val="auto"/>
              </w:rPr>
              <w:t>(1,377,799)</w:t>
            </w:r>
          </w:p>
        </w:tc>
        <w:tc>
          <w:tcPr>
            <w:tcW w:w="700" w:type="dxa"/>
            <w:vAlign w:val="bottom"/>
            <w:tcBorders>
              <w:right w:val="single" w:sz="8" w:color="auto"/>
            </w:tcBorders>
          </w:tcPr>
          <w:p>
            <w:pPr>
              <w:jc w:val="right"/>
              <w:spacing w:after="0" w:line="103" w:lineRule="exact"/>
              <w:rPr>
                <w:sz w:val="20"/>
                <w:szCs w:val="20"/>
                <w:color w:val="auto"/>
              </w:rPr>
            </w:pPr>
            <w:r>
              <w:rPr>
                <w:rFonts w:ascii="Arial" w:cs="Arial" w:eastAsia="Arial" w:hAnsi="Arial"/>
                <w:sz w:val="10"/>
                <w:szCs w:val="10"/>
                <w:color w:val="auto"/>
              </w:rPr>
              <w:t>(1,342,088)</w:t>
            </w:r>
          </w:p>
        </w:tc>
        <w:tc>
          <w:tcPr>
            <w:tcW w:w="560" w:type="dxa"/>
            <w:vAlign w:val="bottom"/>
          </w:tcPr>
          <w:p>
            <w:pPr>
              <w:jc w:val="center"/>
              <w:ind w:left="173"/>
              <w:spacing w:after="0" w:line="103" w:lineRule="exact"/>
              <w:rPr>
                <w:sz w:val="20"/>
                <w:szCs w:val="20"/>
                <w:color w:val="auto"/>
              </w:rPr>
            </w:pPr>
            <w:r>
              <w:rPr>
                <w:rFonts w:ascii="Arial" w:cs="Arial" w:eastAsia="Arial" w:hAnsi="Arial"/>
                <w:sz w:val="10"/>
                <w:szCs w:val="10"/>
                <w:color w:val="auto"/>
                <w:w w:val="99"/>
              </w:rPr>
              <w:t>-2.6%</w:t>
            </w:r>
          </w:p>
        </w:tc>
        <w:tc>
          <w:tcPr>
            <w:tcW w:w="1040" w:type="dxa"/>
            <w:vAlign w:val="bottom"/>
            <w:tcBorders>
              <w:right w:val="single" w:sz="8" w:color="auto"/>
            </w:tcBorders>
          </w:tcPr>
          <w:p>
            <w:pPr>
              <w:jc w:val="center"/>
              <w:ind w:left="133"/>
              <w:spacing w:after="0" w:line="103" w:lineRule="exact"/>
              <w:rPr>
                <w:sz w:val="20"/>
                <w:szCs w:val="20"/>
                <w:color w:val="auto"/>
              </w:rPr>
            </w:pPr>
            <w:r>
              <w:rPr>
                <w:rFonts w:ascii="Arial" w:cs="Arial" w:eastAsia="Arial" w:hAnsi="Arial"/>
                <w:sz w:val="10"/>
                <w:szCs w:val="10"/>
                <w:color w:val="auto"/>
                <w:w w:val="96"/>
              </w:rPr>
              <w:t>0.6%</w:t>
            </w:r>
          </w:p>
        </w:tc>
        <w:tc>
          <w:tcPr>
            <w:tcW w:w="940" w:type="dxa"/>
            <w:vAlign w:val="bottom"/>
          </w:tcPr>
          <w:p>
            <w:pPr>
              <w:jc w:val="right"/>
              <w:ind w:right="153"/>
              <w:spacing w:after="0" w:line="103" w:lineRule="exact"/>
              <w:rPr>
                <w:sz w:val="20"/>
                <w:szCs w:val="20"/>
                <w:color w:val="auto"/>
              </w:rPr>
            </w:pPr>
            <w:r>
              <w:rPr>
                <w:rFonts w:ascii="Arial" w:cs="Arial" w:eastAsia="Arial" w:hAnsi="Arial"/>
                <w:sz w:val="10"/>
                <w:szCs w:val="10"/>
                <w:color w:val="auto"/>
              </w:rPr>
              <w:t>(2,542,191)</w:t>
            </w:r>
          </w:p>
        </w:tc>
        <w:tc>
          <w:tcPr>
            <w:tcW w:w="640" w:type="dxa"/>
            <w:vAlign w:val="bottom"/>
            <w:tcBorders>
              <w:right w:val="single" w:sz="8" w:color="auto"/>
            </w:tcBorders>
          </w:tcPr>
          <w:p>
            <w:pPr>
              <w:jc w:val="right"/>
              <w:ind w:right="13"/>
              <w:spacing w:after="0" w:line="103" w:lineRule="exact"/>
              <w:rPr>
                <w:sz w:val="20"/>
                <w:szCs w:val="20"/>
                <w:color w:val="auto"/>
              </w:rPr>
            </w:pPr>
            <w:r>
              <w:rPr>
                <w:rFonts w:ascii="Arial" w:cs="Arial" w:eastAsia="Arial" w:hAnsi="Arial"/>
                <w:sz w:val="10"/>
                <w:szCs w:val="10"/>
                <w:color w:val="auto"/>
              </w:rPr>
              <w:t>(2,719,887)</w:t>
            </w:r>
          </w:p>
        </w:tc>
        <w:tc>
          <w:tcPr>
            <w:tcW w:w="10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7.0%</w:t>
            </w:r>
          </w:p>
        </w:tc>
        <w:tc>
          <w:tcPr>
            <w:tcW w:w="420" w:type="dxa"/>
            <w:vAlign w:val="bottom"/>
          </w:tcPr>
          <w:p>
            <w:pPr>
              <w:spacing w:after="0"/>
              <w:rPr>
                <w:sz w:val="8"/>
                <w:szCs w:val="8"/>
                <w:color w:val="auto"/>
              </w:rPr>
            </w:pPr>
          </w:p>
        </w:tc>
      </w:tr>
      <w:tr>
        <w:trPr>
          <w:trHeight w:val="115"/>
        </w:trPr>
        <w:tc>
          <w:tcPr>
            <w:tcW w:w="480" w:type="dxa"/>
            <w:vAlign w:val="bottom"/>
            <w:tcBorders>
              <w:right w:val="single" w:sz="8" w:color="auto"/>
            </w:tcBorders>
          </w:tcPr>
          <w:p>
            <w:pPr>
              <w:spacing w:after="0"/>
              <w:rPr>
                <w:sz w:val="10"/>
                <w:szCs w:val="10"/>
                <w:color w:val="auto"/>
              </w:rPr>
            </w:pPr>
          </w:p>
        </w:tc>
        <w:tc>
          <w:tcPr>
            <w:tcW w:w="384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0"/>
                <w:szCs w:val="10"/>
                <w:color w:val="auto"/>
              </w:rPr>
              <w:t>Net Insurance Financial Expenses</w:t>
            </w: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(115,166)</w:t>
            </w: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0"/>
                <w:szCs w:val="10"/>
                <w:color w:val="auto"/>
              </w:rPr>
              <w:t>(122,004)</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(124,686)</w:t>
            </w:r>
          </w:p>
        </w:tc>
        <w:tc>
          <w:tcPr>
            <w:tcW w:w="560" w:type="dxa"/>
            <w:vAlign w:val="bottom"/>
            <w:tcBorders>
              <w:bottom w:val="single" w:sz="8" w:color="auto"/>
            </w:tcBorders>
          </w:tcPr>
          <w:p>
            <w:pPr>
              <w:jc w:val="center"/>
              <w:ind w:left="173"/>
              <w:spacing w:after="0"/>
              <w:rPr>
                <w:sz w:val="20"/>
                <w:szCs w:val="20"/>
                <w:color w:val="auto"/>
              </w:rPr>
            </w:pPr>
            <w:r>
              <w:rPr>
                <w:rFonts w:ascii="Arial" w:cs="Arial" w:eastAsia="Arial" w:hAnsi="Arial"/>
                <w:sz w:val="10"/>
                <w:szCs w:val="10"/>
                <w:color w:val="auto"/>
                <w:w w:val="96"/>
              </w:rPr>
              <w:t>2.2%</w:t>
            </w:r>
          </w:p>
        </w:tc>
        <w:tc>
          <w:tcPr>
            <w:tcW w:w="1040" w:type="dxa"/>
            <w:vAlign w:val="bottom"/>
            <w:tcBorders>
              <w:bottom w:val="single" w:sz="8" w:color="auto"/>
              <w:right w:val="single" w:sz="8" w:color="auto"/>
            </w:tcBorders>
          </w:tcPr>
          <w:p>
            <w:pPr>
              <w:jc w:val="center"/>
              <w:ind w:left="133"/>
              <w:spacing w:after="0"/>
              <w:rPr>
                <w:sz w:val="20"/>
                <w:szCs w:val="20"/>
                <w:color w:val="auto"/>
              </w:rPr>
            </w:pPr>
            <w:r>
              <w:rPr>
                <w:rFonts w:ascii="Arial" w:cs="Arial" w:eastAsia="Arial" w:hAnsi="Arial"/>
                <w:sz w:val="10"/>
                <w:szCs w:val="10"/>
                <w:color w:val="auto"/>
                <w:w w:val="96"/>
              </w:rPr>
              <w:t>8.3%</w:t>
            </w:r>
          </w:p>
        </w:tc>
        <w:tc>
          <w:tcPr>
            <w:tcW w:w="940" w:type="dxa"/>
            <w:vAlign w:val="bottom"/>
            <w:tcBorders>
              <w:bottom w:val="single" w:sz="8" w:color="auto"/>
            </w:tcBorders>
          </w:tcPr>
          <w:p>
            <w:pPr>
              <w:jc w:val="right"/>
              <w:ind w:right="153"/>
              <w:spacing w:after="0"/>
              <w:rPr>
                <w:sz w:val="20"/>
                <w:szCs w:val="20"/>
                <w:color w:val="auto"/>
              </w:rPr>
            </w:pPr>
            <w:r>
              <w:rPr>
                <w:rFonts w:ascii="Arial" w:cs="Arial" w:eastAsia="Arial" w:hAnsi="Arial"/>
                <w:sz w:val="10"/>
                <w:szCs w:val="10"/>
                <w:color w:val="auto"/>
              </w:rPr>
              <w:t>(230,916)</w:t>
            </w:r>
          </w:p>
        </w:tc>
        <w:tc>
          <w:tcPr>
            <w:tcW w:w="64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0"/>
                <w:szCs w:val="10"/>
                <w:color w:val="auto"/>
              </w:rPr>
              <w:t>(246,690)</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6.8%</w:t>
            </w:r>
          </w:p>
        </w:tc>
        <w:tc>
          <w:tcPr>
            <w:tcW w:w="420" w:type="dxa"/>
            <w:vAlign w:val="bottom"/>
          </w:tcPr>
          <w:p>
            <w:pPr>
              <w:spacing w:after="0"/>
              <w:rPr>
                <w:sz w:val="10"/>
                <w:szCs w:val="10"/>
                <w:color w:val="auto"/>
              </w:rPr>
            </w:pPr>
          </w:p>
        </w:tc>
      </w:tr>
      <w:tr>
        <w:trPr>
          <w:trHeight w:val="121"/>
        </w:trPr>
        <w:tc>
          <w:tcPr>
            <w:tcW w:w="480" w:type="dxa"/>
            <w:vAlign w:val="bottom"/>
            <w:tcBorders>
              <w:right w:val="single" w:sz="8" w:color="auto"/>
            </w:tcBorders>
          </w:tcPr>
          <w:p>
            <w:pPr>
              <w:spacing w:after="0"/>
              <w:rPr>
                <w:sz w:val="10"/>
                <w:szCs w:val="10"/>
                <w:color w:val="auto"/>
              </w:rPr>
            </w:pP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0"/>
                <w:szCs w:val="10"/>
                <w:b w:val="1"/>
                <w:bCs w:val="1"/>
                <w:color w:val="auto"/>
              </w:rPr>
              <w:t>Net Interest Income</w:t>
            </w:r>
          </w:p>
        </w:tc>
        <w:tc>
          <w:tcPr>
            <w:tcW w:w="860" w:type="dxa"/>
            <w:vAlign w:val="bottom"/>
          </w:tcPr>
          <w:p>
            <w:pPr>
              <w:jc w:val="right"/>
              <w:ind w:right="113"/>
              <w:spacing w:after="0"/>
              <w:rPr>
                <w:sz w:val="20"/>
                <w:szCs w:val="20"/>
                <w:color w:val="auto"/>
              </w:rPr>
            </w:pPr>
            <w:r>
              <w:rPr>
                <w:rFonts w:ascii="Arial" w:cs="Arial" w:eastAsia="Arial" w:hAnsi="Arial"/>
                <w:sz w:val="10"/>
                <w:szCs w:val="10"/>
                <w:b w:val="1"/>
                <w:bCs w:val="1"/>
                <w:color w:val="auto"/>
              </w:rPr>
              <w:t>3,204,156</w:t>
            </w:r>
          </w:p>
        </w:tc>
        <w:tc>
          <w:tcPr>
            <w:tcW w:w="800" w:type="dxa"/>
            <w:vAlign w:val="bottom"/>
          </w:tcPr>
          <w:p>
            <w:pPr>
              <w:jc w:val="right"/>
              <w:ind w:right="113"/>
              <w:spacing w:after="0"/>
              <w:rPr>
                <w:sz w:val="20"/>
                <w:szCs w:val="20"/>
                <w:color w:val="auto"/>
              </w:rPr>
            </w:pPr>
            <w:r>
              <w:rPr>
                <w:rFonts w:ascii="Arial" w:cs="Arial" w:eastAsia="Arial" w:hAnsi="Arial"/>
                <w:sz w:val="10"/>
                <w:szCs w:val="10"/>
                <w:b w:val="1"/>
                <w:bCs w:val="1"/>
                <w:color w:val="auto"/>
              </w:rPr>
              <w:t>3,426,123</w:t>
            </w:r>
          </w:p>
        </w:tc>
        <w:tc>
          <w:tcPr>
            <w:tcW w:w="700" w:type="dxa"/>
            <w:vAlign w:val="bottom"/>
            <w:tcBorders>
              <w:right w:val="single" w:sz="8" w:color="auto"/>
            </w:tcBorders>
          </w:tcPr>
          <w:p>
            <w:pPr>
              <w:jc w:val="right"/>
              <w:ind w:right="13"/>
              <w:spacing w:after="0"/>
              <w:rPr>
                <w:sz w:val="20"/>
                <w:szCs w:val="20"/>
                <w:color w:val="auto"/>
              </w:rPr>
            </w:pPr>
            <w:r>
              <w:rPr>
                <w:rFonts w:ascii="Arial" w:cs="Arial" w:eastAsia="Arial" w:hAnsi="Arial"/>
                <w:sz w:val="10"/>
                <w:szCs w:val="10"/>
                <w:b w:val="1"/>
                <w:bCs w:val="1"/>
                <w:color w:val="auto"/>
              </w:rPr>
              <w:t>3,468,464</w:t>
            </w:r>
          </w:p>
        </w:tc>
        <w:tc>
          <w:tcPr>
            <w:tcW w:w="560" w:type="dxa"/>
            <w:vAlign w:val="bottom"/>
          </w:tcPr>
          <w:p>
            <w:pPr>
              <w:jc w:val="center"/>
              <w:ind w:left="173"/>
              <w:spacing w:after="0"/>
              <w:rPr>
                <w:sz w:val="20"/>
                <w:szCs w:val="20"/>
                <w:color w:val="auto"/>
              </w:rPr>
            </w:pPr>
            <w:r>
              <w:rPr>
                <w:rFonts w:ascii="Arial" w:cs="Arial" w:eastAsia="Arial" w:hAnsi="Arial"/>
                <w:sz w:val="10"/>
                <w:szCs w:val="10"/>
                <w:b w:val="1"/>
                <w:bCs w:val="1"/>
                <w:color w:val="auto"/>
                <w:w w:val="96"/>
              </w:rPr>
              <w:t>1.2%</w:t>
            </w:r>
          </w:p>
        </w:tc>
        <w:tc>
          <w:tcPr>
            <w:tcW w:w="1040" w:type="dxa"/>
            <w:vAlign w:val="bottom"/>
            <w:tcBorders>
              <w:right w:val="single" w:sz="8" w:color="auto"/>
            </w:tcBorders>
          </w:tcPr>
          <w:p>
            <w:pPr>
              <w:jc w:val="center"/>
              <w:ind w:left="133"/>
              <w:spacing w:after="0"/>
              <w:rPr>
                <w:sz w:val="20"/>
                <w:szCs w:val="20"/>
                <w:color w:val="auto"/>
              </w:rPr>
            </w:pPr>
            <w:r>
              <w:rPr>
                <w:rFonts w:ascii="Arial" w:cs="Arial" w:eastAsia="Arial" w:hAnsi="Arial"/>
                <w:sz w:val="10"/>
                <w:szCs w:val="10"/>
                <w:b w:val="1"/>
                <w:bCs w:val="1"/>
                <w:color w:val="auto"/>
                <w:w w:val="96"/>
              </w:rPr>
              <w:t>8.2%</w:t>
            </w:r>
          </w:p>
        </w:tc>
        <w:tc>
          <w:tcPr>
            <w:tcW w:w="940" w:type="dxa"/>
            <w:vAlign w:val="bottom"/>
          </w:tcPr>
          <w:p>
            <w:pPr>
              <w:jc w:val="right"/>
              <w:ind w:right="193"/>
              <w:spacing w:after="0"/>
              <w:rPr>
                <w:sz w:val="20"/>
                <w:szCs w:val="20"/>
                <w:color w:val="auto"/>
              </w:rPr>
            </w:pPr>
            <w:r>
              <w:rPr>
                <w:rFonts w:ascii="Arial" w:cs="Arial" w:eastAsia="Arial" w:hAnsi="Arial"/>
                <w:sz w:val="10"/>
                <w:szCs w:val="10"/>
                <w:b w:val="1"/>
                <w:bCs w:val="1"/>
                <w:color w:val="auto"/>
              </w:rPr>
              <w:t>6,336,245</w:t>
            </w:r>
          </w:p>
        </w:tc>
        <w:tc>
          <w:tcPr>
            <w:tcW w:w="640" w:type="dxa"/>
            <w:vAlign w:val="bottom"/>
            <w:tcBorders>
              <w:right w:val="single" w:sz="8" w:color="auto"/>
            </w:tcBorders>
          </w:tcPr>
          <w:p>
            <w:pPr>
              <w:jc w:val="right"/>
              <w:ind w:right="33"/>
              <w:spacing w:after="0"/>
              <w:rPr>
                <w:sz w:val="20"/>
                <w:szCs w:val="20"/>
                <w:color w:val="auto"/>
              </w:rPr>
            </w:pPr>
            <w:r>
              <w:rPr>
                <w:rFonts w:ascii="Arial" w:cs="Arial" w:eastAsia="Arial" w:hAnsi="Arial"/>
                <w:sz w:val="10"/>
                <w:szCs w:val="10"/>
                <w:b w:val="1"/>
                <w:bCs w:val="1"/>
                <w:color w:val="auto"/>
              </w:rPr>
              <w:t>6,894,587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8.8%</w:t>
            </w:r>
          </w:p>
        </w:tc>
        <w:tc>
          <w:tcPr>
            <w:tcW w:w="420" w:type="dxa"/>
            <w:vAlign w:val="bottom"/>
          </w:tcPr>
          <w:p>
            <w:pPr>
              <w:spacing w:after="0"/>
              <w:rPr>
                <w:sz w:val="10"/>
                <w:szCs w:val="10"/>
                <w:color w:val="auto"/>
              </w:rPr>
            </w:pPr>
          </w:p>
        </w:tc>
      </w:tr>
      <w:tr>
        <w:trPr>
          <w:trHeight w:val="75"/>
        </w:trPr>
        <w:tc>
          <w:tcPr>
            <w:tcW w:w="480" w:type="dxa"/>
            <w:vAlign w:val="bottom"/>
            <w:tcBorders>
              <w:right w:val="single" w:sz="8" w:color="auto"/>
            </w:tcBorders>
          </w:tcPr>
          <w:p>
            <w:pPr>
              <w:spacing w:after="0"/>
              <w:rPr>
                <w:sz w:val="6"/>
                <w:szCs w:val="6"/>
                <w:color w:val="auto"/>
              </w:rPr>
            </w:pPr>
          </w:p>
        </w:tc>
        <w:tc>
          <w:tcPr>
            <w:tcW w:w="3840" w:type="dxa"/>
            <w:vAlign w:val="bottom"/>
            <w:tcBorders>
              <w:bottom w:val="single" w:sz="8" w:color="auto"/>
              <w:right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40" w:type="dxa"/>
            <w:vAlign w:val="bottom"/>
            <w:tcBorders>
              <w:bottom w:val="single" w:sz="8" w:color="auto"/>
              <w:right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420" w:type="dxa"/>
            <w:vAlign w:val="bottom"/>
          </w:tcPr>
          <w:p>
            <w:pPr>
              <w:spacing w:after="0"/>
              <w:rPr>
                <w:sz w:val="6"/>
                <w:szCs w:val="6"/>
                <w:color w:val="auto"/>
              </w:rPr>
            </w:pPr>
          </w:p>
        </w:tc>
      </w:tr>
      <w:tr>
        <w:trPr>
          <w:trHeight w:val="81"/>
        </w:trPr>
        <w:tc>
          <w:tcPr>
            <w:tcW w:w="480" w:type="dxa"/>
            <w:vAlign w:val="bottom"/>
            <w:tcBorders>
              <w:right w:val="single" w:sz="8" w:color="auto"/>
            </w:tcBorders>
          </w:tcPr>
          <w:p>
            <w:pPr>
              <w:spacing w:after="0"/>
              <w:rPr>
                <w:sz w:val="7"/>
                <w:szCs w:val="7"/>
                <w:color w:val="auto"/>
              </w:rPr>
            </w:pPr>
          </w:p>
        </w:tc>
        <w:tc>
          <w:tcPr>
            <w:tcW w:w="3840" w:type="dxa"/>
            <w:vAlign w:val="bottom"/>
            <w:tcBorders>
              <w:right w:val="single" w:sz="8" w:color="auto"/>
            </w:tcBorders>
          </w:tcPr>
          <w:p>
            <w:pPr>
              <w:ind w:left="20"/>
              <w:spacing w:after="0" w:line="81" w:lineRule="exact"/>
              <w:rPr>
                <w:sz w:val="20"/>
                <w:szCs w:val="20"/>
                <w:color w:val="auto"/>
              </w:rPr>
            </w:pPr>
            <w:r>
              <w:rPr>
                <w:rFonts w:ascii="Arial" w:cs="Arial" w:eastAsia="Arial" w:hAnsi="Arial"/>
                <w:sz w:val="8"/>
                <w:szCs w:val="8"/>
                <w:b w:val="1"/>
                <w:bCs w:val="1"/>
                <w:color w:val="auto"/>
              </w:rPr>
              <w:t>Balances</w:t>
            </w: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420" w:type="dxa"/>
            <w:vAlign w:val="bottom"/>
          </w:tcPr>
          <w:p>
            <w:pPr>
              <w:spacing w:after="0"/>
              <w:rPr>
                <w:sz w:val="7"/>
                <w:szCs w:val="7"/>
                <w:color w:val="auto"/>
              </w:rPr>
            </w:pPr>
          </w:p>
        </w:tc>
      </w:tr>
      <w:tr>
        <w:trPr>
          <w:trHeight w:val="103"/>
        </w:trPr>
        <w:tc>
          <w:tcPr>
            <w:tcW w:w="480" w:type="dxa"/>
            <w:vAlign w:val="bottom"/>
            <w:tcBorders>
              <w:right w:val="single" w:sz="8" w:color="auto"/>
            </w:tcBorders>
          </w:tcPr>
          <w:p>
            <w:pPr>
              <w:spacing w:after="0"/>
              <w:rPr>
                <w:sz w:val="8"/>
                <w:szCs w:val="8"/>
                <w:color w:val="auto"/>
              </w:rPr>
            </w:pPr>
          </w:p>
        </w:tc>
        <w:tc>
          <w:tcPr>
            <w:tcW w:w="3840" w:type="dxa"/>
            <w:vAlign w:val="bottom"/>
            <w:tcBorders>
              <w:right w:val="single" w:sz="8" w:color="auto"/>
            </w:tcBorders>
          </w:tcPr>
          <w:p>
            <w:pPr>
              <w:ind w:left="100"/>
              <w:spacing w:after="0" w:line="103" w:lineRule="exact"/>
              <w:rPr>
                <w:sz w:val="20"/>
                <w:szCs w:val="20"/>
                <w:color w:val="auto"/>
              </w:rPr>
            </w:pPr>
            <w:r>
              <w:rPr>
                <w:rFonts w:ascii="Arial" w:cs="Arial" w:eastAsia="Arial" w:hAnsi="Arial"/>
                <w:sz w:val="10"/>
                <w:szCs w:val="10"/>
                <w:color w:val="auto"/>
              </w:rPr>
              <w:t>Average Interest Earning Assets (IEA)</w:t>
            </w:r>
          </w:p>
        </w:tc>
        <w:tc>
          <w:tcPr>
            <w:tcW w:w="860" w:type="dxa"/>
            <w:vAlign w:val="bottom"/>
          </w:tcPr>
          <w:p>
            <w:pPr>
              <w:jc w:val="right"/>
              <w:ind w:right="73"/>
              <w:spacing w:after="0" w:line="103" w:lineRule="exact"/>
              <w:rPr>
                <w:sz w:val="20"/>
                <w:szCs w:val="20"/>
                <w:color w:val="auto"/>
              </w:rPr>
            </w:pPr>
            <w:r>
              <w:rPr>
                <w:rFonts w:ascii="Arial" w:cs="Arial" w:eastAsia="Arial" w:hAnsi="Arial"/>
                <w:sz w:val="10"/>
                <w:szCs w:val="10"/>
                <w:color w:val="auto"/>
              </w:rPr>
              <w:t>220,651,688</w:t>
            </w:r>
          </w:p>
        </w:tc>
        <w:tc>
          <w:tcPr>
            <w:tcW w:w="800" w:type="dxa"/>
            <w:vAlign w:val="bottom"/>
          </w:tcPr>
          <w:p>
            <w:pPr>
              <w:jc w:val="right"/>
              <w:ind w:right="93"/>
              <w:spacing w:after="0" w:line="103" w:lineRule="exact"/>
              <w:rPr>
                <w:sz w:val="20"/>
                <w:szCs w:val="20"/>
                <w:color w:val="auto"/>
              </w:rPr>
            </w:pPr>
            <w:r>
              <w:rPr>
                <w:rFonts w:ascii="Arial" w:cs="Arial" w:eastAsia="Arial" w:hAnsi="Arial"/>
                <w:sz w:val="10"/>
                <w:szCs w:val="10"/>
                <w:color w:val="auto"/>
              </w:rPr>
              <w:t>225,297,538</w:t>
            </w:r>
          </w:p>
        </w:tc>
        <w:tc>
          <w:tcPr>
            <w:tcW w:w="700" w:type="dxa"/>
            <w:vAlign w:val="bottom"/>
            <w:tcBorders>
              <w:right w:val="single" w:sz="8" w:color="auto"/>
            </w:tcBorders>
          </w:tcPr>
          <w:p>
            <w:pPr>
              <w:jc w:val="right"/>
              <w:spacing w:after="0" w:line="103" w:lineRule="exact"/>
              <w:rPr>
                <w:sz w:val="20"/>
                <w:szCs w:val="20"/>
                <w:color w:val="auto"/>
              </w:rPr>
            </w:pPr>
            <w:r>
              <w:rPr>
                <w:rFonts w:ascii="Arial" w:cs="Arial" w:eastAsia="Arial" w:hAnsi="Arial"/>
                <w:sz w:val="10"/>
                <w:szCs w:val="10"/>
                <w:color w:val="auto"/>
              </w:rPr>
              <w:t>227,161,179</w:t>
            </w:r>
          </w:p>
        </w:tc>
        <w:tc>
          <w:tcPr>
            <w:tcW w:w="560" w:type="dxa"/>
            <w:vAlign w:val="bottom"/>
          </w:tcPr>
          <w:p>
            <w:pPr>
              <w:jc w:val="center"/>
              <w:ind w:left="173"/>
              <w:spacing w:after="0" w:line="103" w:lineRule="exact"/>
              <w:rPr>
                <w:sz w:val="20"/>
                <w:szCs w:val="20"/>
                <w:color w:val="auto"/>
              </w:rPr>
            </w:pPr>
            <w:r>
              <w:rPr>
                <w:rFonts w:ascii="Arial" w:cs="Arial" w:eastAsia="Arial" w:hAnsi="Arial"/>
                <w:sz w:val="10"/>
                <w:szCs w:val="10"/>
                <w:color w:val="auto"/>
                <w:w w:val="96"/>
              </w:rPr>
              <w:t>0.8%</w:t>
            </w:r>
          </w:p>
        </w:tc>
        <w:tc>
          <w:tcPr>
            <w:tcW w:w="1040" w:type="dxa"/>
            <w:vAlign w:val="bottom"/>
            <w:tcBorders>
              <w:right w:val="single" w:sz="8" w:color="auto"/>
            </w:tcBorders>
          </w:tcPr>
          <w:p>
            <w:pPr>
              <w:jc w:val="center"/>
              <w:ind w:left="133"/>
              <w:spacing w:after="0" w:line="103" w:lineRule="exact"/>
              <w:rPr>
                <w:sz w:val="20"/>
                <w:szCs w:val="20"/>
                <w:color w:val="auto"/>
              </w:rPr>
            </w:pPr>
            <w:r>
              <w:rPr>
                <w:rFonts w:ascii="Arial" w:cs="Arial" w:eastAsia="Arial" w:hAnsi="Arial"/>
                <w:sz w:val="10"/>
                <w:szCs w:val="10"/>
                <w:color w:val="auto"/>
                <w:w w:val="96"/>
              </w:rPr>
              <w:t>3.0%</w:t>
            </w:r>
          </w:p>
        </w:tc>
        <w:tc>
          <w:tcPr>
            <w:tcW w:w="940" w:type="dxa"/>
            <w:vAlign w:val="bottom"/>
          </w:tcPr>
          <w:p>
            <w:pPr>
              <w:jc w:val="right"/>
              <w:ind w:right="153"/>
              <w:spacing w:after="0" w:line="103" w:lineRule="exact"/>
              <w:rPr>
                <w:sz w:val="20"/>
                <w:szCs w:val="20"/>
                <w:color w:val="auto"/>
              </w:rPr>
            </w:pPr>
            <w:r>
              <w:rPr>
                <w:rFonts w:ascii="Arial" w:cs="Arial" w:eastAsia="Arial" w:hAnsi="Arial"/>
                <w:sz w:val="10"/>
                <w:szCs w:val="10"/>
                <w:color w:val="auto"/>
              </w:rPr>
              <w:t>220,418,854</w:t>
            </w:r>
          </w:p>
        </w:tc>
        <w:tc>
          <w:tcPr>
            <w:tcW w:w="640" w:type="dxa"/>
            <w:vAlign w:val="bottom"/>
            <w:tcBorders>
              <w:right w:val="single" w:sz="8" w:color="auto"/>
            </w:tcBorders>
          </w:tcPr>
          <w:p>
            <w:pPr>
              <w:jc w:val="right"/>
              <w:ind w:right="13"/>
              <w:spacing w:after="0" w:line="103" w:lineRule="exact"/>
              <w:rPr>
                <w:sz w:val="20"/>
                <w:szCs w:val="20"/>
                <w:color w:val="auto"/>
              </w:rPr>
            </w:pPr>
            <w:r>
              <w:rPr>
                <w:rFonts w:ascii="Arial" w:cs="Arial" w:eastAsia="Arial" w:hAnsi="Arial"/>
                <w:sz w:val="10"/>
                <w:szCs w:val="10"/>
                <w:color w:val="auto"/>
              </w:rPr>
              <w:t>226,444,444</w:t>
            </w:r>
          </w:p>
        </w:tc>
        <w:tc>
          <w:tcPr>
            <w:tcW w:w="10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2.7%</w:t>
            </w:r>
          </w:p>
        </w:tc>
        <w:tc>
          <w:tcPr>
            <w:tcW w:w="420" w:type="dxa"/>
            <w:vAlign w:val="bottom"/>
          </w:tcPr>
          <w:p>
            <w:pPr>
              <w:spacing w:after="0"/>
              <w:rPr>
                <w:sz w:val="8"/>
                <w:szCs w:val="8"/>
                <w:color w:val="auto"/>
              </w:rPr>
            </w:pPr>
          </w:p>
        </w:tc>
      </w:tr>
      <w:tr>
        <w:trPr>
          <w:trHeight w:val="125"/>
        </w:trPr>
        <w:tc>
          <w:tcPr>
            <w:tcW w:w="480" w:type="dxa"/>
            <w:vAlign w:val="bottom"/>
            <w:tcBorders>
              <w:right w:val="single" w:sz="8" w:color="auto"/>
            </w:tcBorders>
          </w:tcPr>
          <w:p>
            <w:pPr>
              <w:spacing w:after="0"/>
              <w:rPr>
                <w:sz w:val="10"/>
                <w:szCs w:val="10"/>
                <w:color w:val="auto"/>
              </w:rPr>
            </w:pPr>
          </w:p>
        </w:tc>
        <w:tc>
          <w:tcPr>
            <w:tcW w:w="3840" w:type="dxa"/>
            <w:vAlign w:val="bottom"/>
            <w:tcBorders>
              <w:right w:val="single" w:sz="8" w:color="auto"/>
            </w:tcBorders>
          </w:tcPr>
          <w:p>
            <w:pPr>
              <w:ind w:left="100"/>
              <w:spacing w:after="0"/>
              <w:rPr>
                <w:sz w:val="20"/>
                <w:szCs w:val="20"/>
                <w:color w:val="auto"/>
              </w:rPr>
            </w:pPr>
            <w:r>
              <w:rPr>
                <w:rFonts w:ascii="Arial" w:cs="Arial" w:eastAsia="Arial" w:hAnsi="Arial"/>
                <w:sz w:val="10"/>
                <w:szCs w:val="10"/>
                <w:color w:val="auto"/>
              </w:rPr>
              <w:t>Average Funding</w:t>
            </w:r>
          </w:p>
        </w:tc>
        <w:tc>
          <w:tcPr>
            <w:tcW w:w="860" w:type="dxa"/>
            <w:vAlign w:val="bottom"/>
          </w:tcPr>
          <w:p>
            <w:pPr>
              <w:jc w:val="right"/>
              <w:ind w:right="73"/>
              <w:spacing w:after="0"/>
              <w:rPr>
                <w:sz w:val="20"/>
                <w:szCs w:val="20"/>
                <w:color w:val="auto"/>
              </w:rPr>
            </w:pPr>
            <w:r>
              <w:rPr>
                <w:rFonts w:ascii="Arial" w:cs="Arial" w:eastAsia="Arial" w:hAnsi="Arial"/>
                <w:sz w:val="10"/>
                <w:szCs w:val="10"/>
                <w:color w:val="auto"/>
              </w:rPr>
              <w:t>183,407,530</w:t>
            </w:r>
          </w:p>
        </w:tc>
        <w:tc>
          <w:tcPr>
            <w:tcW w:w="800" w:type="dxa"/>
            <w:vAlign w:val="bottom"/>
          </w:tcPr>
          <w:p>
            <w:pPr>
              <w:jc w:val="right"/>
              <w:ind w:right="93"/>
              <w:spacing w:after="0"/>
              <w:rPr>
                <w:sz w:val="20"/>
                <w:szCs w:val="20"/>
                <w:color w:val="auto"/>
              </w:rPr>
            </w:pPr>
            <w:r>
              <w:rPr>
                <w:rFonts w:ascii="Arial" w:cs="Arial" w:eastAsia="Arial" w:hAnsi="Arial"/>
                <w:sz w:val="10"/>
                <w:szCs w:val="10"/>
                <w:color w:val="auto"/>
              </w:rPr>
              <w:t>185,160,542</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0"/>
                <w:szCs w:val="10"/>
                <w:color w:val="auto"/>
              </w:rPr>
              <w:t>187,904,862</w:t>
            </w:r>
          </w:p>
        </w:tc>
        <w:tc>
          <w:tcPr>
            <w:tcW w:w="560" w:type="dxa"/>
            <w:vAlign w:val="bottom"/>
          </w:tcPr>
          <w:p>
            <w:pPr>
              <w:jc w:val="center"/>
              <w:ind w:left="173"/>
              <w:spacing w:after="0"/>
              <w:rPr>
                <w:sz w:val="20"/>
                <w:szCs w:val="20"/>
                <w:color w:val="auto"/>
              </w:rPr>
            </w:pPr>
            <w:r>
              <w:rPr>
                <w:rFonts w:ascii="Arial" w:cs="Arial" w:eastAsia="Arial" w:hAnsi="Arial"/>
                <w:sz w:val="10"/>
                <w:szCs w:val="10"/>
                <w:color w:val="auto"/>
                <w:w w:val="96"/>
              </w:rPr>
              <w:t>1.5%</w:t>
            </w:r>
          </w:p>
        </w:tc>
        <w:tc>
          <w:tcPr>
            <w:tcW w:w="1040" w:type="dxa"/>
            <w:vAlign w:val="bottom"/>
            <w:tcBorders>
              <w:right w:val="single" w:sz="8" w:color="auto"/>
            </w:tcBorders>
          </w:tcPr>
          <w:p>
            <w:pPr>
              <w:jc w:val="center"/>
              <w:ind w:left="133"/>
              <w:spacing w:after="0"/>
              <w:rPr>
                <w:sz w:val="20"/>
                <w:szCs w:val="20"/>
                <w:color w:val="auto"/>
              </w:rPr>
            </w:pPr>
            <w:r>
              <w:rPr>
                <w:rFonts w:ascii="Arial" w:cs="Arial" w:eastAsia="Arial" w:hAnsi="Arial"/>
                <w:sz w:val="10"/>
                <w:szCs w:val="10"/>
                <w:color w:val="auto"/>
                <w:w w:val="96"/>
              </w:rPr>
              <w:t>2.5%</w:t>
            </w:r>
          </w:p>
        </w:tc>
        <w:tc>
          <w:tcPr>
            <w:tcW w:w="940" w:type="dxa"/>
            <w:vAlign w:val="bottom"/>
          </w:tcPr>
          <w:p>
            <w:pPr>
              <w:jc w:val="right"/>
              <w:ind w:right="153"/>
              <w:spacing w:after="0"/>
              <w:rPr>
                <w:sz w:val="20"/>
                <w:szCs w:val="20"/>
                <w:color w:val="auto"/>
              </w:rPr>
            </w:pPr>
            <w:r>
              <w:rPr>
                <w:rFonts w:ascii="Arial" w:cs="Arial" w:eastAsia="Arial" w:hAnsi="Arial"/>
                <w:sz w:val="10"/>
                <w:szCs w:val="10"/>
                <w:color w:val="auto"/>
              </w:rPr>
              <w:t>183,962,350</w:t>
            </w:r>
          </w:p>
        </w:tc>
        <w:tc>
          <w:tcPr>
            <w:tcW w:w="640" w:type="dxa"/>
            <w:vAlign w:val="bottom"/>
            <w:tcBorders>
              <w:right w:val="single" w:sz="8" w:color="auto"/>
            </w:tcBorders>
          </w:tcPr>
          <w:p>
            <w:pPr>
              <w:jc w:val="right"/>
              <w:ind w:right="13"/>
              <w:spacing w:after="0"/>
              <w:rPr>
                <w:sz w:val="20"/>
                <w:szCs w:val="20"/>
                <w:color w:val="auto"/>
              </w:rPr>
            </w:pPr>
            <w:r>
              <w:rPr>
                <w:rFonts w:ascii="Arial" w:cs="Arial" w:eastAsia="Arial" w:hAnsi="Arial"/>
                <w:sz w:val="10"/>
                <w:szCs w:val="10"/>
                <w:color w:val="auto"/>
              </w:rPr>
              <w:t>187,491,207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1.9%</w:t>
            </w:r>
          </w:p>
        </w:tc>
        <w:tc>
          <w:tcPr>
            <w:tcW w:w="420" w:type="dxa"/>
            <w:vAlign w:val="bottom"/>
          </w:tcPr>
          <w:p>
            <w:pPr>
              <w:spacing w:after="0"/>
              <w:rPr>
                <w:sz w:val="10"/>
                <w:szCs w:val="10"/>
                <w:color w:val="auto"/>
              </w:rPr>
            </w:pPr>
          </w:p>
        </w:tc>
      </w:tr>
      <w:tr>
        <w:trPr>
          <w:trHeight w:val="184"/>
        </w:trPr>
        <w:tc>
          <w:tcPr>
            <w:tcW w:w="480" w:type="dxa"/>
            <w:vAlign w:val="bottom"/>
            <w:tcBorders>
              <w:right w:val="single" w:sz="8" w:color="auto"/>
            </w:tcBorders>
          </w:tcPr>
          <w:p>
            <w:pPr>
              <w:spacing w:after="0"/>
              <w:rPr>
                <w:sz w:val="15"/>
                <w:szCs w:val="15"/>
                <w:color w:val="auto"/>
              </w:rPr>
            </w:pPr>
          </w:p>
        </w:tc>
        <w:tc>
          <w:tcPr>
            <w:tcW w:w="3840" w:type="dxa"/>
            <w:vAlign w:val="bottom"/>
            <w:tcBorders>
              <w:right w:val="single" w:sz="8" w:color="auto"/>
            </w:tcBorders>
          </w:tcPr>
          <w:p>
            <w:pPr>
              <w:ind w:left="20"/>
              <w:spacing w:after="0"/>
              <w:rPr>
                <w:sz w:val="20"/>
                <w:szCs w:val="20"/>
                <w:color w:val="auto"/>
              </w:rPr>
            </w:pPr>
            <w:r>
              <w:rPr>
                <w:rFonts w:ascii="Arial" w:cs="Arial" w:eastAsia="Arial" w:hAnsi="Arial"/>
                <w:sz w:val="10"/>
                <w:szCs w:val="10"/>
                <w:b w:val="1"/>
                <w:bCs w:val="1"/>
                <w:color w:val="auto"/>
              </w:rPr>
              <w:t>Yields</w:t>
            </w: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r>
      <w:tr>
        <w:trPr>
          <w:trHeight w:val="97"/>
        </w:trPr>
        <w:tc>
          <w:tcPr>
            <w:tcW w:w="480" w:type="dxa"/>
            <w:vAlign w:val="bottom"/>
            <w:tcBorders>
              <w:right w:val="single" w:sz="8" w:color="auto"/>
            </w:tcBorders>
          </w:tcPr>
          <w:p>
            <w:pPr>
              <w:spacing w:after="0"/>
              <w:rPr>
                <w:sz w:val="8"/>
                <w:szCs w:val="8"/>
                <w:color w:val="auto"/>
              </w:rPr>
            </w:pPr>
          </w:p>
        </w:tc>
        <w:tc>
          <w:tcPr>
            <w:tcW w:w="3840" w:type="dxa"/>
            <w:vAlign w:val="bottom"/>
            <w:tcBorders>
              <w:right w:val="single" w:sz="8" w:color="auto"/>
            </w:tcBorders>
          </w:tcPr>
          <w:p>
            <w:pPr>
              <w:ind w:left="100"/>
              <w:spacing w:after="0" w:line="97" w:lineRule="exact"/>
              <w:rPr>
                <w:sz w:val="20"/>
                <w:szCs w:val="20"/>
                <w:color w:val="auto"/>
              </w:rPr>
            </w:pPr>
            <w:r>
              <w:rPr>
                <w:rFonts w:ascii="Arial" w:cs="Arial" w:eastAsia="Arial" w:hAnsi="Arial"/>
                <w:sz w:val="10"/>
                <w:szCs w:val="10"/>
                <w:color w:val="auto"/>
              </w:rPr>
              <w:t>Yield on IEAs</w:t>
            </w:r>
          </w:p>
        </w:tc>
        <w:tc>
          <w:tcPr>
            <w:tcW w:w="860" w:type="dxa"/>
            <w:vAlign w:val="bottom"/>
          </w:tcPr>
          <w:p>
            <w:pPr>
              <w:jc w:val="center"/>
              <w:ind w:right="73"/>
              <w:spacing w:after="0" w:line="97" w:lineRule="exact"/>
              <w:rPr>
                <w:sz w:val="20"/>
                <w:szCs w:val="20"/>
                <w:color w:val="auto"/>
              </w:rPr>
            </w:pPr>
            <w:r>
              <w:rPr>
                <w:rFonts w:ascii="Arial" w:cs="Arial" w:eastAsia="Arial" w:hAnsi="Arial"/>
                <w:sz w:val="10"/>
                <w:szCs w:val="10"/>
                <w:color w:val="auto"/>
                <w:w w:val="91"/>
              </w:rPr>
              <w:t>8.44%</w:t>
            </w:r>
          </w:p>
        </w:tc>
        <w:tc>
          <w:tcPr>
            <w:tcW w:w="800" w:type="dxa"/>
            <w:vAlign w:val="bottom"/>
          </w:tcPr>
          <w:p>
            <w:pPr>
              <w:jc w:val="center"/>
              <w:ind w:right="153"/>
              <w:spacing w:after="0" w:line="97" w:lineRule="exact"/>
              <w:rPr>
                <w:sz w:val="20"/>
                <w:szCs w:val="20"/>
                <w:color w:val="auto"/>
              </w:rPr>
            </w:pPr>
            <w:r>
              <w:rPr>
                <w:rFonts w:ascii="Arial" w:cs="Arial" w:eastAsia="Arial" w:hAnsi="Arial"/>
                <w:sz w:val="10"/>
                <w:szCs w:val="10"/>
                <w:color w:val="auto"/>
                <w:w w:val="98"/>
              </w:rPr>
              <w:t>8.75%</w:t>
            </w:r>
          </w:p>
        </w:tc>
        <w:tc>
          <w:tcPr>
            <w:tcW w:w="700" w:type="dxa"/>
            <w:vAlign w:val="bottom"/>
            <w:tcBorders>
              <w:right w:val="single" w:sz="8" w:color="auto"/>
            </w:tcBorders>
          </w:tcPr>
          <w:p>
            <w:pPr>
              <w:jc w:val="center"/>
              <w:ind w:right="73"/>
              <w:spacing w:after="0" w:line="97" w:lineRule="exact"/>
              <w:rPr>
                <w:sz w:val="20"/>
                <w:szCs w:val="20"/>
                <w:color w:val="auto"/>
              </w:rPr>
            </w:pPr>
            <w:r>
              <w:rPr>
                <w:rFonts w:ascii="Arial" w:cs="Arial" w:eastAsia="Arial" w:hAnsi="Arial"/>
                <w:sz w:val="10"/>
                <w:szCs w:val="10"/>
                <w:color w:val="auto"/>
                <w:w w:val="91"/>
              </w:rPr>
              <w:t>8.69%</w:t>
            </w:r>
          </w:p>
        </w:tc>
        <w:tc>
          <w:tcPr>
            <w:tcW w:w="560" w:type="dxa"/>
            <w:vAlign w:val="bottom"/>
          </w:tcPr>
          <w:p>
            <w:pPr>
              <w:jc w:val="center"/>
              <w:ind w:left="153"/>
              <w:spacing w:after="0" w:line="97" w:lineRule="exact"/>
              <w:rPr>
                <w:sz w:val="20"/>
                <w:szCs w:val="20"/>
                <w:color w:val="auto"/>
              </w:rPr>
            </w:pPr>
            <w:r>
              <w:rPr>
                <w:rFonts w:ascii="Arial" w:cs="Arial" w:eastAsia="Arial" w:hAnsi="Arial"/>
                <w:sz w:val="10"/>
                <w:szCs w:val="10"/>
                <w:color w:val="auto"/>
                <w:w w:val="95"/>
              </w:rPr>
              <w:t>-6bps</w:t>
            </w:r>
          </w:p>
        </w:tc>
        <w:tc>
          <w:tcPr>
            <w:tcW w:w="1040" w:type="dxa"/>
            <w:vAlign w:val="bottom"/>
            <w:tcBorders>
              <w:right w:val="single" w:sz="8" w:color="auto"/>
            </w:tcBorders>
          </w:tcPr>
          <w:p>
            <w:pPr>
              <w:jc w:val="center"/>
              <w:ind w:left="133"/>
              <w:spacing w:after="0" w:line="97" w:lineRule="exact"/>
              <w:rPr>
                <w:sz w:val="20"/>
                <w:szCs w:val="20"/>
                <w:color w:val="auto"/>
              </w:rPr>
            </w:pPr>
            <w:r>
              <w:rPr>
                <w:rFonts w:ascii="Arial" w:cs="Arial" w:eastAsia="Arial" w:hAnsi="Arial"/>
                <w:sz w:val="10"/>
                <w:szCs w:val="10"/>
                <w:color w:val="auto"/>
                <w:w w:val="95"/>
              </w:rPr>
              <w:t>25bps</w:t>
            </w:r>
          </w:p>
        </w:tc>
        <w:tc>
          <w:tcPr>
            <w:tcW w:w="940" w:type="dxa"/>
            <w:vAlign w:val="bottom"/>
          </w:tcPr>
          <w:p>
            <w:pPr>
              <w:jc w:val="center"/>
              <w:ind w:right="153"/>
              <w:spacing w:after="0" w:line="97" w:lineRule="exact"/>
              <w:rPr>
                <w:sz w:val="20"/>
                <w:szCs w:val="20"/>
                <w:color w:val="auto"/>
              </w:rPr>
            </w:pPr>
            <w:r>
              <w:rPr>
                <w:rFonts w:ascii="Arial" w:cs="Arial" w:eastAsia="Arial" w:hAnsi="Arial"/>
                <w:sz w:val="10"/>
                <w:szCs w:val="10"/>
                <w:color w:val="auto"/>
                <w:w w:val="91"/>
              </w:rPr>
              <w:t>8.27%</w:t>
            </w:r>
          </w:p>
        </w:tc>
        <w:tc>
          <w:tcPr>
            <w:tcW w:w="640" w:type="dxa"/>
            <w:vAlign w:val="bottom"/>
            <w:tcBorders>
              <w:right w:val="single" w:sz="8" w:color="auto"/>
            </w:tcBorders>
          </w:tcPr>
          <w:p>
            <w:pPr>
              <w:jc w:val="center"/>
              <w:ind w:right="153"/>
              <w:spacing w:after="0" w:line="97" w:lineRule="exact"/>
              <w:rPr>
                <w:sz w:val="20"/>
                <w:szCs w:val="20"/>
                <w:color w:val="auto"/>
              </w:rPr>
            </w:pPr>
            <w:r>
              <w:rPr>
                <w:rFonts w:ascii="Arial" w:cs="Arial" w:eastAsia="Arial" w:hAnsi="Arial"/>
                <w:sz w:val="10"/>
                <w:szCs w:val="10"/>
                <w:color w:val="auto"/>
                <w:w w:val="98"/>
              </w:rPr>
              <w:t>8.71%</w:t>
            </w:r>
          </w:p>
        </w:tc>
        <w:tc>
          <w:tcPr>
            <w:tcW w:w="100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0"/>
                <w:szCs w:val="10"/>
                <w:color w:val="auto"/>
                <w:w w:val="95"/>
              </w:rPr>
              <w:t>44bps</w:t>
            </w:r>
          </w:p>
        </w:tc>
        <w:tc>
          <w:tcPr>
            <w:tcW w:w="420" w:type="dxa"/>
            <w:vAlign w:val="bottom"/>
          </w:tcPr>
          <w:p>
            <w:pPr>
              <w:spacing w:after="0"/>
              <w:rPr>
                <w:sz w:val="8"/>
                <w:szCs w:val="8"/>
                <w:color w:val="auto"/>
              </w:rPr>
            </w:pPr>
          </w:p>
        </w:tc>
      </w:tr>
      <w:tr>
        <w:trPr>
          <w:trHeight w:val="103"/>
        </w:trPr>
        <w:tc>
          <w:tcPr>
            <w:tcW w:w="480" w:type="dxa"/>
            <w:vAlign w:val="bottom"/>
            <w:tcBorders>
              <w:right w:val="single" w:sz="8" w:color="auto"/>
            </w:tcBorders>
          </w:tcPr>
          <w:p>
            <w:pPr>
              <w:spacing w:after="0"/>
              <w:rPr>
                <w:sz w:val="8"/>
                <w:szCs w:val="8"/>
                <w:color w:val="auto"/>
              </w:rPr>
            </w:pPr>
          </w:p>
        </w:tc>
        <w:tc>
          <w:tcPr>
            <w:tcW w:w="3840" w:type="dxa"/>
            <w:vAlign w:val="bottom"/>
            <w:tcBorders>
              <w:right w:val="single" w:sz="8" w:color="auto"/>
            </w:tcBorders>
          </w:tcPr>
          <w:p>
            <w:pPr>
              <w:ind w:left="100"/>
              <w:spacing w:after="0" w:line="103" w:lineRule="exact"/>
              <w:rPr>
                <w:sz w:val="20"/>
                <w:szCs w:val="20"/>
                <w:color w:val="auto"/>
              </w:rPr>
            </w:pPr>
            <w:r>
              <w:rPr>
                <w:rFonts w:ascii="Arial" w:cs="Arial" w:eastAsia="Arial" w:hAnsi="Arial"/>
                <w:sz w:val="7"/>
                <w:szCs w:val="7"/>
                <w:color w:val="auto"/>
              </w:rPr>
              <w:t>Cost of Funds</w:t>
            </w:r>
            <w:r>
              <w:rPr>
                <w:rFonts w:ascii="Arial" w:cs="Arial" w:eastAsia="Arial" w:hAnsi="Arial"/>
                <w:sz w:val="11"/>
                <w:szCs w:val="11"/>
                <w:color w:val="auto"/>
                <w:vertAlign w:val="superscript"/>
              </w:rPr>
              <w:t>(1)</w:t>
            </w:r>
          </w:p>
        </w:tc>
        <w:tc>
          <w:tcPr>
            <w:tcW w:w="860" w:type="dxa"/>
            <w:vAlign w:val="bottom"/>
          </w:tcPr>
          <w:p>
            <w:pPr>
              <w:jc w:val="center"/>
              <w:ind w:right="73"/>
              <w:spacing w:after="0" w:line="103" w:lineRule="exact"/>
              <w:rPr>
                <w:sz w:val="20"/>
                <w:szCs w:val="20"/>
                <w:color w:val="auto"/>
              </w:rPr>
            </w:pPr>
            <w:r>
              <w:rPr>
                <w:rFonts w:ascii="Arial" w:cs="Arial" w:eastAsia="Arial" w:hAnsi="Arial"/>
                <w:sz w:val="10"/>
                <w:szCs w:val="10"/>
                <w:color w:val="auto"/>
                <w:w w:val="91"/>
              </w:rPr>
              <w:t>2.91%</w:t>
            </w:r>
          </w:p>
        </w:tc>
        <w:tc>
          <w:tcPr>
            <w:tcW w:w="800" w:type="dxa"/>
            <w:vAlign w:val="bottom"/>
          </w:tcPr>
          <w:p>
            <w:pPr>
              <w:jc w:val="center"/>
              <w:ind w:right="153"/>
              <w:spacing w:after="0" w:line="103" w:lineRule="exact"/>
              <w:rPr>
                <w:sz w:val="20"/>
                <w:szCs w:val="20"/>
                <w:color w:val="auto"/>
              </w:rPr>
            </w:pPr>
            <w:r>
              <w:rPr>
                <w:rFonts w:ascii="Arial" w:cs="Arial" w:eastAsia="Arial" w:hAnsi="Arial"/>
                <w:sz w:val="10"/>
                <w:szCs w:val="10"/>
                <w:color w:val="auto"/>
                <w:w w:val="98"/>
              </w:rPr>
              <w:t>2.98%</w:t>
            </w:r>
          </w:p>
        </w:tc>
        <w:tc>
          <w:tcPr>
            <w:tcW w:w="700" w:type="dxa"/>
            <w:vAlign w:val="bottom"/>
            <w:tcBorders>
              <w:right w:val="single" w:sz="8" w:color="auto"/>
            </w:tcBorders>
          </w:tcPr>
          <w:p>
            <w:pPr>
              <w:jc w:val="center"/>
              <w:ind w:right="73"/>
              <w:spacing w:after="0" w:line="103" w:lineRule="exact"/>
              <w:rPr>
                <w:sz w:val="20"/>
                <w:szCs w:val="20"/>
                <w:color w:val="auto"/>
              </w:rPr>
            </w:pPr>
            <w:r>
              <w:rPr>
                <w:rFonts w:ascii="Arial" w:cs="Arial" w:eastAsia="Arial" w:hAnsi="Arial"/>
                <w:sz w:val="10"/>
                <w:szCs w:val="10"/>
                <w:color w:val="auto"/>
                <w:w w:val="91"/>
              </w:rPr>
              <w:t>2.86%</w:t>
            </w:r>
          </w:p>
        </w:tc>
        <w:tc>
          <w:tcPr>
            <w:tcW w:w="560" w:type="dxa"/>
            <w:vAlign w:val="bottom"/>
          </w:tcPr>
          <w:p>
            <w:pPr>
              <w:jc w:val="center"/>
              <w:ind w:left="173"/>
              <w:spacing w:after="0" w:line="103" w:lineRule="exact"/>
              <w:rPr>
                <w:sz w:val="20"/>
                <w:szCs w:val="20"/>
                <w:color w:val="auto"/>
              </w:rPr>
            </w:pPr>
            <w:r>
              <w:rPr>
                <w:rFonts w:ascii="Arial" w:cs="Arial" w:eastAsia="Arial" w:hAnsi="Arial"/>
                <w:sz w:val="10"/>
                <w:szCs w:val="10"/>
                <w:color w:val="auto"/>
                <w:w w:val="97"/>
              </w:rPr>
              <w:t>-12bps</w:t>
            </w:r>
          </w:p>
        </w:tc>
        <w:tc>
          <w:tcPr>
            <w:tcW w:w="1040" w:type="dxa"/>
            <w:vAlign w:val="bottom"/>
            <w:tcBorders>
              <w:right w:val="single" w:sz="8" w:color="auto"/>
            </w:tcBorders>
          </w:tcPr>
          <w:p>
            <w:pPr>
              <w:jc w:val="center"/>
              <w:ind w:left="153"/>
              <w:spacing w:after="0" w:line="103" w:lineRule="exact"/>
              <w:rPr>
                <w:sz w:val="20"/>
                <w:szCs w:val="20"/>
                <w:color w:val="auto"/>
              </w:rPr>
            </w:pPr>
            <w:r>
              <w:rPr>
                <w:rFonts w:ascii="Arial" w:cs="Arial" w:eastAsia="Arial" w:hAnsi="Arial"/>
                <w:sz w:val="10"/>
                <w:szCs w:val="10"/>
                <w:color w:val="auto"/>
                <w:w w:val="95"/>
              </w:rPr>
              <w:t>-5bps</w:t>
            </w:r>
          </w:p>
        </w:tc>
        <w:tc>
          <w:tcPr>
            <w:tcW w:w="940" w:type="dxa"/>
            <w:vAlign w:val="bottom"/>
          </w:tcPr>
          <w:p>
            <w:pPr>
              <w:jc w:val="center"/>
              <w:ind w:right="153"/>
              <w:spacing w:after="0" w:line="103" w:lineRule="exact"/>
              <w:rPr>
                <w:sz w:val="20"/>
                <w:szCs w:val="20"/>
                <w:color w:val="auto"/>
              </w:rPr>
            </w:pPr>
            <w:r>
              <w:rPr>
                <w:rFonts w:ascii="Arial" w:cs="Arial" w:eastAsia="Arial" w:hAnsi="Arial"/>
                <w:sz w:val="10"/>
                <w:szCs w:val="10"/>
                <w:color w:val="auto"/>
                <w:w w:val="91"/>
              </w:rPr>
              <w:t>2.76%</w:t>
            </w:r>
          </w:p>
        </w:tc>
        <w:tc>
          <w:tcPr>
            <w:tcW w:w="640" w:type="dxa"/>
            <w:vAlign w:val="bottom"/>
            <w:tcBorders>
              <w:right w:val="single" w:sz="8" w:color="auto"/>
            </w:tcBorders>
          </w:tcPr>
          <w:p>
            <w:pPr>
              <w:jc w:val="center"/>
              <w:ind w:right="153"/>
              <w:spacing w:after="0" w:line="103" w:lineRule="exact"/>
              <w:rPr>
                <w:sz w:val="20"/>
                <w:szCs w:val="20"/>
                <w:color w:val="auto"/>
              </w:rPr>
            </w:pPr>
            <w:r>
              <w:rPr>
                <w:rFonts w:ascii="Arial" w:cs="Arial" w:eastAsia="Arial" w:hAnsi="Arial"/>
                <w:sz w:val="10"/>
                <w:szCs w:val="10"/>
                <w:color w:val="auto"/>
                <w:w w:val="98"/>
              </w:rPr>
              <w:t>2.90%</w:t>
            </w:r>
          </w:p>
        </w:tc>
        <w:tc>
          <w:tcPr>
            <w:tcW w:w="10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5"/>
              </w:rPr>
              <w:t>14bps</w:t>
            </w:r>
          </w:p>
        </w:tc>
        <w:tc>
          <w:tcPr>
            <w:tcW w:w="420" w:type="dxa"/>
            <w:vAlign w:val="bottom"/>
          </w:tcPr>
          <w:p>
            <w:pPr>
              <w:spacing w:after="0"/>
              <w:rPr>
                <w:sz w:val="8"/>
                <w:szCs w:val="8"/>
                <w:color w:val="auto"/>
              </w:rPr>
            </w:pPr>
          </w:p>
        </w:tc>
      </w:tr>
      <w:tr>
        <w:trPr>
          <w:trHeight w:val="103"/>
        </w:trPr>
        <w:tc>
          <w:tcPr>
            <w:tcW w:w="480" w:type="dxa"/>
            <w:vAlign w:val="bottom"/>
            <w:tcBorders>
              <w:right w:val="single" w:sz="8" w:color="auto"/>
            </w:tcBorders>
          </w:tcPr>
          <w:p>
            <w:pPr>
              <w:spacing w:after="0"/>
              <w:rPr>
                <w:sz w:val="8"/>
                <w:szCs w:val="8"/>
                <w:color w:val="auto"/>
              </w:rPr>
            </w:pPr>
          </w:p>
        </w:tc>
        <w:tc>
          <w:tcPr>
            <w:tcW w:w="3840" w:type="dxa"/>
            <w:vAlign w:val="bottom"/>
            <w:tcBorders>
              <w:right w:val="single" w:sz="8" w:color="auto"/>
            </w:tcBorders>
          </w:tcPr>
          <w:p>
            <w:pPr>
              <w:ind w:left="100"/>
              <w:spacing w:after="0" w:line="103" w:lineRule="exact"/>
              <w:rPr>
                <w:sz w:val="20"/>
                <w:szCs w:val="20"/>
                <w:color w:val="auto"/>
              </w:rPr>
            </w:pPr>
            <w:r>
              <w:rPr>
                <w:rFonts w:ascii="Arial" w:cs="Arial" w:eastAsia="Arial" w:hAnsi="Arial"/>
                <w:sz w:val="7"/>
                <w:szCs w:val="7"/>
                <w:b w:val="1"/>
                <w:bCs w:val="1"/>
                <w:color w:val="auto"/>
              </w:rPr>
              <w:t>Net Interest Margin (NIM)</w:t>
            </w:r>
            <w:r>
              <w:rPr>
                <w:rFonts w:ascii="Arial" w:cs="Arial" w:eastAsia="Arial" w:hAnsi="Arial"/>
                <w:sz w:val="11"/>
                <w:szCs w:val="11"/>
                <w:b w:val="1"/>
                <w:bCs w:val="1"/>
                <w:color w:val="auto"/>
                <w:vertAlign w:val="superscript"/>
              </w:rPr>
              <w:t>(1)</w:t>
            </w:r>
          </w:p>
        </w:tc>
        <w:tc>
          <w:tcPr>
            <w:tcW w:w="860" w:type="dxa"/>
            <w:vAlign w:val="bottom"/>
          </w:tcPr>
          <w:p>
            <w:pPr>
              <w:jc w:val="center"/>
              <w:ind w:right="73"/>
              <w:spacing w:after="0" w:line="103" w:lineRule="exact"/>
              <w:rPr>
                <w:sz w:val="20"/>
                <w:szCs w:val="20"/>
                <w:color w:val="auto"/>
              </w:rPr>
            </w:pPr>
            <w:r>
              <w:rPr>
                <w:rFonts w:ascii="Arial" w:cs="Arial" w:eastAsia="Arial" w:hAnsi="Arial"/>
                <w:sz w:val="10"/>
                <w:szCs w:val="10"/>
                <w:b w:val="1"/>
                <w:bCs w:val="1"/>
                <w:color w:val="auto"/>
                <w:w w:val="91"/>
              </w:rPr>
              <w:t>6.02%</w:t>
            </w:r>
          </w:p>
        </w:tc>
        <w:tc>
          <w:tcPr>
            <w:tcW w:w="800" w:type="dxa"/>
            <w:vAlign w:val="bottom"/>
          </w:tcPr>
          <w:p>
            <w:pPr>
              <w:jc w:val="center"/>
              <w:ind w:right="153"/>
              <w:spacing w:after="0" w:line="103" w:lineRule="exact"/>
              <w:rPr>
                <w:sz w:val="20"/>
                <w:szCs w:val="20"/>
                <w:color w:val="auto"/>
              </w:rPr>
            </w:pPr>
            <w:r>
              <w:rPr>
                <w:rFonts w:ascii="Arial" w:cs="Arial" w:eastAsia="Arial" w:hAnsi="Arial"/>
                <w:sz w:val="10"/>
                <w:szCs w:val="10"/>
                <w:b w:val="1"/>
                <w:bCs w:val="1"/>
                <w:color w:val="auto"/>
                <w:w w:val="98"/>
              </w:rPr>
              <w:t>6.30%</w:t>
            </w:r>
          </w:p>
        </w:tc>
        <w:tc>
          <w:tcPr>
            <w:tcW w:w="700" w:type="dxa"/>
            <w:vAlign w:val="bottom"/>
            <w:tcBorders>
              <w:right w:val="single" w:sz="8" w:color="auto"/>
            </w:tcBorders>
          </w:tcPr>
          <w:p>
            <w:pPr>
              <w:jc w:val="center"/>
              <w:ind w:right="73"/>
              <w:spacing w:after="0" w:line="103" w:lineRule="exact"/>
              <w:rPr>
                <w:sz w:val="20"/>
                <w:szCs w:val="20"/>
                <w:color w:val="auto"/>
              </w:rPr>
            </w:pPr>
            <w:r>
              <w:rPr>
                <w:rFonts w:ascii="Arial" w:cs="Arial" w:eastAsia="Arial" w:hAnsi="Arial"/>
                <w:sz w:val="10"/>
                <w:szCs w:val="10"/>
                <w:b w:val="1"/>
                <w:bCs w:val="1"/>
                <w:color w:val="auto"/>
                <w:w w:val="91"/>
              </w:rPr>
              <w:t>6.33%</w:t>
            </w:r>
          </w:p>
        </w:tc>
        <w:tc>
          <w:tcPr>
            <w:tcW w:w="560" w:type="dxa"/>
            <w:vAlign w:val="bottom"/>
          </w:tcPr>
          <w:p>
            <w:pPr>
              <w:jc w:val="center"/>
              <w:ind w:left="173"/>
              <w:spacing w:after="0" w:line="103" w:lineRule="exact"/>
              <w:rPr>
                <w:sz w:val="20"/>
                <w:szCs w:val="20"/>
                <w:color w:val="auto"/>
              </w:rPr>
            </w:pPr>
            <w:r>
              <w:rPr>
                <w:rFonts w:ascii="Arial" w:cs="Arial" w:eastAsia="Arial" w:hAnsi="Arial"/>
                <w:sz w:val="10"/>
                <w:szCs w:val="10"/>
                <w:b w:val="1"/>
                <w:bCs w:val="1"/>
                <w:color w:val="auto"/>
                <w:w w:val="94"/>
              </w:rPr>
              <w:t>3bps</w:t>
            </w:r>
          </w:p>
        </w:tc>
        <w:tc>
          <w:tcPr>
            <w:tcW w:w="1040" w:type="dxa"/>
            <w:vAlign w:val="bottom"/>
            <w:tcBorders>
              <w:right w:val="single" w:sz="8" w:color="auto"/>
            </w:tcBorders>
          </w:tcPr>
          <w:p>
            <w:pPr>
              <w:jc w:val="center"/>
              <w:ind w:left="153"/>
              <w:spacing w:after="0" w:line="103" w:lineRule="exact"/>
              <w:rPr>
                <w:sz w:val="20"/>
                <w:szCs w:val="20"/>
                <w:color w:val="auto"/>
              </w:rPr>
            </w:pPr>
            <w:r>
              <w:rPr>
                <w:rFonts w:ascii="Arial" w:cs="Arial" w:eastAsia="Arial" w:hAnsi="Arial"/>
                <w:sz w:val="10"/>
                <w:szCs w:val="10"/>
                <w:b w:val="1"/>
                <w:bCs w:val="1"/>
                <w:color w:val="auto"/>
                <w:w w:val="96"/>
              </w:rPr>
              <w:t>31bps</w:t>
            </w:r>
          </w:p>
        </w:tc>
        <w:tc>
          <w:tcPr>
            <w:tcW w:w="940" w:type="dxa"/>
            <w:vAlign w:val="bottom"/>
          </w:tcPr>
          <w:p>
            <w:pPr>
              <w:jc w:val="center"/>
              <w:ind w:right="153"/>
              <w:spacing w:after="0" w:line="103" w:lineRule="exact"/>
              <w:rPr>
                <w:sz w:val="20"/>
                <w:szCs w:val="20"/>
                <w:color w:val="auto"/>
              </w:rPr>
            </w:pPr>
            <w:r>
              <w:rPr>
                <w:rFonts w:ascii="Arial" w:cs="Arial" w:eastAsia="Arial" w:hAnsi="Arial"/>
                <w:sz w:val="10"/>
                <w:szCs w:val="10"/>
                <w:b w:val="1"/>
                <w:bCs w:val="1"/>
                <w:color w:val="auto"/>
                <w:w w:val="91"/>
              </w:rPr>
              <w:t>5.96%</w:t>
            </w:r>
          </w:p>
        </w:tc>
        <w:tc>
          <w:tcPr>
            <w:tcW w:w="640" w:type="dxa"/>
            <w:vAlign w:val="bottom"/>
            <w:tcBorders>
              <w:right w:val="single" w:sz="8" w:color="auto"/>
            </w:tcBorders>
          </w:tcPr>
          <w:p>
            <w:pPr>
              <w:jc w:val="center"/>
              <w:ind w:right="153"/>
              <w:spacing w:after="0" w:line="103" w:lineRule="exact"/>
              <w:rPr>
                <w:sz w:val="20"/>
                <w:szCs w:val="20"/>
                <w:color w:val="auto"/>
              </w:rPr>
            </w:pPr>
            <w:r>
              <w:rPr>
                <w:rFonts w:ascii="Arial" w:cs="Arial" w:eastAsia="Arial" w:hAnsi="Arial"/>
                <w:sz w:val="10"/>
                <w:szCs w:val="10"/>
                <w:b w:val="1"/>
                <w:bCs w:val="1"/>
                <w:color w:val="auto"/>
                <w:w w:val="98"/>
              </w:rPr>
              <w:t>6.31%</w:t>
            </w:r>
          </w:p>
        </w:tc>
        <w:tc>
          <w:tcPr>
            <w:tcW w:w="10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b w:val="1"/>
                <w:bCs w:val="1"/>
                <w:color w:val="auto"/>
                <w:w w:val="96"/>
              </w:rPr>
              <w:t>35bps</w:t>
            </w:r>
          </w:p>
        </w:tc>
        <w:tc>
          <w:tcPr>
            <w:tcW w:w="420" w:type="dxa"/>
            <w:vAlign w:val="bottom"/>
          </w:tcPr>
          <w:p>
            <w:pPr>
              <w:spacing w:after="0"/>
              <w:rPr>
                <w:sz w:val="8"/>
                <w:szCs w:val="8"/>
                <w:color w:val="auto"/>
              </w:rPr>
            </w:pPr>
          </w:p>
        </w:tc>
      </w:tr>
      <w:tr>
        <w:trPr>
          <w:trHeight w:val="121"/>
        </w:trPr>
        <w:tc>
          <w:tcPr>
            <w:tcW w:w="480" w:type="dxa"/>
            <w:vAlign w:val="bottom"/>
            <w:tcBorders>
              <w:right w:val="single" w:sz="8" w:color="auto"/>
            </w:tcBorders>
          </w:tcPr>
          <w:p>
            <w:pPr>
              <w:spacing w:after="0"/>
              <w:rPr>
                <w:sz w:val="10"/>
                <w:szCs w:val="10"/>
                <w:color w:val="auto"/>
              </w:rPr>
            </w:pPr>
          </w:p>
        </w:tc>
        <w:tc>
          <w:tcPr>
            <w:tcW w:w="3840" w:type="dxa"/>
            <w:vAlign w:val="bottom"/>
            <w:tcBorders>
              <w:bottom w:val="single" w:sz="8" w:color="auto"/>
              <w:right w:val="single" w:sz="8" w:color="auto"/>
            </w:tcBorders>
          </w:tcPr>
          <w:p>
            <w:pPr>
              <w:ind w:left="100"/>
              <w:spacing w:after="0" w:line="122" w:lineRule="exact"/>
              <w:rPr>
                <w:sz w:val="20"/>
                <w:szCs w:val="20"/>
                <w:color w:val="auto"/>
              </w:rPr>
            </w:pPr>
            <w:r>
              <w:rPr>
                <w:rFonts w:ascii="Arial" w:cs="Arial" w:eastAsia="Arial" w:hAnsi="Arial"/>
                <w:sz w:val="9"/>
                <w:szCs w:val="9"/>
                <w:b w:val="1"/>
                <w:bCs w:val="1"/>
                <w:color w:val="auto"/>
              </w:rPr>
              <w:t>Risk-Adjusted Net Interest Margin</w:t>
            </w:r>
            <w:r>
              <w:rPr>
                <w:rFonts w:ascii="Arial" w:cs="Arial" w:eastAsia="Arial" w:hAnsi="Arial"/>
                <w:sz w:val="14"/>
                <w:szCs w:val="14"/>
                <w:b w:val="1"/>
                <w:bCs w:val="1"/>
                <w:color w:val="auto"/>
                <w:vertAlign w:val="superscript"/>
              </w:rPr>
              <w:t>(1)</w:t>
            </w:r>
          </w:p>
        </w:tc>
        <w:tc>
          <w:tcPr>
            <w:tcW w:w="860" w:type="dxa"/>
            <w:vAlign w:val="bottom"/>
            <w:tcBorders>
              <w:bottom w:val="single" w:sz="8" w:color="auto"/>
            </w:tcBorders>
          </w:tcPr>
          <w:p>
            <w:pPr>
              <w:jc w:val="center"/>
              <w:ind w:right="73"/>
              <w:spacing w:after="0"/>
              <w:rPr>
                <w:sz w:val="20"/>
                <w:szCs w:val="20"/>
                <w:color w:val="auto"/>
              </w:rPr>
            </w:pPr>
            <w:r>
              <w:rPr>
                <w:rFonts w:ascii="Arial" w:cs="Arial" w:eastAsia="Arial" w:hAnsi="Arial"/>
                <w:sz w:val="10"/>
                <w:szCs w:val="10"/>
                <w:b w:val="1"/>
                <w:bCs w:val="1"/>
                <w:color w:val="auto"/>
                <w:w w:val="91"/>
              </w:rPr>
              <w:t>4.56%</w:t>
            </w:r>
          </w:p>
        </w:tc>
        <w:tc>
          <w:tcPr>
            <w:tcW w:w="800" w:type="dxa"/>
            <w:vAlign w:val="bottom"/>
            <w:tcBorders>
              <w:bottom w:val="single" w:sz="8" w:color="auto"/>
            </w:tcBorders>
          </w:tcPr>
          <w:p>
            <w:pPr>
              <w:jc w:val="center"/>
              <w:ind w:right="153"/>
              <w:spacing w:after="0"/>
              <w:rPr>
                <w:sz w:val="20"/>
                <w:szCs w:val="20"/>
                <w:color w:val="auto"/>
              </w:rPr>
            </w:pPr>
            <w:r>
              <w:rPr>
                <w:rFonts w:ascii="Arial" w:cs="Arial" w:eastAsia="Arial" w:hAnsi="Arial"/>
                <w:sz w:val="10"/>
                <w:szCs w:val="10"/>
                <w:b w:val="1"/>
                <w:bCs w:val="1"/>
                <w:color w:val="auto"/>
                <w:w w:val="98"/>
              </w:rPr>
              <w:t>4.85%</w:t>
            </w:r>
          </w:p>
        </w:tc>
        <w:tc>
          <w:tcPr>
            <w:tcW w:w="700" w:type="dxa"/>
            <w:vAlign w:val="bottom"/>
            <w:tcBorders>
              <w:bottom w:val="single" w:sz="8" w:color="auto"/>
              <w:right w:val="single" w:sz="8" w:color="auto"/>
            </w:tcBorders>
          </w:tcPr>
          <w:p>
            <w:pPr>
              <w:jc w:val="center"/>
              <w:ind w:right="73"/>
              <w:spacing w:after="0"/>
              <w:rPr>
                <w:sz w:val="20"/>
                <w:szCs w:val="20"/>
                <w:color w:val="auto"/>
              </w:rPr>
            </w:pPr>
            <w:r>
              <w:rPr>
                <w:rFonts w:ascii="Arial" w:cs="Arial" w:eastAsia="Arial" w:hAnsi="Arial"/>
                <w:sz w:val="10"/>
                <w:szCs w:val="10"/>
                <w:b w:val="1"/>
                <w:bCs w:val="1"/>
                <w:color w:val="auto"/>
                <w:w w:val="91"/>
              </w:rPr>
              <w:t>4.40%</w:t>
            </w:r>
          </w:p>
        </w:tc>
        <w:tc>
          <w:tcPr>
            <w:tcW w:w="560" w:type="dxa"/>
            <w:vAlign w:val="bottom"/>
            <w:tcBorders>
              <w:bottom w:val="single" w:sz="8" w:color="auto"/>
            </w:tcBorders>
          </w:tcPr>
          <w:p>
            <w:pPr>
              <w:jc w:val="center"/>
              <w:ind w:left="173"/>
              <w:spacing w:after="0"/>
              <w:rPr>
                <w:sz w:val="20"/>
                <w:szCs w:val="20"/>
                <w:color w:val="auto"/>
              </w:rPr>
            </w:pPr>
            <w:r>
              <w:rPr>
                <w:rFonts w:ascii="Arial" w:cs="Arial" w:eastAsia="Arial" w:hAnsi="Arial"/>
                <w:sz w:val="10"/>
                <w:szCs w:val="10"/>
                <w:b w:val="1"/>
                <w:bCs w:val="1"/>
                <w:color w:val="auto"/>
                <w:w w:val="92"/>
              </w:rPr>
              <w:t>-45bps</w:t>
            </w:r>
          </w:p>
        </w:tc>
        <w:tc>
          <w:tcPr>
            <w:tcW w:w="1040" w:type="dxa"/>
            <w:vAlign w:val="bottom"/>
            <w:tcBorders>
              <w:bottom w:val="single" w:sz="8" w:color="auto"/>
              <w:right w:val="single" w:sz="8" w:color="auto"/>
            </w:tcBorders>
          </w:tcPr>
          <w:p>
            <w:pPr>
              <w:jc w:val="center"/>
              <w:ind w:left="153"/>
              <w:spacing w:after="0"/>
              <w:rPr>
                <w:sz w:val="20"/>
                <w:szCs w:val="20"/>
                <w:color w:val="auto"/>
              </w:rPr>
            </w:pPr>
            <w:r>
              <w:rPr>
                <w:rFonts w:ascii="Arial" w:cs="Arial" w:eastAsia="Arial" w:hAnsi="Arial"/>
                <w:sz w:val="10"/>
                <w:szCs w:val="10"/>
                <w:b w:val="1"/>
                <w:bCs w:val="1"/>
                <w:color w:val="auto"/>
                <w:w w:val="99"/>
              </w:rPr>
              <w:t>-16bps</w:t>
            </w:r>
          </w:p>
        </w:tc>
        <w:tc>
          <w:tcPr>
            <w:tcW w:w="940" w:type="dxa"/>
            <w:vAlign w:val="bottom"/>
            <w:tcBorders>
              <w:bottom w:val="single" w:sz="8" w:color="auto"/>
            </w:tcBorders>
          </w:tcPr>
          <w:p>
            <w:pPr>
              <w:jc w:val="center"/>
              <w:ind w:right="153"/>
              <w:spacing w:after="0"/>
              <w:rPr>
                <w:sz w:val="20"/>
                <w:szCs w:val="20"/>
                <w:color w:val="auto"/>
              </w:rPr>
            </w:pPr>
            <w:r>
              <w:rPr>
                <w:rFonts w:ascii="Arial" w:cs="Arial" w:eastAsia="Arial" w:hAnsi="Arial"/>
                <w:sz w:val="10"/>
                <w:szCs w:val="10"/>
                <w:b w:val="1"/>
                <w:bCs w:val="1"/>
                <w:color w:val="auto"/>
                <w:w w:val="91"/>
              </w:rPr>
              <w:t>4.57%</w:t>
            </w:r>
          </w:p>
        </w:tc>
        <w:tc>
          <w:tcPr>
            <w:tcW w:w="640" w:type="dxa"/>
            <w:vAlign w:val="bottom"/>
            <w:tcBorders>
              <w:bottom w:val="single" w:sz="8" w:color="auto"/>
              <w:right w:val="single" w:sz="8" w:color="auto"/>
            </w:tcBorders>
          </w:tcPr>
          <w:p>
            <w:pPr>
              <w:jc w:val="center"/>
              <w:ind w:right="153"/>
              <w:spacing w:after="0"/>
              <w:rPr>
                <w:sz w:val="20"/>
                <w:szCs w:val="20"/>
                <w:color w:val="auto"/>
              </w:rPr>
            </w:pPr>
            <w:r>
              <w:rPr>
                <w:rFonts w:ascii="Arial" w:cs="Arial" w:eastAsia="Arial" w:hAnsi="Arial"/>
                <w:sz w:val="10"/>
                <w:szCs w:val="10"/>
                <w:b w:val="1"/>
                <w:bCs w:val="1"/>
                <w:color w:val="auto"/>
                <w:w w:val="98"/>
              </w:rPr>
              <w:t>4.62%</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5bps</w:t>
            </w:r>
          </w:p>
        </w:tc>
        <w:tc>
          <w:tcPr>
            <w:tcW w:w="420" w:type="dxa"/>
            <w:vAlign w:val="bottom"/>
          </w:tcPr>
          <w:p>
            <w:pPr>
              <w:spacing w:after="0"/>
              <w:rPr>
                <w:sz w:val="10"/>
                <w:szCs w:val="10"/>
                <w:color w:val="auto"/>
              </w:rPr>
            </w:pPr>
          </w:p>
        </w:tc>
      </w:tr>
      <w:tr>
        <w:trPr>
          <w:trHeight w:val="79"/>
        </w:trPr>
        <w:tc>
          <w:tcPr>
            <w:tcW w:w="480" w:type="dxa"/>
            <w:vAlign w:val="bottom"/>
            <w:tcBorders>
              <w:right w:val="single" w:sz="8" w:color="auto"/>
            </w:tcBorders>
          </w:tcPr>
          <w:p>
            <w:pPr>
              <w:spacing w:after="0"/>
              <w:rPr>
                <w:sz w:val="6"/>
                <w:szCs w:val="6"/>
                <w:color w:val="auto"/>
              </w:rPr>
            </w:pPr>
          </w:p>
        </w:tc>
        <w:tc>
          <w:tcPr>
            <w:tcW w:w="3840" w:type="dxa"/>
            <w:vAlign w:val="bottom"/>
            <w:tcBorders>
              <w:right w:val="single" w:sz="8" w:color="auto"/>
            </w:tcBorders>
          </w:tcPr>
          <w:p>
            <w:pPr>
              <w:ind w:left="100"/>
              <w:spacing w:after="0" w:line="79" w:lineRule="exact"/>
              <w:rPr>
                <w:sz w:val="20"/>
                <w:szCs w:val="20"/>
                <w:color w:val="auto"/>
              </w:rPr>
            </w:pPr>
            <w:r>
              <w:rPr>
                <w:rFonts w:ascii="Arial" w:cs="Arial" w:eastAsia="Arial" w:hAnsi="Arial"/>
                <w:sz w:val="8"/>
                <w:szCs w:val="8"/>
                <w:b w:val="1"/>
                <w:bCs w:val="1"/>
                <w:color w:val="auto"/>
              </w:rPr>
              <w:t>Peru’s Reference Rate</w:t>
            </w:r>
          </w:p>
        </w:tc>
        <w:tc>
          <w:tcPr>
            <w:tcW w:w="860" w:type="dxa"/>
            <w:vAlign w:val="bottom"/>
          </w:tcPr>
          <w:p>
            <w:pPr>
              <w:jc w:val="center"/>
              <w:ind w:right="73"/>
              <w:spacing w:after="0" w:line="79" w:lineRule="exact"/>
              <w:rPr>
                <w:sz w:val="20"/>
                <w:szCs w:val="20"/>
                <w:color w:val="auto"/>
              </w:rPr>
            </w:pPr>
            <w:r>
              <w:rPr>
                <w:rFonts w:ascii="Arial" w:cs="Arial" w:eastAsia="Arial" w:hAnsi="Arial"/>
                <w:sz w:val="8"/>
                <w:szCs w:val="8"/>
                <w:b w:val="1"/>
                <w:bCs w:val="1"/>
                <w:color w:val="auto"/>
              </w:rPr>
              <w:t>7.75%</w:t>
            </w:r>
          </w:p>
        </w:tc>
        <w:tc>
          <w:tcPr>
            <w:tcW w:w="800" w:type="dxa"/>
            <w:vAlign w:val="bottom"/>
          </w:tcPr>
          <w:p>
            <w:pPr>
              <w:jc w:val="center"/>
              <w:ind w:right="153"/>
              <w:spacing w:after="0" w:line="79" w:lineRule="exact"/>
              <w:rPr>
                <w:sz w:val="20"/>
                <w:szCs w:val="20"/>
                <w:color w:val="auto"/>
              </w:rPr>
            </w:pPr>
            <w:r>
              <w:rPr>
                <w:rFonts w:ascii="Arial" w:cs="Arial" w:eastAsia="Arial" w:hAnsi="Arial"/>
                <w:sz w:val="8"/>
                <w:szCs w:val="8"/>
                <w:b w:val="1"/>
                <w:bCs w:val="1"/>
                <w:color w:val="auto"/>
              </w:rPr>
              <w:t>6.25%</w:t>
            </w:r>
          </w:p>
        </w:tc>
        <w:tc>
          <w:tcPr>
            <w:tcW w:w="700" w:type="dxa"/>
            <w:vAlign w:val="bottom"/>
            <w:tcBorders>
              <w:right w:val="single" w:sz="8" w:color="auto"/>
            </w:tcBorders>
          </w:tcPr>
          <w:p>
            <w:pPr>
              <w:jc w:val="center"/>
              <w:ind w:right="73"/>
              <w:spacing w:after="0" w:line="79" w:lineRule="exact"/>
              <w:rPr>
                <w:sz w:val="20"/>
                <w:szCs w:val="20"/>
                <w:color w:val="auto"/>
              </w:rPr>
            </w:pPr>
            <w:r>
              <w:rPr>
                <w:rFonts w:ascii="Arial" w:cs="Arial" w:eastAsia="Arial" w:hAnsi="Arial"/>
                <w:sz w:val="8"/>
                <w:szCs w:val="8"/>
                <w:b w:val="1"/>
                <w:bCs w:val="1"/>
                <w:color w:val="auto"/>
              </w:rPr>
              <w:t>5.75%</w:t>
            </w:r>
          </w:p>
        </w:tc>
        <w:tc>
          <w:tcPr>
            <w:tcW w:w="560" w:type="dxa"/>
            <w:vAlign w:val="bottom"/>
          </w:tcPr>
          <w:p>
            <w:pPr>
              <w:jc w:val="center"/>
              <w:ind w:left="173"/>
              <w:spacing w:after="0" w:line="79" w:lineRule="exact"/>
              <w:rPr>
                <w:sz w:val="20"/>
                <w:szCs w:val="20"/>
                <w:color w:val="auto"/>
              </w:rPr>
            </w:pPr>
            <w:r>
              <w:rPr>
                <w:rFonts w:ascii="Arial" w:cs="Arial" w:eastAsia="Arial" w:hAnsi="Arial"/>
                <w:sz w:val="8"/>
                <w:szCs w:val="8"/>
                <w:b w:val="1"/>
                <w:bCs w:val="1"/>
                <w:color w:val="auto"/>
              </w:rPr>
              <w:t>-50bps</w:t>
            </w:r>
          </w:p>
        </w:tc>
        <w:tc>
          <w:tcPr>
            <w:tcW w:w="1040" w:type="dxa"/>
            <w:vAlign w:val="bottom"/>
            <w:tcBorders>
              <w:right w:val="single" w:sz="8" w:color="auto"/>
            </w:tcBorders>
          </w:tcPr>
          <w:p>
            <w:pPr>
              <w:jc w:val="center"/>
              <w:ind w:left="153"/>
              <w:spacing w:after="0" w:line="79" w:lineRule="exact"/>
              <w:rPr>
                <w:sz w:val="20"/>
                <w:szCs w:val="20"/>
                <w:color w:val="auto"/>
              </w:rPr>
            </w:pPr>
            <w:r>
              <w:rPr>
                <w:rFonts w:ascii="Arial" w:cs="Arial" w:eastAsia="Arial" w:hAnsi="Arial"/>
                <w:sz w:val="8"/>
                <w:szCs w:val="8"/>
                <w:b w:val="1"/>
                <w:bCs w:val="1"/>
                <w:color w:val="auto"/>
              </w:rPr>
              <w:t>-200bps</w:t>
            </w:r>
          </w:p>
        </w:tc>
        <w:tc>
          <w:tcPr>
            <w:tcW w:w="940" w:type="dxa"/>
            <w:vAlign w:val="bottom"/>
          </w:tcPr>
          <w:p>
            <w:pPr>
              <w:jc w:val="center"/>
              <w:ind w:right="153"/>
              <w:spacing w:after="0" w:line="79" w:lineRule="exact"/>
              <w:rPr>
                <w:sz w:val="20"/>
                <w:szCs w:val="20"/>
                <w:color w:val="auto"/>
              </w:rPr>
            </w:pPr>
            <w:r>
              <w:rPr>
                <w:rFonts w:ascii="Arial" w:cs="Arial" w:eastAsia="Arial" w:hAnsi="Arial"/>
                <w:sz w:val="8"/>
                <w:szCs w:val="8"/>
                <w:b w:val="1"/>
                <w:bCs w:val="1"/>
                <w:color w:val="auto"/>
              </w:rPr>
              <w:t>7.75%</w:t>
            </w:r>
          </w:p>
        </w:tc>
        <w:tc>
          <w:tcPr>
            <w:tcW w:w="640" w:type="dxa"/>
            <w:vAlign w:val="bottom"/>
            <w:tcBorders>
              <w:right w:val="single" w:sz="8" w:color="auto"/>
            </w:tcBorders>
          </w:tcPr>
          <w:p>
            <w:pPr>
              <w:jc w:val="center"/>
              <w:ind w:right="153"/>
              <w:spacing w:after="0" w:line="79" w:lineRule="exact"/>
              <w:rPr>
                <w:sz w:val="20"/>
                <w:szCs w:val="20"/>
                <w:color w:val="auto"/>
              </w:rPr>
            </w:pPr>
            <w:r>
              <w:rPr>
                <w:rFonts w:ascii="Arial" w:cs="Arial" w:eastAsia="Arial" w:hAnsi="Arial"/>
                <w:sz w:val="8"/>
                <w:szCs w:val="8"/>
                <w:b w:val="1"/>
                <w:bCs w:val="1"/>
                <w:color w:val="auto"/>
              </w:rPr>
              <w:t>5.75%</w:t>
            </w:r>
          </w:p>
        </w:tc>
        <w:tc>
          <w:tcPr>
            <w:tcW w:w="1000" w:type="dxa"/>
            <w:vAlign w:val="bottom"/>
            <w:tcBorders>
              <w:right w:val="single" w:sz="8" w:color="auto"/>
            </w:tcBorders>
          </w:tcPr>
          <w:p>
            <w:pPr>
              <w:jc w:val="center"/>
              <w:spacing w:after="0" w:line="79" w:lineRule="exact"/>
              <w:rPr>
                <w:sz w:val="20"/>
                <w:szCs w:val="20"/>
                <w:color w:val="auto"/>
              </w:rPr>
            </w:pPr>
            <w:r>
              <w:rPr>
                <w:rFonts w:ascii="Arial" w:cs="Arial" w:eastAsia="Arial" w:hAnsi="Arial"/>
                <w:sz w:val="8"/>
                <w:szCs w:val="8"/>
                <w:b w:val="1"/>
                <w:bCs w:val="1"/>
                <w:color w:val="auto"/>
              </w:rPr>
              <w:t>-200bps</w:t>
            </w:r>
          </w:p>
        </w:tc>
        <w:tc>
          <w:tcPr>
            <w:tcW w:w="420" w:type="dxa"/>
            <w:vAlign w:val="bottom"/>
          </w:tcPr>
          <w:p>
            <w:pPr>
              <w:spacing w:after="0"/>
              <w:rPr>
                <w:sz w:val="6"/>
                <w:szCs w:val="6"/>
                <w:color w:val="auto"/>
              </w:rPr>
            </w:pPr>
          </w:p>
        </w:tc>
      </w:tr>
      <w:tr>
        <w:trPr>
          <w:trHeight w:val="117"/>
        </w:trPr>
        <w:tc>
          <w:tcPr>
            <w:tcW w:w="480" w:type="dxa"/>
            <w:vAlign w:val="bottom"/>
            <w:tcBorders>
              <w:right w:val="single" w:sz="8" w:color="auto"/>
            </w:tcBorders>
          </w:tcPr>
          <w:p>
            <w:pPr>
              <w:spacing w:after="0"/>
              <w:rPr>
                <w:sz w:val="10"/>
                <w:szCs w:val="10"/>
                <w:color w:val="auto"/>
              </w:rPr>
            </w:pPr>
          </w:p>
        </w:tc>
        <w:tc>
          <w:tcPr>
            <w:tcW w:w="3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0"/>
                <w:szCs w:val="10"/>
                <w:b w:val="1"/>
                <w:bCs w:val="1"/>
                <w:color w:val="auto"/>
              </w:rPr>
              <w:t>FED funds rate</w:t>
            </w:r>
          </w:p>
        </w:tc>
        <w:tc>
          <w:tcPr>
            <w:tcW w:w="860" w:type="dxa"/>
            <w:vAlign w:val="bottom"/>
            <w:tcBorders>
              <w:bottom w:val="single" w:sz="8" w:color="auto"/>
            </w:tcBorders>
          </w:tcPr>
          <w:p>
            <w:pPr>
              <w:jc w:val="center"/>
              <w:ind w:right="73"/>
              <w:spacing w:after="0"/>
              <w:rPr>
                <w:sz w:val="20"/>
                <w:szCs w:val="20"/>
                <w:color w:val="auto"/>
              </w:rPr>
            </w:pPr>
            <w:r>
              <w:rPr>
                <w:rFonts w:ascii="Arial" w:cs="Arial" w:eastAsia="Arial" w:hAnsi="Arial"/>
                <w:sz w:val="10"/>
                <w:szCs w:val="10"/>
                <w:b w:val="1"/>
                <w:bCs w:val="1"/>
                <w:color w:val="auto"/>
                <w:w w:val="91"/>
              </w:rPr>
              <w:t>5.25%</w:t>
            </w:r>
          </w:p>
        </w:tc>
        <w:tc>
          <w:tcPr>
            <w:tcW w:w="800" w:type="dxa"/>
            <w:vAlign w:val="bottom"/>
            <w:tcBorders>
              <w:bottom w:val="single" w:sz="8" w:color="auto"/>
            </w:tcBorders>
          </w:tcPr>
          <w:p>
            <w:pPr>
              <w:jc w:val="center"/>
              <w:ind w:right="153"/>
              <w:spacing w:after="0"/>
              <w:rPr>
                <w:sz w:val="20"/>
                <w:szCs w:val="20"/>
                <w:color w:val="auto"/>
              </w:rPr>
            </w:pPr>
            <w:r>
              <w:rPr>
                <w:rFonts w:ascii="Arial" w:cs="Arial" w:eastAsia="Arial" w:hAnsi="Arial"/>
                <w:sz w:val="10"/>
                <w:szCs w:val="10"/>
                <w:b w:val="1"/>
                <w:bCs w:val="1"/>
                <w:color w:val="auto"/>
                <w:w w:val="98"/>
              </w:rPr>
              <w:t>5.50%</w:t>
            </w:r>
          </w:p>
        </w:tc>
        <w:tc>
          <w:tcPr>
            <w:tcW w:w="700" w:type="dxa"/>
            <w:vAlign w:val="bottom"/>
            <w:tcBorders>
              <w:bottom w:val="single" w:sz="8" w:color="auto"/>
              <w:right w:val="single" w:sz="8" w:color="auto"/>
            </w:tcBorders>
          </w:tcPr>
          <w:p>
            <w:pPr>
              <w:jc w:val="center"/>
              <w:ind w:right="73"/>
              <w:spacing w:after="0"/>
              <w:rPr>
                <w:sz w:val="20"/>
                <w:szCs w:val="20"/>
                <w:color w:val="auto"/>
              </w:rPr>
            </w:pPr>
            <w:r>
              <w:rPr>
                <w:rFonts w:ascii="Arial" w:cs="Arial" w:eastAsia="Arial" w:hAnsi="Arial"/>
                <w:sz w:val="10"/>
                <w:szCs w:val="10"/>
                <w:b w:val="1"/>
                <w:bCs w:val="1"/>
                <w:color w:val="auto"/>
                <w:w w:val="91"/>
              </w:rPr>
              <w:t>5.50%</w:t>
            </w:r>
          </w:p>
        </w:tc>
        <w:tc>
          <w:tcPr>
            <w:tcW w:w="560" w:type="dxa"/>
            <w:vAlign w:val="bottom"/>
            <w:tcBorders>
              <w:bottom w:val="single" w:sz="8" w:color="auto"/>
            </w:tcBorders>
          </w:tcPr>
          <w:p>
            <w:pPr>
              <w:jc w:val="center"/>
              <w:ind w:left="173"/>
              <w:spacing w:after="0"/>
              <w:rPr>
                <w:sz w:val="20"/>
                <w:szCs w:val="20"/>
                <w:color w:val="auto"/>
              </w:rPr>
            </w:pPr>
            <w:r>
              <w:rPr>
                <w:rFonts w:ascii="Arial" w:cs="Arial" w:eastAsia="Arial" w:hAnsi="Arial"/>
                <w:sz w:val="10"/>
                <w:szCs w:val="10"/>
                <w:b w:val="1"/>
                <w:bCs w:val="1"/>
                <w:color w:val="auto"/>
                <w:w w:val="94"/>
              </w:rPr>
              <w:t>0bps</w:t>
            </w:r>
          </w:p>
        </w:tc>
        <w:tc>
          <w:tcPr>
            <w:tcW w:w="1040" w:type="dxa"/>
            <w:vAlign w:val="bottom"/>
            <w:tcBorders>
              <w:bottom w:val="single" w:sz="8" w:color="auto"/>
              <w:right w:val="single" w:sz="8" w:color="auto"/>
            </w:tcBorders>
          </w:tcPr>
          <w:p>
            <w:pPr>
              <w:jc w:val="center"/>
              <w:ind w:left="153"/>
              <w:spacing w:after="0"/>
              <w:rPr>
                <w:sz w:val="20"/>
                <w:szCs w:val="20"/>
                <w:color w:val="auto"/>
              </w:rPr>
            </w:pPr>
            <w:r>
              <w:rPr>
                <w:rFonts w:ascii="Arial" w:cs="Arial" w:eastAsia="Arial" w:hAnsi="Arial"/>
                <w:sz w:val="10"/>
                <w:szCs w:val="10"/>
                <w:b w:val="1"/>
                <w:bCs w:val="1"/>
                <w:color w:val="auto"/>
                <w:w w:val="96"/>
              </w:rPr>
              <w:t>25bps</w:t>
            </w:r>
          </w:p>
        </w:tc>
        <w:tc>
          <w:tcPr>
            <w:tcW w:w="940" w:type="dxa"/>
            <w:vAlign w:val="bottom"/>
            <w:tcBorders>
              <w:bottom w:val="single" w:sz="8" w:color="auto"/>
            </w:tcBorders>
          </w:tcPr>
          <w:p>
            <w:pPr>
              <w:jc w:val="center"/>
              <w:ind w:right="153"/>
              <w:spacing w:after="0"/>
              <w:rPr>
                <w:sz w:val="20"/>
                <w:szCs w:val="20"/>
                <w:color w:val="auto"/>
              </w:rPr>
            </w:pPr>
            <w:r>
              <w:rPr>
                <w:rFonts w:ascii="Arial" w:cs="Arial" w:eastAsia="Arial" w:hAnsi="Arial"/>
                <w:sz w:val="10"/>
                <w:szCs w:val="10"/>
                <w:b w:val="1"/>
                <w:bCs w:val="1"/>
                <w:color w:val="auto"/>
                <w:w w:val="91"/>
              </w:rPr>
              <w:t>5.25%</w:t>
            </w:r>
          </w:p>
        </w:tc>
        <w:tc>
          <w:tcPr>
            <w:tcW w:w="640" w:type="dxa"/>
            <w:vAlign w:val="bottom"/>
            <w:tcBorders>
              <w:bottom w:val="single" w:sz="8" w:color="auto"/>
              <w:right w:val="single" w:sz="8" w:color="auto"/>
            </w:tcBorders>
          </w:tcPr>
          <w:p>
            <w:pPr>
              <w:jc w:val="center"/>
              <w:ind w:right="153"/>
              <w:spacing w:after="0"/>
              <w:rPr>
                <w:sz w:val="20"/>
                <w:szCs w:val="20"/>
                <w:color w:val="auto"/>
              </w:rPr>
            </w:pPr>
            <w:r>
              <w:rPr>
                <w:rFonts w:ascii="Arial" w:cs="Arial" w:eastAsia="Arial" w:hAnsi="Arial"/>
                <w:sz w:val="10"/>
                <w:szCs w:val="10"/>
                <w:b w:val="1"/>
                <w:bCs w:val="1"/>
                <w:color w:val="auto"/>
                <w:w w:val="98"/>
              </w:rPr>
              <w:t>5.50%</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25bps</w:t>
            </w:r>
          </w:p>
        </w:tc>
        <w:tc>
          <w:tcPr>
            <w:tcW w:w="420" w:type="dxa"/>
            <w:vAlign w:val="bottom"/>
          </w:tcPr>
          <w:p>
            <w:pPr>
              <w:spacing w:after="0"/>
              <w:rPr>
                <w:sz w:val="10"/>
                <w:szCs w:val="10"/>
                <w:color w:val="auto"/>
              </w:rPr>
            </w:pPr>
          </w:p>
        </w:tc>
      </w:tr>
    </w:tbl>
    <w:p>
      <w:pPr>
        <w:spacing w:after="0" w:line="8" w:lineRule="exact"/>
        <w:rPr>
          <w:sz w:val="20"/>
          <w:szCs w:val="20"/>
          <w:color w:val="auto"/>
        </w:rPr>
      </w:pPr>
    </w:p>
    <w:p>
      <w:pPr>
        <w:ind w:left="460"/>
        <w:spacing w:after="0"/>
        <w:rPr>
          <w:sz w:val="20"/>
          <w:szCs w:val="20"/>
          <w:color w:val="auto"/>
        </w:rPr>
      </w:pPr>
      <w:r>
        <w:rPr>
          <w:rFonts w:ascii="Arial" w:cs="Arial" w:eastAsia="Arial" w:hAnsi="Arial"/>
          <w:sz w:val="10"/>
          <w:szCs w:val="10"/>
          <w:color w:val="auto"/>
        </w:rPr>
        <w:t>(1) For further detail on the NIM and Cost of Funds calculation, please refer to Annex 12.7</w:t>
      </w:r>
    </w:p>
    <w:p>
      <w:pPr>
        <w:spacing w:after="0" w:line="142" w:lineRule="exact"/>
        <w:rPr>
          <w:sz w:val="20"/>
          <w:szCs w:val="20"/>
          <w:color w:val="auto"/>
        </w:rPr>
      </w:pPr>
    </w:p>
    <w:p>
      <w:pPr>
        <w:jc w:val="both"/>
        <w:ind w:left="460" w:right="440"/>
        <w:spacing w:after="0" w:line="264" w:lineRule="auto"/>
        <w:rPr>
          <w:sz w:val="20"/>
          <w:szCs w:val="20"/>
          <w:color w:val="auto"/>
        </w:rPr>
      </w:pPr>
      <w:r>
        <w:rPr>
          <w:rFonts w:ascii="Arial" w:cs="Arial" w:eastAsia="Arial" w:hAnsi="Arial"/>
          <w:sz w:val="13"/>
          <w:szCs w:val="13"/>
          <w:color w:val="auto"/>
        </w:rPr>
        <w:t>QoQ, Net interest income (NII) rose 1.2%. This evolution was driven primarily by a decrease in Interest and similar expenses and was driven by a drop in interest expenses for deposits, which reflected growth in low-cost deposits through fund inflows from AFP withdrawals. The time deposit balance fell, resulting in a less expensive deposit mix. Interest and similar income also contributed to growth in NII, albeit to a lesser extent, and rose on the back of loan growth. This quarter, an uptick in Wholesale Banking loans, and in short-term corporate loans in particular, generated a positive volume effect on loan income, which offset the impact of lower rates.</w:t>
      </w:r>
    </w:p>
    <w:p>
      <w:pPr>
        <w:spacing w:after="0" w:line="114" w:lineRule="exact"/>
        <w:rPr>
          <w:sz w:val="20"/>
          <w:szCs w:val="20"/>
          <w:color w:val="auto"/>
        </w:rPr>
      </w:pPr>
    </w:p>
    <w:p>
      <w:pPr>
        <w:jc w:val="both"/>
        <w:ind w:left="460" w:right="440"/>
        <w:spacing w:after="0" w:line="235" w:lineRule="auto"/>
        <w:rPr>
          <w:sz w:val="20"/>
          <w:szCs w:val="20"/>
          <w:color w:val="auto"/>
        </w:rPr>
      </w:pPr>
      <w:r>
        <w:rPr>
          <w:rFonts w:ascii="Arial" w:cs="Arial" w:eastAsia="Arial" w:hAnsi="Arial"/>
          <w:sz w:val="14"/>
          <w:szCs w:val="14"/>
          <w:color w:val="auto"/>
        </w:rPr>
        <w:t>YoY, NII increased 8.2% via growth in Interest and similar income. This evolution was driven primarily by an increase in income from loans, which was spurred by loan growth via SME-Pyme, SME Business and Middle Market Banking at BCP. Growth in Middle Market loans reflected an uptick in demand for working capital loans for the fishing campaign in 2Q24. Excluding GP amortizations, SME- Pyme loans at BCP increased due to higher disbursements, which were issued at more favorable rates this quarter. Adequate ris k valuation helped sustain the upward trend in income from loans. A positive volume effect in income from investments, which reflected our strategy to increase our position in sovereign bonds, was a secondary driver in growth in interest and similar income, followed by an increase in income from deposits in other banks. Interest and similar expenses attenuated NII’s advance via an increase in expenses for bonds and subordinated notes, which was driven by an issuance at BCP at the beginning of the year.</w:t>
      </w:r>
    </w:p>
    <w:p>
      <w:pPr>
        <w:spacing w:after="0" w:line="131" w:lineRule="exact"/>
        <w:rPr>
          <w:sz w:val="20"/>
          <w:szCs w:val="20"/>
          <w:color w:val="auto"/>
        </w:rPr>
      </w:pPr>
    </w:p>
    <w:p>
      <w:pPr>
        <w:jc w:val="both"/>
        <w:ind w:left="460" w:right="440"/>
        <w:spacing w:after="0" w:line="258" w:lineRule="auto"/>
        <w:rPr>
          <w:sz w:val="20"/>
          <w:szCs w:val="20"/>
          <w:color w:val="auto"/>
        </w:rPr>
      </w:pPr>
      <w:r>
        <w:rPr>
          <w:rFonts w:ascii="Arial" w:cs="Arial" w:eastAsia="Arial" w:hAnsi="Arial"/>
          <w:sz w:val="14"/>
          <w:szCs w:val="14"/>
          <w:color w:val="auto"/>
        </w:rPr>
        <w:t>YTD, NII rose 8.8% 2Q24. This evolution was fueled by growth in Interest and similar income via an increase in income from loans and offset by an increase in Interest and similar expenses, which was driven by an uptick in the time deposit volume in US Dollars in a context in which the Fed elevated its policy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611505</wp:posOffset>
            </wp:positionV>
            <wp:extent cx="7164705" cy="133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81915</wp:posOffset>
            </wp:positionV>
            <wp:extent cx="1502410" cy="44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219075</wp:posOffset>
            </wp:positionV>
            <wp:extent cx="1685290" cy="3067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685290" cy="306705"/>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27" w:name="page28"/>
    <w:bookmarkEnd w:id="27"/>
    <w:p>
      <w:pPr>
        <w:jc w:val="both"/>
        <w:ind w:left="2380"/>
        <w:spacing w:after="0"/>
        <w:tabs>
          <w:tab w:leader="none" w:pos="2580" w:val="left"/>
          <w:tab w:leader="none" w:pos="7540"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619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705" cy="561975"/>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04. Net Interest Income (NII)</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Net Interest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4364355</wp:posOffset>
            </wp:positionH>
            <wp:positionV relativeFrom="paragraph">
              <wp:posOffset>-92075</wp:posOffset>
            </wp:positionV>
            <wp:extent cx="2279650" cy="12668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279650" cy="1266825"/>
                    </a:xfrm>
                    <a:prstGeom prst="rect">
                      <a:avLst/>
                    </a:prstGeom>
                    <a:noFill/>
                  </pic:spPr>
                </pic:pic>
              </a:graphicData>
            </a:graphic>
          </wp:anchor>
        </w:drawing>
      </w:r>
    </w:p>
    <w:p>
      <w:pPr>
        <w:spacing w:after="0" w:line="130" w:lineRule="exact"/>
        <w:rPr>
          <w:sz w:val="20"/>
          <w:szCs w:val="20"/>
          <w:color w:val="auto"/>
        </w:rPr>
      </w:pPr>
    </w:p>
    <w:p>
      <w:pPr>
        <w:jc w:val="both"/>
        <w:ind w:left="120" w:right="5300"/>
        <w:spacing w:after="0" w:line="234" w:lineRule="auto"/>
        <w:rPr>
          <w:sz w:val="20"/>
          <w:szCs w:val="20"/>
          <w:color w:val="auto"/>
        </w:rPr>
      </w:pPr>
      <w:r>
        <w:rPr>
          <w:rFonts w:ascii="Arial" w:cs="Arial" w:eastAsia="Arial" w:hAnsi="Arial"/>
          <w:sz w:val="14"/>
          <w:szCs w:val="14"/>
          <w:color w:val="auto"/>
        </w:rPr>
        <w:t>NIM rose 3 bps QoQ to stand at 6.33%. This evolution was fueled mainly by a reduction in interest expenses after low-cost deposit volumes rose in response to fund inflows from AFP withdrawals. YoY, NIM increased 31 bps, which reflected an uptick in IEA yields via growth in interest on loans. This evolution reflected the positive impact of adequate risk pricing, particularly in the SME-Pyme segments and SME Business. Risk-adjusted NIM dropped 45 bps QoQ. If we isolate the effect of a reversal of El Niño provisions for expected losses in 1Q24, Risk-adjusted NIM was stable. YoY, Risk-adjusted NIM fell 16 bps.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Net Interest Margin Dynamics by Currency</w:t>
      </w:r>
    </w:p>
    <w:p>
      <w:pPr>
        <w:sectPr>
          <w:pgSz w:w="11900" w:h="16838" w:orient="portrait"/>
          <w:cols w:equalWidth="0" w:num="1">
            <w:col w:w="10500"/>
          </w:cols>
          <w:pgMar w:left="640" w:top="298" w:right="759" w:bottom="1440" w:gutter="0" w:footer="0" w:header="0"/>
        </w:sectPr>
      </w:pPr>
    </w:p>
    <w:p>
      <w:pPr>
        <w:spacing w:after="0" w:line="142" w:lineRule="exact"/>
        <w:rPr>
          <w:sz w:val="20"/>
          <w:szCs w:val="20"/>
          <w:color w:val="auto"/>
        </w:rPr>
      </w:pPr>
    </w:p>
    <w:tbl>
      <w:tblPr>
        <w:tblLayout w:type="fixed"/>
        <w:tblInd w:w="130" w:type="dxa"/>
        <w:tblCellMar>
          <w:top w:w="0" w:type="dxa"/>
          <w:left w:w="0" w:type="dxa"/>
          <w:bottom w:w="0" w:type="dxa"/>
          <w:right w:w="0" w:type="dxa"/>
        </w:tblCellMar>
      </w:tblPr>
      <w:tr>
        <w:trPr>
          <w:trHeight w:val="99"/>
        </w:trPr>
        <w:tc>
          <w:tcPr>
            <w:tcW w:w="3360" w:type="dxa"/>
            <w:vAlign w:val="bottom"/>
            <w:tcBorders>
              <w:top w:val="single" w:sz="8" w:color="auto"/>
              <w:left w:val="single" w:sz="8" w:color="auto"/>
              <w:right w:val="single" w:sz="8" w:color="auto"/>
            </w:tcBorders>
            <w:shd w:val="clear" w:color="auto" w:fill="2AD2C9"/>
          </w:tcPr>
          <w:p>
            <w:pPr>
              <w:ind w:left="20"/>
              <w:spacing w:after="0" w:line="99" w:lineRule="exact"/>
              <w:rPr>
                <w:sz w:val="20"/>
                <w:szCs w:val="20"/>
                <w:color w:val="auto"/>
              </w:rPr>
            </w:pPr>
            <w:r>
              <w:rPr>
                <w:rFonts w:ascii="Arial" w:cs="Arial" w:eastAsia="Arial" w:hAnsi="Arial"/>
                <w:sz w:val="10"/>
                <w:szCs w:val="10"/>
                <w:b w:val="1"/>
                <w:bCs w:val="1"/>
                <w:color w:val="FFFFFF"/>
              </w:rPr>
              <w:t>Interest Income / IEA</w:t>
            </w:r>
          </w:p>
        </w:tc>
        <w:tc>
          <w:tcPr>
            <w:tcW w:w="440" w:type="dxa"/>
            <w:vAlign w:val="bottom"/>
            <w:tcBorders>
              <w:top w:val="single" w:sz="8" w:color="auto"/>
            </w:tcBorders>
            <w:shd w:val="clear" w:color="auto" w:fill="2AD2C9"/>
          </w:tcPr>
          <w:p>
            <w:pPr>
              <w:spacing w:after="0"/>
              <w:rPr>
                <w:sz w:val="8"/>
                <w:szCs w:val="8"/>
                <w:color w:val="auto"/>
              </w:rPr>
            </w:pPr>
          </w:p>
        </w:tc>
        <w:tc>
          <w:tcPr>
            <w:tcW w:w="480" w:type="dxa"/>
            <w:vAlign w:val="bottom"/>
            <w:tcBorders>
              <w:top w:val="single" w:sz="8" w:color="auto"/>
            </w:tcBorders>
            <w:shd w:val="clear" w:color="auto" w:fill="2AD2C9"/>
          </w:tcPr>
          <w:p>
            <w:pPr>
              <w:jc w:val="center"/>
              <w:spacing w:after="0" w:line="99" w:lineRule="exact"/>
              <w:rPr>
                <w:sz w:val="20"/>
                <w:szCs w:val="20"/>
                <w:color w:val="auto"/>
              </w:rPr>
            </w:pPr>
            <w:r>
              <w:rPr>
                <w:rFonts w:ascii="Arial" w:cs="Arial" w:eastAsia="Arial" w:hAnsi="Arial"/>
                <w:sz w:val="10"/>
                <w:szCs w:val="10"/>
                <w:b w:val="1"/>
                <w:bCs w:val="1"/>
                <w:color w:val="FFFFFF"/>
                <w:w w:val="97"/>
              </w:rPr>
              <w:t>2Q23</w:t>
            </w:r>
          </w:p>
        </w:tc>
        <w:tc>
          <w:tcPr>
            <w:tcW w:w="440" w:type="dxa"/>
            <w:vAlign w:val="bottom"/>
            <w:tcBorders>
              <w:top w:val="single" w:sz="8" w:color="auto"/>
              <w:right w:val="single" w:sz="8" w:color="auto"/>
            </w:tcBorders>
            <w:shd w:val="clear" w:color="auto" w:fill="2AD2C9"/>
          </w:tcPr>
          <w:p>
            <w:pPr>
              <w:spacing w:after="0"/>
              <w:rPr>
                <w:sz w:val="8"/>
                <w:szCs w:val="8"/>
                <w:color w:val="auto"/>
              </w:rPr>
            </w:pPr>
          </w:p>
        </w:tc>
        <w:tc>
          <w:tcPr>
            <w:tcW w:w="420" w:type="dxa"/>
            <w:vAlign w:val="bottom"/>
            <w:tcBorders>
              <w:top w:val="single" w:sz="8" w:color="auto"/>
            </w:tcBorders>
            <w:shd w:val="clear" w:color="auto" w:fill="2AD2C9"/>
          </w:tcPr>
          <w:p>
            <w:pPr>
              <w:spacing w:after="0"/>
              <w:rPr>
                <w:sz w:val="8"/>
                <w:szCs w:val="8"/>
                <w:color w:val="auto"/>
              </w:rPr>
            </w:pPr>
          </w:p>
        </w:tc>
        <w:tc>
          <w:tcPr>
            <w:tcW w:w="500" w:type="dxa"/>
            <w:vAlign w:val="bottom"/>
            <w:tcBorders>
              <w:top w:val="single" w:sz="8" w:color="auto"/>
            </w:tcBorders>
            <w:shd w:val="clear" w:color="auto" w:fill="2AD2C9"/>
          </w:tcPr>
          <w:p>
            <w:pPr>
              <w:jc w:val="center"/>
              <w:spacing w:after="0" w:line="99" w:lineRule="exact"/>
              <w:rPr>
                <w:sz w:val="20"/>
                <w:szCs w:val="20"/>
                <w:color w:val="auto"/>
              </w:rPr>
            </w:pPr>
            <w:r>
              <w:rPr>
                <w:rFonts w:ascii="Arial" w:cs="Arial" w:eastAsia="Arial" w:hAnsi="Arial"/>
                <w:sz w:val="10"/>
                <w:szCs w:val="10"/>
                <w:b w:val="1"/>
                <w:bCs w:val="1"/>
                <w:color w:val="FFFFFF"/>
                <w:w w:val="97"/>
              </w:rPr>
              <w:t>1Q24</w:t>
            </w:r>
          </w:p>
        </w:tc>
        <w:tc>
          <w:tcPr>
            <w:tcW w:w="440" w:type="dxa"/>
            <w:vAlign w:val="bottom"/>
            <w:tcBorders>
              <w:top w:val="single" w:sz="8" w:color="auto"/>
              <w:right w:val="single" w:sz="8" w:color="auto"/>
            </w:tcBorders>
            <w:shd w:val="clear" w:color="auto" w:fill="2AD2C9"/>
          </w:tcPr>
          <w:p>
            <w:pPr>
              <w:spacing w:after="0"/>
              <w:rPr>
                <w:sz w:val="8"/>
                <w:szCs w:val="8"/>
                <w:color w:val="auto"/>
              </w:rPr>
            </w:pPr>
          </w:p>
        </w:tc>
        <w:tc>
          <w:tcPr>
            <w:tcW w:w="420" w:type="dxa"/>
            <w:vAlign w:val="bottom"/>
            <w:tcBorders>
              <w:top w:val="single" w:sz="8" w:color="auto"/>
            </w:tcBorders>
            <w:shd w:val="clear" w:color="auto" w:fill="2AD2C9"/>
          </w:tcPr>
          <w:p>
            <w:pPr>
              <w:spacing w:after="0"/>
              <w:rPr>
                <w:sz w:val="8"/>
                <w:szCs w:val="8"/>
                <w:color w:val="auto"/>
              </w:rPr>
            </w:pPr>
          </w:p>
        </w:tc>
        <w:tc>
          <w:tcPr>
            <w:tcW w:w="500" w:type="dxa"/>
            <w:vAlign w:val="bottom"/>
            <w:tcBorders>
              <w:top w:val="single" w:sz="8" w:color="auto"/>
            </w:tcBorders>
            <w:shd w:val="clear" w:color="auto" w:fill="2AD2C9"/>
          </w:tcPr>
          <w:p>
            <w:pPr>
              <w:jc w:val="center"/>
              <w:spacing w:after="0" w:line="99" w:lineRule="exact"/>
              <w:rPr>
                <w:sz w:val="20"/>
                <w:szCs w:val="20"/>
                <w:color w:val="auto"/>
              </w:rPr>
            </w:pPr>
            <w:r>
              <w:rPr>
                <w:rFonts w:ascii="Arial" w:cs="Arial" w:eastAsia="Arial" w:hAnsi="Arial"/>
                <w:sz w:val="10"/>
                <w:szCs w:val="10"/>
                <w:b w:val="1"/>
                <w:bCs w:val="1"/>
                <w:color w:val="FFFFFF"/>
                <w:w w:val="97"/>
              </w:rPr>
              <w:t>2Q24</w:t>
            </w:r>
          </w:p>
        </w:tc>
        <w:tc>
          <w:tcPr>
            <w:tcW w:w="440" w:type="dxa"/>
            <w:vAlign w:val="bottom"/>
            <w:tcBorders>
              <w:top w:val="single" w:sz="8" w:color="auto"/>
              <w:right w:val="single" w:sz="8" w:color="auto"/>
            </w:tcBorders>
            <w:shd w:val="clear" w:color="auto" w:fill="2AD2C9"/>
          </w:tcPr>
          <w:p>
            <w:pPr>
              <w:spacing w:after="0"/>
              <w:rPr>
                <w:sz w:val="8"/>
                <w:szCs w:val="8"/>
                <w:color w:val="auto"/>
              </w:rPr>
            </w:pPr>
          </w:p>
        </w:tc>
      </w:tr>
      <w:tr>
        <w:trPr>
          <w:trHeight w:val="103"/>
        </w:trPr>
        <w:tc>
          <w:tcPr>
            <w:tcW w:w="3360" w:type="dxa"/>
            <w:vAlign w:val="bottom"/>
            <w:tcBorders>
              <w:left w:val="single" w:sz="8" w:color="auto"/>
              <w:right w:val="single" w:sz="8" w:color="auto"/>
            </w:tcBorders>
            <w:shd w:val="clear" w:color="auto" w:fill="2AD2C9"/>
          </w:tcPr>
          <w:p>
            <w:pPr>
              <w:ind w:left="20"/>
              <w:spacing w:after="0" w:line="103" w:lineRule="exact"/>
              <w:rPr>
                <w:sz w:val="20"/>
                <w:szCs w:val="20"/>
                <w:color w:val="auto"/>
              </w:rPr>
            </w:pPr>
            <w:r>
              <w:rPr>
                <w:rFonts w:ascii="Arial" w:cs="Arial" w:eastAsia="Arial" w:hAnsi="Arial"/>
                <w:sz w:val="10"/>
                <w:szCs w:val="10"/>
                <w:b w:val="1"/>
                <w:bCs w:val="1"/>
                <w:color w:val="FFFFFF"/>
              </w:rPr>
              <w:t>S/ millions</w:t>
            </w:r>
          </w:p>
        </w:tc>
        <w:tc>
          <w:tcPr>
            <w:tcW w:w="440" w:type="dxa"/>
            <w:vAlign w:val="bottom"/>
            <w:shd w:val="clear" w:color="auto" w:fill="2AD2C9"/>
          </w:tcPr>
          <w:p>
            <w:pPr>
              <w:ind w:left="20"/>
              <w:spacing w:after="0" w:line="103" w:lineRule="exact"/>
              <w:rPr>
                <w:sz w:val="20"/>
                <w:szCs w:val="20"/>
                <w:color w:val="auto"/>
              </w:rPr>
            </w:pPr>
            <w:r>
              <w:rPr>
                <w:rFonts w:ascii="Arial" w:cs="Arial" w:eastAsia="Arial" w:hAnsi="Arial"/>
                <w:sz w:val="10"/>
                <w:szCs w:val="10"/>
                <w:b w:val="1"/>
                <w:bCs w:val="1"/>
                <w:color w:val="FFFFFF"/>
              </w:rPr>
              <w:t>Average</w:t>
            </w:r>
          </w:p>
        </w:tc>
        <w:tc>
          <w:tcPr>
            <w:tcW w:w="480" w:type="dxa"/>
            <w:vAlign w:val="bottom"/>
            <w:shd w:val="clear" w:color="auto" w:fill="2AD2C9"/>
          </w:tcPr>
          <w:p>
            <w:pPr>
              <w:spacing w:after="0"/>
              <w:rPr>
                <w:sz w:val="8"/>
                <w:szCs w:val="8"/>
                <w:color w:val="auto"/>
              </w:rPr>
            </w:pPr>
          </w:p>
        </w:tc>
        <w:tc>
          <w:tcPr>
            <w:tcW w:w="440" w:type="dxa"/>
            <w:vAlign w:val="bottom"/>
            <w:tcBorders>
              <w:right w:val="single" w:sz="8" w:color="auto"/>
            </w:tcBorders>
            <w:shd w:val="clear" w:color="auto" w:fill="2AD2C9"/>
          </w:tcPr>
          <w:p>
            <w:pPr>
              <w:spacing w:after="0"/>
              <w:rPr>
                <w:sz w:val="8"/>
                <w:szCs w:val="8"/>
                <w:color w:val="auto"/>
              </w:rPr>
            </w:pPr>
          </w:p>
        </w:tc>
        <w:tc>
          <w:tcPr>
            <w:tcW w:w="420" w:type="dxa"/>
            <w:vAlign w:val="bottom"/>
            <w:shd w:val="clear" w:color="auto" w:fill="2AD2C9"/>
          </w:tcPr>
          <w:p>
            <w:pPr>
              <w:ind w:left="20"/>
              <w:spacing w:after="0" w:line="103" w:lineRule="exact"/>
              <w:rPr>
                <w:sz w:val="20"/>
                <w:szCs w:val="20"/>
                <w:color w:val="auto"/>
              </w:rPr>
            </w:pPr>
            <w:r>
              <w:rPr>
                <w:rFonts w:ascii="Arial" w:cs="Arial" w:eastAsia="Arial" w:hAnsi="Arial"/>
                <w:sz w:val="10"/>
                <w:szCs w:val="10"/>
                <w:b w:val="1"/>
                <w:bCs w:val="1"/>
                <w:color w:val="FFFFFF"/>
                <w:w w:val="96"/>
              </w:rPr>
              <w:t>Average</w:t>
            </w:r>
          </w:p>
        </w:tc>
        <w:tc>
          <w:tcPr>
            <w:tcW w:w="500" w:type="dxa"/>
            <w:vAlign w:val="bottom"/>
            <w:shd w:val="clear" w:color="auto" w:fill="2AD2C9"/>
          </w:tcPr>
          <w:p>
            <w:pPr>
              <w:spacing w:after="0"/>
              <w:rPr>
                <w:sz w:val="8"/>
                <w:szCs w:val="8"/>
                <w:color w:val="auto"/>
              </w:rPr>
            </w:pPr>
          </w:p>
        </w:tc>
        <w:tc>
          <w:tcPr>
            <w:tcW w:w="440" w:type="dxa"/>
            <w:vAlign w:val="bottom"/>
            <w:tcBorders>
              <w:right w:val="single" w:sz="8" w:color="auto"/>
            </w:tcBorders>
            <w:shd w:val="clear" w:color="auto" w:fill="2AD2C9"/>
          </w:tcPr>
          <w:p>
            <w:pPr>
              <w:spacing w:after="0"/>
              <w:rPr>
                <w:sz w:val="8"/>
                <w:szCs w:val="8"/>
                <w:color w:val="auto"/>
              </w:rPr>
            </w:pPr>
          </w:p>
        </w:tc>
        <w:tc>
          <w:tcPr>
            <w:tcW w:w="420" w:type="dxa"/>
            <w:vAlign w:val="bottom"/>
            <w:shd w:val="clear" w:color="auto" w:fill="2AD2C9"/>
          </w:tcPr>
          <w:p>
            <w:pPr>
              <w:ind w:left="20"/>
              <w:spacing w:after="0" w:line="103" w:lineRule="exact"/>
              <w:rPr>
                <w:sz w:val="20"/>
                <w:szCs w:val="20"/>
                <w:color w:val="auto"/>
              </w:rPr>
            </w:pPr>
            <w:r>
              <w:rPr>
                <w:rFonts w:ascii="Arial" w:cs="Arial" w:eastAsia="Arial" w:hAnsi="Arial"/>
                <w:sz w:val="10"/>
                <w:szCs w:val="10"/>
                <w:b w:val="1"/>
                <w:bCs w:val="1"/>
                <w:color w:val="FFFFFF"/>
                <w:w w:val="96"/>
              </w:rPr>
              <w:t>Average</w:t>
            </w:r>
          </w:p>
        </w:tc>
        <w:tc>
          <w:tcPr>
            <w:tcW w:w="500" w:type="dxa"/>
            <w:vAlign w:val="bottom"/>
            <w:shd w:val="clear" w:color="auto" w:fill="2AD2C9"/>
          </w:tcPr>
          <w:p>
            <w:pPr>
              <w:spacing w:after="0"/>
              <w:rPr>
                <w:sz w:val="8"/>
                <w:szCs w:val="8"/>
                <w:color w:val="auto"/>
              </w:rPr>
            </w:pPr>
          </w:p>
        </w:tc>
        <w:tc>
          <w:tcPr>
            <w:tcW w:w="440" w:type="dxa"/>
            <w:vAlign w:val="bottom"/>
            <w:tcBorders>
              <w:right w:val="single" w:sz="8" w:color="auto"/>
            </w:tcBorders>
            <w:shd w:val="clear" w:color="auto" w:fill="2AD2C9"/>
          </w:tcPr>
          <w:p>
            <w:pPr>
              <w:spacing w:after="0"/>
              <w:rPr>
                <w:sz w:val="8"/>
                <w:szCs w:val="8"/>
                <w:color w:val="auto"/>
              </w:rPr>
            </w:pPr>
          </w:p>
        </w:tc>
      </w:tr>
      <w:tr>
        <w:trPr>
          <w:trHeight w:val="117"/>
        </w:trPr>
        <w:tc>
          <w:tcPr>
            <w:tcW w:w="3360" w:type="dxa"/>
            <w:vAlign w:val="bottom"/>
            <w:tcBorders>
              <w:left w:val="single" w:sz="8" w:color="auto"/>
              <w:bottom w:val="single" w:sz="8" w:color="auto"/>
              <w:right w:val="single" w:sz="8" w:color="auto"/>
            </w:tcBorders>
            <w:shd w:val="clear" w:color="auto" w:fill="2AD2C9"/>
          </w:tcPr>
          <w:p>
            <w:pPr>
              <w:spacing w:after="0"/>
              <w:rPr>
                <w:sz w:val="10"/>
                <w:szCs w:val="10"/>
                <w:color w:val="auto"/>
              </w:rPr>
            </w:pPr>
          </w:p>
        </w:tc>
        <w:tc>
          <w:tcPr>
            <w:tcW w:w="440" w:type="dxa"/>
            <w:vAlign w:val="bottom"/>
            <w:tcBorders>
              <w:bottom w:val="single" w:sz="8" w:color="auto"/>
            </w:tcBorders>
            <w:shd w:val="clear" w:color="auto" w:fill="2AD2C9"/>
          </w:tcPr>
          <w:p>
            <w:pPr>
              <w:ind w:left="20"/>
              <w:spacing w:after="0"/>
              <w:rPr>
                <w:sz w:val="20"/>
                <w:szCs w:val="20"/>
                <w:color w:val="auto"/>
              </w:rPr>
            </w:pPr>
            <w:r>
              <w:rPr>
                <w:rFonts w:ascii="Arial" w:cs="Arial" w:eastAsia="Arial" w:hAnsi="Arial"/>
                <w:sz w:val="10"/>
                <w:szCs w:val="10"/>
                <w:b w:val="1"/>
                <w:bCs w:val="1"/>
                <w:color w:val="FFFFFF"/>
              </w:rPr>
              <w:t>Balance</w:t>
            </w:r>
          </w:p>
        </w:tc>
        <w:tc>
          <w:tcPr>
            <w:tcW w:w="4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1"/>
              </w:rPr>
              <w:t>Income</w:t>
            </w:r>
          </w:p>
        </w:tc>
        <w:tc>
          <w:tcPr>
            <w:tcW w:w="440" w:type="dxa"/>
            <w:vAlign w:val="bottom"/>
            <w:tcBorders>
              <w:bottom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0"/>
                <w:szCs w:val="10"/>
                <w:b w:val="1"/>
                <w:bCs w:val="1"/>
                <w:color w:val="FFFFFF"/>
              </w:rPr>
              <w:t>Yields</w:t>
            </w:r>
          </w:p>
        </w:tc>
        <w:tc>
          <w:tcPr>
            <w:tcW w:w="420" w:type="dxa"/>
            <w:vAlign w:val="bottom"/>
            <w:tcBorders>
              <w:bottom w:val="single" w:sz="8" w:color="auto"/>
            </w:tcBorders>
            <w:shd w:val="clear" w:color="auto" w:fill="2AD2C9"/>
          </w:tcPr>
          <w:p>
            <w:pPr>
              <w:ind w:left="20"/>
              <w:spacing w:after="0"/>
              <w:rPr>
                <w:sz w:val="20"/>
                <w:szCs w:val="20"/>
                <w:color w:val="auto"/>
              </w:rPr>
            </w:pPr>
            <w:r>
              <w:rPr>
                <w:rFonts w:ascii="Arial" w:cs="Arial" w:eastAsia="Arial" w:hAnsi="Arial"/>
                <w:sz w:val="10"/>
                <w:szCs w:val="10"/>
                <w:b w:val="1"/>
                <w:bCs w:val="1"/>
                <w:color w:val="FFFFFF"/>
                <w:w w:val="98"/>
              </w:rPr>
              <w:t>Balance</w:t>
            </w:r>
          </w:p>
        </w:tc>
        <w:tc>
          <w:tcPr>
            <w:tcW w:w="5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1"/>
              </w:rPr>
              <w:t>Income</w:t>
            </w:r>
          </w:p>
        </w:tc>
        <w:tc>
          <w:tcPr>
            <w:tcW w:w="440" w:type="dxa"/>
            <w:vAlign w:val="bottom"/>
            <w:tcBorders>
              <w:bottom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0"/>
                <w:szCs w:val="10"/>
                <w:b w:val="1"/>
                <w:bCs w:val="1"/>
                <w:color w:val="FFFFFF"/>
              </w:rPr>
              <w:t>Yields</w:t>
            </w:r>
          </w:p>
        </w:tc>
        <w:tc>
          <w:tcPr>
            <w:tcW w:w="420" w:type="dxa"/>
            <w:vAlign w:val="bottom"/>
            <w:tcBorders>
              <w:bottom w:val="single" w:sz="8" w:color="auto"/>
            </w:tcBorders>
            <w:shd w:val="clear" w:color="auto" w:fill="2AD2C9"/>
          </w:tcPr>
          <w:p>
            <w:pPr>
              <w:ind w:left="20"/>
              <w:spacing w:after="0"/>
              <w:rPr>
                <w:sz w:val="20"/>
                <w:szCs w:val="20"/>
                <w:color w:val="auto"/>
              </w:rPr>
            </w:pPr>
            <w:r>
              <w:rPr>
                <w:rFonts w:ascii="Arial" w:cs="Arial" w:eastAsia="Arial" w:hAnsi="Arial"/>
                <w:sz w:val="10"/>
                <w:szCs w:val="10"/>
                <w:b w:val="1"/>
                <w:bCs w:val="1"/>
                <w:color w:val="FFFFFF"/>
                <w:w w:val="98"/>
              </w:rPr>
              <w:t>Balance</w:t>
            </w:r>
          </w:p>
        </w:tc>
        <w:tc>
          <w:tcPr>
            <w:tcW w:w="5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6"/>
              </w:rPr>
              <w:t>Income</w:t>
            </w:r>
          </w:p>
        </w:tc>
        <w:tc>
          <w:tcPr>
            <w:tcW w:w="440" w:type="dxa"/>
            <w:vAlign w:val="bottom"/>
            <w:tcBorders>
              <w:bottom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0"/>
                <w:szCs w:val="10"/>
                <w:b w:val="1"/>
                <w:bCs w:val="1"/>
                <w:color w:val="FFFFFF"/>
              </w:rPr>
              <w:t>Yields</w:t>
            </w:r>
          </w:p>
        </w:tc>
      </w:tr>
      <w:tr>
        <w:trPr>
          <w:trHeight w:val="81"/>
        </w:trPr>
        <w:tc>
          <w:tcPr>
            <w:tcW w:w="3360" w:type="dxa"/>
            <w:vAlign w:val="bottom"/>
            <w:tcBorders>
              <w:left w:val="single" w:sz="8" w:color="auto"/>
              <w:right w:val="single" w:sz="8" w:color="auto"/>
            </w:tcBorders>
          </w:tcPr>
          <w:p>
            <w:pPr>
              <w:ind w:left="20"/>
              <w:spacing w:after="0" w:line="81" w:lineRule="exact"/>
              <w:rPr>
                <w:sz w:val="20"/>
                <w:szCs w:val="20"/>
                <w:color w:val="auto"/>
              </w:rPr>
            </w:pPr>
            <w:r>
              <w:rPr>
                <w:rFonts w:ascii="Arial" w:cs="Arial" w:eastAsia="Arial" w:hAnsi="Arial"/>
                <w:sz w:val="8"/>
                <w:szCs w:val="8"/>
                <w:color w:val="auto"/>
              </w:rPr>
              <w:t>Cash and equivalents</w:t>
            </w:r>
          </w:p>
        </w:tc>
        <w:tc>
          <w:tcPr>
            <w:tcW w:w="440" w:type="dxa"/>
            <w:vAlign w:val="bottom"/>
          </w:tcPr>
          <w:p>
            <w:pPr>
              <w:jc w:val="center"/>
              <w:spacing w:after="0" w:line="81" w:lineRule="exact"/>
              <w:rPr>
                <w:sz w:val="20"/>
                <w:szCs w:val="20"/>
                <w:color w:val="auto"/>
              </w:rPr>
            </w:pPr>
            <w:r>
              <w:rPr>
                <w:rFonts w:ascii="Arial" w:cs="Arial" w:eastAsia="Arial" w:hAnsi="Arial"/>
                <w:sz w:val="8"/>
                <w:szCs w:val="8"/>
                <w:color w:val="auto"/>
              </w:rPr>
              <w:t>27,098</w:t>
            </w:r>
          </w:p>
        </w:tc>
        <w:tc>
          <w:tcPr>
            <w:tcW w:w="480" w:type="dxa"/>
            <w:vAlign w:val="bottom"/>
          </w:tcPr>
          <w:p>
            <w:pPr>
              <w:jc w:val="center"/>
              <w:spacing w:after="0" w:line="81" w:lineRule="exact"/>
              <w:rPr>
                <w:sz w:val="20"/>
                <w:szCs w:val="20"/>
                <w:color w:val="auto"/>
              </w:rPr>
            </w:pPr>
            <w:r>
              <w:rPr>
                <w:rFonts w:ascii="Arial" w:cs="Arial" w:eastAsia="Arial" w:hAnsi="Arial"/>
                <w:sz w:val="8"/>
                <w:szCs w:val="8"/>
                <w:color w:val="auto"/>
              </w:rPr>
              <w:t>286</w:t>
            </w:r>
          </w:p>
        </w:tc>
        <w:tc>
          <w:tcPr>
            <w:tcW w:w="440" w:type="dxa"/>
            <w:vAlign w:val="bottom"/>
            <w:tcBorders>
              <w:right w:val="single" w:sz="8" w:color="auto"/>
            </w:tcBorders>
          </w:tcPr>
          <w:p>
            <w:pPr>
              <w:jc w:val="center"/>
              <w:ind w:right="13"/>
              <w:spacing w:after="0" w:line="81" w:lineRule="exact"/>
              <w:rPr>
                <w:sz w:val="20"/>
                <w:szCs w:val="20"/>
                <w:color w:val="auto"/>
              </w:rPr>
            </w:pPr>
            <w:r>
              <w:rPr>
                <w:rFonts w:ascii="Arial" w:cs="Arial" w:eastAsia="Arial" w:hAnsi="Arial"/>
                <w:sz w:val="8"/>
                <w:szCs w:val="8"/>
                <w:color w:val="auto"/>
              </w:rPr>
              <w:t>4.2%</w:t>
            </w:r>
          </w:p>
        </w:tc>
        <w:tc>
          <w:tcPr>
            <w:tcW w:w="420" w:type="dxa"/>
            <w:vAlign w:val="bottom"/>
          </w:tcPr>
          <w:p>
            <w:pPr>
              <w:jc w:val="center"/>
              <w:spacing w:after="0" w:line="81" w:lineRule="exact"/>
              <w:rPr>
                <w:sz w:val="20"/>
                <w:szCs w:val="20"/>
                <w:color w:val="auto"/>
              </w:rPr>
            </w:pPr>
            <w:r>
              <w:rPr>
                <w:rFonts w:ascii="Arial" w:cs="Arial" w:eastAsia="Arial" w:hAnsi="Arial"/>
                <w:sz w:val="8"/>
                <w:szCs w:val="8"/>
                <w:color w:val="auto"/>
              </w:rPr>
              <w:t>28,557</w:t>
            </w:r>
          </w:p>
        </w:tc>
        <w:tc>
          <w:tcPr>
            <w:tcW w:w="500" w:type="dxa"/>
            <w:vAlign w:val="bottom"/>
          </w:tcPr>
          <w:p>
            <w:pPr>
              <w:jc w:val="center"/>
              <w:spacing w:after="0" w:line="81" w:lineRule="exact"/>
              <w:rPr>
                <w:sz w:val="20"/>
                <w:szCs w:val="20"/>
                <w:color w:val="auto"/>
              </w:rPr>
            </w:pPr>
            <w:r>
              <w:rPr>
                <w:rFonts w:ascii="Arial" w:cs="Arial" w:eastAsia="Arial" w:hAnsi="Arial"/>
                <w:sz w:val="8"/>
                <w:szCs w:val="8"/>
                <w:color w:val="auto"/>
              </w:rPr>
              <w:t>334</w:t>
            </w:r>
          </w:p>
        </w:tc>
        <w:tc>
          <w:tcPr>
            <w:tcW w:w="440" w:type="dxa"/>
            <w:vAlign w:val="bottom"/>
            <w:tcBorders>
              <w:right w:val="single" w:sz="8" w:color="auto"/>
            </w:tcBorders>
          </w:tcPr>
          <w:p>
            <w:pPr>
              <w:jc w:val="center"/>
              <w:ind w:right="13"/>
              <w:spacing w:after="0" w:line="81" w:lineRule="exact"/>
              <w:rPr>
                <w:sz w:val="20"/>
                <w:szCs w:val="20"/>
                <w:color w:val="auto"/>
              </w:rPr>
            </w:pPr>
            <w:r>
              <w:rPr>
                <w:rFonts w:ascii="Arial" w:cs="Arial" w:eastAsia="Arial" w:hAnsi="Arial"/>
                <w:sz w:val="8"/>
                <w:szCs w:val="8"/>
                <w:color w:val="auto"/>
              </w:rPr>
              <w:t>4.7%</w:t>
            </w:r>
          </w:p>
        </w:tc>
        <w:tc>
          <w:tcPr>
            <w:tcW w:w="420" w:type="dxa"/>
            <w:vAlign w:val="bottom"/>
          </w:tcPr>
          <w:p>
            <w:pPr>
              <w:jc w:val="center"/>
              <w:spacing w:after="0" w:line="81" w:lineRule="exact"/>
              <w:rPr>
                <w:sz w:val="20"/>
                <w:szCs w:val="20"/>
                <w:color w:val="auto"/>
              </w:rPr>
            </w:pPr>
            <w:r>
              <w:rPr>
                <w:rFonts w:ascii="Arial" w:cs="Arial" w:eastAsia="Arial" w:hAnsi="Arial"/>
                <w:sz w:val="8"/>
                <w:szCs w:val="8"/>
                <w:color w:val="auto"/>
              </w:rPr>
              <w:t>29,146</w:t>
            </w:r>
          </w:p>
        </w:tc>
        <w:tc>
          <w:tcPr>
            <w:tcW w:w="500" w:type="dxa"/>
            <w:vAlign w:val="bottom"/>
          </w:tcPr>
          <w:p>
            <w:pPr>
              <w:jc w:val="center"/>
              <w:spacing w:after="0" w:line="81" w:lineRule="exact"/>
              <w:rPr>
                <w:sz w:val="20"/>
                <w:szCs w:val="20"/>
                <w:color w:val="auto"/>
              </w:rPr>
            </w:pPr>
            <w:r>
              <w:rPr>
                <w:rFonts w:ascii="Arial" w:cs="Arial" w:eastAsia="Arial" w:hAnsi="Arial"/>
                <w:sz w:val="8"/>
                <w:szCs w:val="8"/>
                <w:color w:val="auto"/>
              </w:rPr>
              <w:t>320</w:t>
            </w:r>
          </w:p>
        </w:tc>
        <w:tc>
          <w:tcPr>
            <w:tcW w:w="440" w:type="dxa"/>
            <w:vAlign w:val="bottom"/>
            <w:tcBorders>
              <w:right w:val="single" w:sz="8" w:color="auto"/>
            </w:tcBorders>
          </w:tcPr>
          <w:p>
            <w:pPr>
              <w:jc w:val="center"/>
              <w:ind w:right="13"/>
              <w:spacing w:after="0" w:line="81" w:lineRule="exact"/>
              <w:rPr>
                <w:sz w:val="20"/>
                <w:szCs w:val="20"/>
                <w:color w:val="auto"/>
              </w:rPr>
            </w:pPr>
            <w:r>
              <w:rPr>
                <w:rFonts w:ascii="Arial" w:cs="Arial" w:eastAsia="Arial" w:hAnsi="Arial"/>
                <w:sz w:val="8"/>
                <w:szCs w:val="8"/>
                <w:color w:val="auto"/>
              </w:rPr>
              <w:t>4.4%</w:t>
            </w:r>
          </w:p>
        </w:tc>
      </w:tr>
      <w:tr>
        <w:trPr>
          <w:trHeight w:val="103"/>
        </w:trPr>
        <w:tc>
          <w:tcPr>
            <w:tcW w:w="336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Other IEA</w:t>
            </w:r>
          </w:p>
        </w:tc>
        <w:tc>
          <w:tcPr>
            <w:tcW w:w="440" w:type="dxa"/>
            <w:vAlign w:val="bottom"/>
          </w:tcPr>
          <w:p>
            <w:pPr>
              <w:jc w:val="center"/>
              <w:spacing w:after="0" w:line="103" w:lineRule="exact"/>
              <w:rPr>
                <w:sz w:val="20"/>
                <w:szCs w:val="20"/>
                <w:color w:val="auto"/>
              </w:rPr>
            </w:pPr>
            <w:r>
              <w:rPr>
                <w:rFonts w:ascii="Arial" w:cs="Arial" w:eastAsia="Arial" w:hAnsi="Arial"/>
                <w:sz w:val="10"/>
                <w:szCs w:val="10"/>
                <w:color w:val="auto"/>
                <w:w w:val="95"/>
              </w:rPr>
              <w:t>1,666</w:t>
            </w:r>
          </w:p>
        </w:tc>
        <w:tc>
          <w:tcPr>
            <w:tcW w:w="480" w:type="dxa"/>
            <w:vAlign w:val="bottom"/>
          </w:tcPr>
          <w:p>
            <w:pPr>
              <w:jc w:val="center"/>
              <w:spacing w:after="0" w:line="103" w:lineRule="exact"/>
              <w:rPr>
                <w:sz w:val="20"/>
                <w:szCs w:val="20"/>
                <w:color w:val="auto"/>
              </w:rPr>
            </w:pPr>
            <w:r>
              <w:rPr>
                <w:rFonts w:ascii="Arial" w:cs="Arial" w:eastAsia="Arial" w:hAnsi="Arial"/>
                <w:sz w:val="10"/>
                <w:szCs w:val="10"/>
                <w:color w:val="auto"/>
                <w:w w:val="89"/>
              </w:rPr>
              <w:t>17</w:t>
            </w:r>
          </w:p>
        </w:tc>
        <w:tc>
          <w:tcPr>
            <w:tcW w:w="440" w:type="dxa"/>
            <w:vAlign w:val="bottom"/>
            <w:tcBorders>
              <w:right w:val="single" w:sz="8" w:color="auto"/>
            </w:tcBorders>
          </w:tcPr>
          <w:p>
            <w:pPr>
              <w:jc w:val="center"/>
              <w:ind w:right="13"/>
              <w:spacing w:after="0" w:line="103" w:lineRule="exact"/>
              <w:rPr>
                <w:sz w:val="20"/>
                <w:szCs w:val="20"/>
                <w:color w:val="auto"/>
              </w:rPr>
            </w:pPr>
            <w:r>
              <w:rPr>
                <w:rFonts w:ascii="Arial" w:cs="Arial" w:eastAsia="Arial" w:hAnsi="Arial"/>
                <w:sz w:val="10"/>
                <w:szCs w:val="10"/>
                <w:color w:val="auto"/>
                <w:w w:val="96"/>
              </w:rPr>
              <w:t>4.2%</w:t>
            </w:r>
          </w:p>
        </w:tc>
        <w:tc>
          <w:tcPr>
            <w:tcW w:w="420" w:type="dxa"/>
            <w:vAlign w:val="bottom"/>
          </w:tcPr>
          <w:p>
            <w:pPr>
              <w:jc w:val="center"/>
              <w:spacing w:after="0" w:line="103" w:lineRule="exact"/>
              <w:rPr>
                <w:sz w:val="20"/>
                <w:szCs w:val="20"/>
                <w:color w:val="auto"/>
              </w:rPr>
            </w:pPr>
            <w:r>
              <w:rPr>
                <w:rFonts w:ascii="Arial" w:cs="Arial" w:eastAsia="Arial" w:hAnsi="Arial"/>
                <w:sz w:val="10"/>
                <w:szCs w:val="10"/>
                <w:color w:val="auto"/>
                <w:w w:val="95"/>
              </w:rPr>
              <w:t>1,468</w:t>
            </w:r>
          </w:p>
        </w:tc>
        <w:tc>
          <w:tcPr>
            <w:tcW w:w="500" w:type="dxa"/>
            <w:vAlign w:val="bottom"/>
          </w:tcPr>
          <w:p>
            <w:pPr>
              <w:jc w:val="center"/>
              <w:spacing w:after="0" w:line="103" w:lineRule="exact"/>
              <w:rPr>
                <w:sz w:val="20"/>
                <w:szCs w:val="20"/>
                <w:color w:val="auto"/>
              </w:rPr>
            </w:pPr>
            <w:r>
              <w:rPr>
                <w:rFonts w:ascii="Arial" w:cs="Arial" w:eastAsia="Arial" w:hAnsi="Arial"/>
                <w:sz w:val="10"/>
                <w:szCs w:val="10"/>
                <w:color w:val="auto"/>
                <w:w w:val="89"/>
              </w:rPr>
              <w:t>29</w:t>
            </w:r>
          </w:p>
        </w:tc>
        <w:tc>
          <w:tcPr>
            <w:tcW w:w="440" w:type="dxa"/>
            <w:vAlign w:val="bottom"/>
            <w:tcBorders>
              <w:right w:val="single" w:sz="8" w:color="auto"/>
            </w:tcBorders>
          </w:tcPr>
          <w:p>
            <w:pPr>
              <w:jc w:val="center"/>
              <w:ind w:right="13"/>
              <w:spacing w:after="0" w:line="103" w:lineRule="exact"/>
              <w:rPr>
                <w:sz w:val="20"/>
                <w:szCs w:val="20"/>
                <w:color w:val="auto"/>
              </w:rPr>
            </w:pPr>
            <w:r>
              <w:rPr>
                <w:rFonts w:ascii="Arial" w:cs="Arial" w:eastAsia="Arial" w:hAnsi="Arial"/>
                <w:sz w:val="10"/>
                <w:szCs w:val="10"/>
                <w:color w:val="auto"/>
                <w:w w:val="96"/>
              </w:rPr>
              <w:t>7.8%</w:t>
            </w:r>
          </w:p>
        </w:tc>
        <w:tc>
          <w:tcPr>
            <w:tcW w:w="420" w:type="dxa"/>
            <w:vAlign w:val="bottom"/>
          </w:tcPr>
          <w:p>
            <w:pPr>
              <w:jc w:val="center"/>
              <w:spacing w:after="0" w:line="103" w:lineRule="exact"/>
              <w:rPr>
                <w:sz w:val="20"/>
                <w:szCs w:val="20"/>
                <w:color w:val="auto"/>
              </w:rPr>
            </w:pPr>
            <w:r>
              <w:rPr>
                <w:rFonts w:ascii="Arial" w:cs="Arial" w:eastAsia="Arial" w:hAnsi="Arial"/>
                <w:sz w:val="10"/>
                <w:szCs w:val="10"/>
                <w:color w:val="auto"/>
                <w:w w:val="95"/>
              </w:rPr>
              <w:t>1,652</w:t>
            </w:r>
          </w:p>
        </w:tc>
        <w:tc>
          <w:tcPr>
            <w:tcW w:w="500" w:type="dxa"/>
            <w:vAlign w:val="bottom"/>
          </w:tcPr>
          <w:p>
            <w:pPr>
              <w:jc w:val="center"/>
              <w:spacing w:after="0" w:line="103" w:lineRule="exact"/>
              <w:rPr>
                <w:sz w:val="20"/>
                <w:szCs w:val="20"/>
                <w:color w:val="auto"/>
              </w:rPr>
            </w:pPr>
            <w:r>
              <w:rPr>
                <w:rFonts w:ascii="Arial" w:cs="Arial" w:eastAsia="Arial" w:hAnsi="Arial"/>
                <w:sz w:val="10"/>
                <w:szCs w:val="10"/>
                <w:color w:val="auto"/>
                <w:w w:val="89"/>
              </w:rPr>
              <w:t>26</w:t>
            </w:r>
          </w:p>
        </w:tc>
        <w:tc>
          <w:tcPr>
            <w:tcW w:w="440" w:type="dxa"/>
            <w:vAlign w:val="bottom"/>
            <w:tcBorders>
              <w:right w:val="single" w:sz="8" w:color="auto"/>
            </w:tcBorders>
          </w:tcPr>
          <w:p>
            <w:pPr>
              <w:jc w:val="center"/>
              <w:ind w:right="13"/>
              <w:spacing w:after="0" w:line="103" w:lineRule="exact"/>
              <w:rPr>
                <w:sz w:val="20"/>
                <w:szCs w:val="20"/>
                <w:color w:val="auto"/>
              </w:rPr>
            </w:pPr>
            <w:r>
              <w:rPr>
                <w:rFonts w:ascii="Arial" w:cs="Arial" w:eastAsia="Arial" w:hAnsi="Arial"/>
                <w:sz w:val="10"/>
                <w:szCs w:val="10"/>
                <w:color w:val="auto"/>
                <w:w w:val="96"/>
              </w:rPr>
              <w:t>6.3%</w:t>
            </w:r>
          </w:p>
        </w:tc>
      </w:tr>
      <w:tr>
        <w:trPr>
          <w:trHeight w:val="103"/>
        </w:trPr>
        <w:tc>
          <w:tcPr>
            <w:tcW w:w="336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Investments</w:t>
            </w:r>
          </w:p>
        </w:tc>
        <w:tc>
          <w:tcPr>
            <w:tcW w:w="440" w:type="dxa"/>
            <w:vAlign w:val="bottom"/>
          </w:tcPr>
          <w:p>
            <w:pPr>
              <w:jc w:val="center"/>
              <w:spacing w:after="0" w:line="103" w:lineRule="exact"/>
              <w:rPr>
                <w:sz w:val="20"/>
                <w:szCs w:val="20"/>
                <w:color w:val="auto"/>
              </w:rPr>
            </w:pPr>
            <w:r>
              <w:rPr>
                <w:rFonts w:ascii="Arial" w:cs="Arial" w:eastAsia="Arial" w:hAnsi="Arial"/>
                <w:sz w:val="10"/>
                <w:szCs w:val="10"/>
                <w:color w:val="auto"/>
                <w:w w:val="91"/>
              </w:rPr>
              <w:t>47,882</w:t>
            </w:r>
          </w:p>
        </w:tc>
        <w:tc>
          <w:tcPr>
            <w:tcW w:w="480" w:type="dxa"/>
            <w:vAlign w:val="bottom"/>
          </w:tcPr>
          <w:p>
            <w:pPr>
              <w:jc w:val="center"/>
              <w:spacing w:after="0" w:line="103" w:lineRule="exact"/>
              <w:rPr>
                <w:sz w:val="20"/>
                <w:szCs w:val="20"/>
                <w:color w:val="auto"/>
              </w:rPr>
            </w:pPr>
            <w:r>
              <w:rPr>
                <w:rFonts w:ascii="Arial" w:cs="Arial" w:eastAsia="Arial" w:hAnsi="Arial"/>
                <w:sz w:val="10"/>
                <w:szCs w:val="10"/>
                <w:color w:val="auto"/>
                <w:w w:val="95"/>
              </w:rPr>
              <w:t>636</w:t>
            </w:r>
          </w:p>
        </w:tc>
        <w:tc>
          <w:tcPr>
            <w:tcW w:w="440" w:type="dxa"/>
            <w:vAlign w:val="bottom"/>
            <w:tcBorders>
              <w:right w:val="single" w:sz="8" w:color="auto"/>
            </w:tcBorders>
          </w:tcPr>
          <w:p>
            <w:pPr>
              <w:jc w:val="center"/>
              <w:ind w:right="13"/>
              <w:spacing w:after="0" w:line="103" w:lineRule="exact"/>
              <w:rPr>
                <w:sz w:val="20"/>
                <w:szCs w:val="20"/>
                <w:color w:val="auto"/>
              </w:rPr>
            </w:pPr>
            <w:r>
              <w:rPr>
                <w:rFonts w:ascii="Arial" w:cs="Arial" w:eastAsia="Arial" w:hAnsi="Arial"/>
                <w:sz w:val="10"/>
                <w:szCs w:val="10"/>
                <w:color w:val="auto"/>
                <w:w w:val="96"/>
              </w:rPr>
              <w:t>5.3%</w:t>
            </w:r>
          </w:p>
        </w:tc>
        <w:tc>
          <w:tcPr>
            <w:tcW w:w="420" w:type="dxa"/>
            <w:vAlign w:val="bottom"/>
          </w:tcPr>
          <w:p>
            <w:pPr>
              <w:jc w:val="center"/>
              <w:spacing w:after="0" w:line="103" w:lineRule="exact"/>
              <w:rPr>
                <w:sz w:val="20"/>
                <w:szCs w:val="20"/>
                <w:color w:val="auto"/>
              </w:rPr>
            </w:pPr>
            <w:r>
              <w:rPr>
                <w:rFonts w:ascii="Arial" w:cs="Arial" w:eastAsia="Arial" w:hAnsi="Arial"/>
                <w:sz w:val="10"/>
                <w:szCs w:val="10"/>
                <w:color w:val="auto"/>
                <w:w w:val="91"/>
              </w:rPr>
              <w:t>52,385</w:t>
            </w:r>
          </w:p>
        </w:tc>
        <w:tc>
          <w:tcPr>
            <w:tcW w:w="500" w:type="dxa"/>
            <w:vAlign w:val="bottom"/>
          </w:tcPr>
          <w:p>
            <w:pPr>
              <w:jc w:val="center"/>
              <w:spacing w:after="0" w:line="103" w:lineRule="exact"/>
              <w:rPr>
                <w:sz w:val="20"/>
                <w:szCs w:val="20"/>
                <w:color w:val="auto"/>
              </w:rPr>
            </w:pPr>
            <w:r>
              <w:rPr>
                <w:rFonts w:ascii="Arial" w:cs="Arial" w:eastAsia="Arial" w:hAnsi="Arial"/>
                <w:sz w:val="10"/>
                <w:szCs w:val="10"/>
                <w:color w:val="auto"/>
                <w:w w:val="95"/>
              </w:rPr>
              <w:t>694</w:t>
            </w:r>
          </w:p>
        </w:tc>
        <w:tc>
          <w:tcPr>
            <w:tcW w:w="440" w:type="dxa"/>
            <w:vAlign w:val="bottom"/>
            <w:tcBorders>
              <w:right w:val="single" w:sz="8" w:color="auto"/>
            </w:tcBorders>
          </w:tcPr>
          <w:p>
            <w:pPr>
              <w:jc w:val="center"/>
              <w:ind w:right="13"/>
              <w:spacing w:after="0" w:line="103" w:lineRule="exact"/>
              <w:rPr>
                <w:sz w:val="20"/>
                <w:szCs w:val="20"/>
                <w:color w:val="auto"/>
              </w:rPr>
            </w:pPr>
            <w:r>
              <w:rPr>
                <w:rFonts w:ascii="Arial" w:cs="Arial" w:eastAsia="Arial" w:hAnsi="Arial"/>
                <w:sz w:val="10"/>
                <w:szCs w:val="10"/>
                <w:color w:val="auto"/>
                <w:w w:val="96"/>
              </w:rPr>
              <w:t>5.3%</w:t>
            </w:r>
          </w:p>
        </w:tc>
        <w:tc>
          <w:tcPr>
            <w:tcW w:w="420" w:type="dxa"/>
            <w:vAlign w:val="bottom"/>
          </w:tcPr>
          <w:p>
            <w:pPr>
              <w:jc w:val="center"/>
              <w:spacing w:after="0" w:line="103" w:lineRule="exact"/>
              <w:rPr>
                <w:sz w:val="20"/>
                <w:szCs w:val="20"/>
                <w:color w:val="auto"/>
              </w:rPr>
            </w:pPr>
            <w:r>
              <w:rPr>
                <w:rFonts w:ascii="Arial" w:cs="Arial" w:eastAsia="Arial" w:hAnsi="Arial"/>
                <w:sz w:val="10"/>
                <w:szCs w:val="10"/>
                <w:color w:val="auto"/>
                <w:w w:val="91"/>
              </w:rPr>
              <w:t>52,491</w:t>
            </w:r>
          </w:p>
        </w:tc>
        <w:tc>
          <w:tcPr>
            <w:tcW w:w="500" w:type="dxa"/>
            <w:vAlign w:val="bottom"/>
          </w:tcPr>
          <w:p>
            <w:pPr>
              <w:jc w:val="center"/>
              <w:spacing w:after="0" w:line="103" w:lineRule="exact"/>
              <w:rPr>
                <w:sz w:val="20"/>
                <w:szCs w:val="20"/>
                <w:color w:val="auto"/>
              </w:rPr>
            </w:pPr>
            <w:r>
              <w:rPr>
                <w:rFonts w:ascii="Arial" w:cs="Arial" w:eastAsia="Arial" w:hAnsi="Arial"/>
                <w:sz w:val="10"/>
                <w:szCs w:val="10"/>
                <w:color w:val="auto"/>
                <w:w w:val="95"/>
              </w:rPr>
              <w:t>668</w:t>
            </w:r>
          </w:p>
        </w:tc>
        <w:tc>
          <w:tcPr>
            <w:tcW w:w="440" w:type="dxa"/>
            <w:vAlign w:val="bottom"/>
            <w:tcBorders>
              <w:right w:val="single" w:sz="8" w:color="auto"/>
            </w:tcBorders>
          </w:tcPr>
          <w:p>
            <w:pPr>
              <w:jc w:val="center"/>
              <w:ind w:right="13"/>
              <w:spacing w:after="0" w:line="103" w:lineRule="exact"/>
              <w:rPr>
                <w:sz w:val="20"/>
                <w:szCs w:val="20"/>
                <w:color w:val="auto"/>
              </w:rPr>
            </w:pPr>
            <w:r>
              <w:rPr>
                <w:rFonts w:ascii="Arial" w:cs="Arial" w:eastAsia="Arial" w:hAnsi="Arial"/>
                <w:sz w:val="10"/>
                <w:szCs w:val="10"/>
                <w:color w:val="auto"/>
                <w:w w:val="96"/>
              </w:rPr>
              <w:t>5.1%</w:t>
            </w:r>
          </w:p>
        </w:tc>
      </w:tr>
      <w:tr>
        <w:trPr>
          <w:trHeight w:val="103"/>
        </w:trPr>
        <w:tc>
          <w:tcPr>
            <w:tcW w:w="336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Loans</w:t>
            </w:r>
          </w:p>
        </w:tc>
        <w:tc>
          <w:tcPr>
            <w:tcW w:w="440" w:type="dxa"/>
            <w:vAlign w:val="bottom"/>
          </w:tcPr>
          <w:p>
            <w:pPr>
              <w:jc w:val="center"/>
              <w:spacing w:after="0" w:line="103" w:lineRule="exact"/>
              <w:rPr>
                <w:sz w:val="20"/>
                <w:szCs w:val="20"/>
                <w:color w:val="auto"/>
              </w:rPr>
            </w:pPr>
            <w:r>
              <w:rPr>
                <w:rFonts w:ascii="Arial" w:cs="Arial" w:eastAsia="Arial" w:hAnsi="Arial"/>
                <w:sz w:val="10"/>
                <w:szCs w:val="10"/>
                <w:color w:val="auto"/>
                <w:w w:val="99"/>
              </w:rPr>
              <w:t>144,006</w:t>
            </w:r>
          </w:p>
        </w:tc>
        <w:tc>
          <w:tcPr>
            <w:tcW w:w="480" w:type="dxa"/>
            <w:vAlign w:val="bottom"/>
          </w:tcPr>
          <w:p>
            <w:pPr>
              <w:jc w:val="center"/>
              <w:spacing w:after="0" w:line="103" w:lineRule="exact"/>
              <w:rPr>
                <w:sz w:val="20"/>
                <w:szCs w:val="20"/>
                <w:color w:val="auto"/>
              </w:rPr>
            </w:pPr>
            <w:r>
              <w:rPr>
                <w:rFonts w:ascii="Arial" w:cs="Arial" w:eastAsia="Arial" w:hAnsi="Arial"/>
                <w:sz w:val="10"/>
                <w:szCs w:val="10"/>
                <w:color w:val="auto"/>
                <w:w w:val="95"/>
              </w:rPr>
              <w:t>3,713</w:t>
            </w:r>
          </w:p>
        </w:tc>
        <w:tc>
          <w:tcPr>
            <w:tcW w:w="4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8"/>
              </w:rPr>
              <w:t>10.3%</w:t>
            </w:r>
          </w:p>
        </w:tc>
        <w:tc>
          <w:tcPr>
            <w:tcW w:w="420" w:type="dxa"/>
            <w:vAlign w:val="bottom"/>
          </w:tcPr>
          <w:p>
            <w:pPr>
              <w:jc w:val="center"/>
              <w:spacing w:after="0" w:line="103" w:lineRule="exact"/>
              <w:rPr>
                <w:sz w:val="20"/>
                <w:szCs w:val="20"/>
                <w:color w:val="auto"/>
              </w:rPr>
            </w:pPr>
            <w:r>
              <w:rPr>
                <w:rFonts w:ascii="Arial" w:cs="Arial" w:eastAsia="Arial" w:hAnsi="Arial"/>
                <w:sz w:val="10"/>
                <w:szCs w:val="10"/>
                <w:color w:val="auto"/>
                <w:w w:val="99"/>
              </w:rPr>
              <w:t>142,887</w:t>
            </w:r>
          </w:p>
        </w:tc>
        <w:tc>
          <w:tcPr>
            <w:tcW w:w="500" w:type="dxa"/>
            <w:vAlign w:val="bottom"/>
          </w:tcPr>
          <w:p>
            <w:pPr>
              <w:jc w:val="center"/>
              <w:spacing w:after="0" w:line="103" w:lineRule="exact"/>
              <w:rPr>
                <w:sz w:val="20"/>
                <w:szCs w:val="20"/>
                <w:color w:val="auto"/>
              </w:rPr>
            </w:pPr>
            <w:r>
              <w:rPr>
                <w:rFonts w:ascii="Arial" w:cs="Arial" w:eastAsia="Arial" w:hAnsi="Arial"/>
                <w:sz w:val="10"/>
                <w:szCs w:val="10"/>
                <w:color w:val="auto"/>
                <w:w w:val="95"/>
              </w:rPr>
              <w:t>3,869</w:t>
            </w:r>
          </w:p>
        </w:tc>
        <w:tc>
          <w:tcPr>
            <w:tcW w:w="440" w:type="dxa"/>
            <w:vAlign w:val="bottom"/>
            <w:tcBorders>
              <w:right w:val="single" w:sz="8" w:color="auto"/>
            </w:tcBorders>
          </w:tcPr>
          <w:p>
            <w:pPr>
              <w:jc w:val="center"/>
              <w:ind w:right="13"/>
              <w:spacing w:after="0" w:line="103" w:lineRule="exact"/>
              <w:rPr>
                <w:sz w:val="20"/>
                <w:szCs w:val="20"/>
                <w:color w:val="auto"/>
              </w:rPr>
            </w:pPr>
            <w:r>
              <w:rPr>
                <w:rFonts w:ascii="Arial" w:cs="Arial" w:eastAsia="Arial" w:hAnsi="Arial"/>
                <w:sz w:val="10"/>
                <w:szCs w:val="10"/>
                <w:color w:val="auto"/>
                <w:w w:val="91"/>
              </w:rPr>
              <w:t>10.8%</w:t>
            </w:r>
          </w:p>
        </w:tc>
        <w:tc>
          <w:tcPr>
            <w:tcW w:w="420" w:type="dxa"/>
            <w:vAlign w:val="bottom"/>
          </w:tcPr>
          <w:p>
            <w:pPr>
              <w:jc w:val="center"/>
              <w:spacing w:after="0" w:line="103" w:lineRule="exact"/>
              <w:rPr>
                <w:sz w:val="20"/>
                <w:szCs w:val="20"/>
                <w:color w:val="auto"/>
              </w:rPr>
            </w:pPr>
            <w:r>
              <w:rPr>
                <w:rFonts w:ascii="Arial" w:cs="Arial" w:eastAsia="Arial" w:hAnsi="Arial"/>
                <w:sz w:val="10"/>
                <w:szCs w:val="10"/>
                <w:color w:val="auto"/>
                <w:w w:val="99"/>
              </w:rPr>
              <w:t>143,872</w:t>
            </w:r>
          </w:p>
        </w:tc>
        <w:tc>
          <w:tcPr>
            <w:tcW w:w="500" w:type="dxa"/>
            <w:vAlign w:val="bottom"/>
          </w:tcPr>
          <w:p>
            <w:pPr>
              <w:jc w:val="center"/>
              <w:spacing w:after="0" w:line="103" w:lineRule="exact"/>
              <w:rPr>
                <w:sz w:val="20"/>
                <w:szCs w:val="20"/>
                <w:color w:val="auto"/>
              </w:rPr>
            </w:pPr>
            <w:r>
              <w:rPr>
                <w:rFonts w:ascii="Arial" w:cs="Arial" w:eastAsia="Arial" w:hAnsi="Arial"/>
                <w:sz w:val="10"/>
                <w:szCs w:val="10"/>
                <w:color w:val="auto"/>
                <w:w w:val="95"/>
              </w:rPr>
              <w:t>3,921</w:t>
            </w:r>
          </w:p>
        </w:tc>
        <w:tc>
          <w:tcPr>
            <w:tcW w:w="440" w:type="dxa"/>
            <w:vAlign w:val="bottom"/>
            <w:tcBorders>
              <w:right w:val="single" w:sz="8" w:color="auto"/>
            </w:tcBorders>
          </w:tcPr>
          <w:p>
            <w:pPr>
              <w:jc w:val="center"/>
              <w:ind w:right="13"/>
              <w:spacing w:after="0" w:line="103" w:lineRule="exact"/>
              <w:rPr>
                <w:sz w:val="20"/>
                <w:szCs w:val="20"/>
                <w:color w:val="auto"/>
              </w:rPr>
            </w:pPr>
            <w:r>
              <w:rPr>
                <w:rFonts w:ascii="Arial" w:cs="Arial" w:eastAsia="Arial" w:hAnsi="Arial"/>
                <w:sz w:val="10"/>
                <w:szCs w:val="10"/>
                <w:color w:val="auto"/>
                <w:w w:val="91"/>
              </w:rPr>
              <w:t>10.9%</w:t>
            </w:r>
          </w:p>
        </w:tc>
      </w:tr>
      <w:tr>
        <w:trPr>
          <w:trHeight w:val="103"/>
        </w:trPr>
        <w:tc>
          <w:tcPr>
            <w:tcW w:w="3360" w:type="dxa"/>
            <w:vAlign w:val="bottom"/>
            <w:tcBorders>
              <w:left w:val="single" w:sz="8" w:color="auto"/>
              <w:right w:val="single" w:sz="8" w:color="auto"/>
            </w:tcBorders>
          </w:tcPr>
          <w:p>
            <w:pPr>
              <w:ind w:left="140"/>
              <w:spacing w:after="0" w:line="103" w:lineRule="exact"/>
              <w:rPr>
                <w:sz w:val="20"/>
                <w:szCs w:val="20"/>
                <w:color w:val="auto"/>
              </w:rPr>
            </w:pPr>
            <w:r>
              <w:rPr>
                <w:rFonts w:ascii="Arial" w:cs="Arial" w:eastAsia="Arial" w:hAnsi="Arial"/>
                <w:sz w:val="10"/>
                <w:szCs w:val="10"/>
                <w:color w:val="auto"/>
              </w:rPr>
              <w:t>Structural</w:t>
            </w:r>
          </w:p>
        </w:tc>
        <w:tc>
          <w:tcPr>
            <w:tcW w:w="440" w:type="dxa"/>
            <w:vAlign w:val="bottom"/>
          </w:tcPr>
          <w:p>
            <w:pPr>
              <w:jc w:val="center"/>
              <w:spacing w:after="0" w:line="103" w:lineRule="exact"/>
              <w:rPr>
                <w:sz w:val="20"/>
                <w:szCs w:val="20"/>
                <w:color w:val="auto"/>
              </w:rPr>
            </w:pPr>
            <w:r>
              <w:rPr>
                <w:rFonts w:ascii="Arial" w:cs="Arial" w:eastAsia="Arial" w:hAnsi="Arial"/>
                <w:sz w:val="10"/>
                <w:szCs w:val="10"/>
                <w:color w:val="auto"/>
                <w:w w:val="99"/>
              </w:rPr>
              <w:t>138,260</w:t>
            </w:r>
          </w:p>
        </w:tc>
        <w:tc>
          <w:tcPr>
            <w:tcW w:w="480" w:type="dxa"/>
            <w:vAlign w:val="bottom"/>
          </w:tcPr>
          <w:p>
            <w:pPr>
              <w:jc w:val="center"/>
              <w:spacing w:after="0" w:line="103" w:lineRule="exact"/>
              <w:rPr>
                <w:sz w:val="20"/>
                <w:szCs w:val="20"/>
                <w:color w:val="auto"/>
              </w:rPr>
            </w:pPr>
            <w:r>
              <w:rPr>
                <w:rFonts w:ascii="Arial" w:cs="Arial" w:eastAsia="Arial" w:hAnsi="Arial"/>
                <w:sz w:val="10"/>
                <w:szCs w:val="10"/>
                <w:color w:val="auto"/>
                <w:w w:val="95"/>
              </w:rPr>
              <w:t>3,678</w:t>
            </w:r>
          </w:p>
        </w:tc>
        <w:tc>
          <w:tcPr>
            <w:tcW w:w="4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8"/>
              </w:rPr>
              <w:t>10.6%</w:t>
            </w:r>
          </w:p>
        </w:tc>
        <w:tc>
          <w:tcPr>
            <w:tcW w:w="420" w:type="dxa"/>
            <w:vAlign w:val="bottom"/>
          </w:tcPr>
          <w:p>
            <w:pPr>
              <w:jc w:val="center"/>
              <w:spacing w:after="0" w:line="103" w:lineRule="exact"/>
              <w:rPr>
                <w:sz w:val="20"/>
                <w:szCs w:val="20"/>
                <w:color w:val="auto"/>
              </w:rPr>
            </w:pPr>
            <w:r>
              <w:rPr>
                <w:rFonts w:ascii="Arial" w:cs="Arial" w:eastAsia="Arial" w:hAnsi="Arial"/>
                <w:sz w:val="10"/>
                <w:szCs w:val="10"/>
                <w:color w:val="auto"/>
                <w:w w:val="99"/>
              </w:rPr>
              <w:t>139,585</w:t>
            </w:r>
          </w:p>
        </w:tc>
        <w:tc>
          <w:tcPr>
            <w:tcW w:w="500" w:type="dxa"/>
            <w:vAlign w:val="bottom"/>
          </w:tcPr>
          <w:p>
            <w:pPr>
              <w:jc w:val="center"/>
              <w:spacing w:after="0" w:line="103" w:lineRule="exact"/>
              <w:rPr>
                <w:sz w:val="20"/>
                <w:szCs w:val="20"/>
                <w:color w:val="auto"/>
              </w:rPr>
            </w:pPr>
            <w:r>
              <w:rPr>
                <w:rFonts w:ascii="Arial" w:cs="Arial" w:eastAsia="Arial" w:hAnsi="Arial"/>
                <w:sz w:val="10"/>
                <w:szCs w:val="10"/>
                <w:color w:val="auto"/>
                <w:w w:val="95"/>
              </w:rPr>
              <w:t>3,831</w:t>
            </w:r>
          </w:p>
        </w:tc>
        <w:tc>
          <w:tcPr>
            <w:tcW w:w="440" w:type="dxa"/>
            <w:vAlign w:val="bottom"/>
            <w:tcBorders>
              <w:right w:val="single" w:sz="8" w:color="auto"/>
            </w:tcBorders>
          </w:tcPr>
          <w:p>
            <w:pPr>
              <w:jc w:val="center"/>
              <w:ind w:right="13"/>
              <w:spacing w:after="0" w:line="103" w:lineRule="exact"/>
              <w:rPr>
                <w:sz w:val="20"/>
                <w:szCs w:val="20"/>
                <w:color w:val="auto"/>
              </w:rPr>
            </w:pPr>
            <w:r>
              <w:rPr>
                <w:rFonts w:ascii="Arial" w:cs="Arial" w:eastAsia="Arial" w:hAnsi="Arial"/>
                <w:sz w:val="10"/>
                <w:szCs w:val="10"/>
                <w:color w:val="auto"/>
                <w:w w:val="91"/>
              </w:rPr>
              <w:t>11.0%</w:t>
            </w:r>
          </w:p>
        </w:tc>
        <w:tc>
          <w:tcPr>
            <w:tcW w:w="420" w:type="dxa"/>
            <w:vAlign w:val="bottom"/>
          </w:tcPr>
          <w:p>
            <w:pPr>
              <w:jc w:val="center"/>
              <w:spacing w:after="0" w:line="103" w:lineRule="exact"/>
              <w:rPr>
                <w:sz w:val="20"/>
                <w:szCs w:val="20"/>
                <w:color w:val="auto"/>
              </w:rPr>
            </w:pPr>
            <w:r>
              <w:rPr>
                <w:rFonts w:ascii="Arial" w:cs="Arial" w:eastAsia="Arial" w:hAnsi="Arial"/>
                <w:sz w:val="10"/>
                <w:szCs w:val="10"/>
                <w:color w:val="auto"/>
                <w:w w:val="99"/>
              </w:rPr>
              <w:t>140,934</w:t>
            </w:r>
          </w:p>
        </w:tc>
        <w:tc>
          <w:tcPr>
            <w:tcW w:w="500" w:type="dxa"/>
            <w:vAlign w:val="bottom"/>
          </w:tcPr>
          <w:p>
            <w:pPr>
              <w:jc w:val="center"/>
              <w:spacing w:after="0" w:line="103" w:lineRule="exact"/>
              <w:rPr>
                <w:sz w:val="20"/>
                <w:szCs w:val="20"/>
                <w:color w:val="auto"/>
              </w:rPr>
            </w:pPr>
            <w:r>
              <w:rPr>
                <w:rFonts w:ascii="Arial" w:cs="Arial" w:eastAsia="Arial" w:hAnsi="Arial"/>
                <w:sz w:val="10"/>
                <w:szCs w:val="10"/>
                <w:color w:val="auto"/>
                <w:w w:val="95"/>
              </w:rPr>
              <w:t>3,884</w:t>
            </w:r>
          </w:p>
        </w:tc>
        <w:tc>
          <w:tcPr>
            <w:tcW w:w="440" w:type="dxa"/>
            <w:vAlign w:val="bottom"/>
            <w:tcBorders>
              <w:right w:val="single" w:sz="8" w:color="auto"/>
            </w:tcBorders>
          </w:tcPr>
          <w:p>
            <w:pPr>
              <w:jc w:val="center"/>
              <w:ind w:right="13"/>
              <w:spacing w:after="0" w:line="103" w:lineRule="exact"/>
              <w:rPr>
                <w:sz w:val="20"/>
                <w:szCs w:val="20"/>
                <w:color w:val="auto"/>
              </w:rPr>
            </w:pPr>
            <w:r>
              <w:rPr>
                <w:rFonts w:ascii="Arial" w:cs="Arial" w:eastAsia="Arial" w:hAnsi="Arial"/>
                <w:sz w:val="10"/>
                <w:szCs w:val="10"/>
                <w:color w:val="auto"/>
                <w:w w:val="91"/>
              </w:rPr>
              <w:t>11.0%</w:t>
            </w:r>
          </w:p>
        </w:tc>
      </w:tr>
      <w:tr>
        <w:trPr>
          <w:trHeight w:val="115"/>
        </w:trPr>
        <w:tc>
          <w:tcPr>
            <w:tcW w:w="33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Government Programs</w:t>
            </w: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5,745</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9"/>
              </w:rPr>
              <w:t>34</w:t>
            </w:r>
          </w:p>
        </w:tc>
        <w:tc>
          <w:tcPr>
            <w:tcW w:w="440" w:type="dxa"/>
            <w:vAlign w:val="bottom"/>
            <w:tcBorders>
              <w:bottom w:val="single" w:sz="8" w:color="auto"/>
              <w:right w:val="single" w:sz="8" w:color="auto"/>
            </w:tcBorders>
          </w:tcPr>
          <w:p>
            <w:pPr>
              <w:jc w:val="center"/>
              <w:ind w:right="13"/>
              <w:spacing w:after="0"/>
              <w:rPr>
                <w:sz w:val="20"/>
                <w:szCs w:val="20"/>
                <w:color w:val="auto"/>
              </w:rPr>
            </w:pPr>
            <w:r>
              <w:rPr>
                <w:rFonts w:ascii="Arial" w:cs="Arial" w:eastAsia="Arial" w:hAnsi="Arial"/>
                <w:sz w:val="10"/>
                <w:szCs w:val="10"/>
                <w:color w:val="auto"/>
                <w:w w:val="96"/>
              </w:rPr>
              <w:t>2.4%</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3,302</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9"/>
              </w:rPr>
              <w:t>38</w:t>
            </w:r>
          </w:p>
        </w:tc>
        <w:tc>
          <w:tcPr>
            <w:tcW w:w="440" w:type="dxa"/>
            <w:vAlign w:val="bottom"/>
            <w:tcBorders>
              <w:bottom w:val="single" w:sz="8" w:color="auto"/>
              <w:right w:val="single" w:sz="8" w:color="auto"/>
            </w:tcBorders>
          </w:tcPr>
          <w:p>
            <w:pPr>
              <w:jc w:val="center"/>
              <w:ind w:right="13"/>
              <w:spacing w:after="0"/>
              <w:rPr>
                <w:sz w:val="20"/>
                <w:szCs w:val="20"/>
                <w:color w:val="auto"/>
              </w:rPr>
            </w:pPr>
            <w:r>
              <w:rPr>
                <w:rFonts w:ascii="Arial" w:cs="Arial" w:eastAsia="Arial" w:hAnsi="Arial"/>
                <w:sz w:val="10"/>
                <w:szCs w:val="10"/>
                <w:color w:val="auto"/>
                <w:w w:val="96"/>
              </w:rPr>
              <w:t>4.6%</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2,938</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9"/>
              </w:rPr>
              <w:t>37</w:t>
            </w:r>
          </w:p>
        </w:tc>
        <w:tc>
          <w:tcPr>
            <w:tcW w:w="440" w:type="dxa"/>
            <w:vAlign w:val="bottom"/>
            <w:tcBorders>
              <w:bottom w:val="single" w:sz="8" w:color="auto"/>
              <w:right w:val="single" w:sz="8" w:color="auto"/>
            </w:tcBorders>
          </w:tcPr>
          <w:p>
            <w:pPr>
              <w:jc w:val="center"/>
              <w:ind w:right="13"/>
              <w:spacing w:after="0"/>
              <w:rPr>
                <w:sz w:val="20"/>
                <w:szCs w:val="20"/>
                <w:color w:val="auto"/>
              </w:rPr>
            </w:pPr>
            <w:r>
              <w:rPr>
                <w:rFonts w:ascii="Arial" w:cs="Arial" w:eastAsia="Arial" w:hAnsi="Arial"/>
                <w:sz w:val="10"/>
                <w:szCs w:val="10"/>
                <w:color w:val="auto"/>
                <w:w w:val="96"/>
              </w:rPr>
              <w:t>5.1%</w:t>
            </w:r>
          </w:p>
        </w:tc>
      </w:tr>
      <w:tr>
        <w:trPr>
          <w:trHeight w:val="93"/>
        </w:trPr>
        <w:tc>
          <w:tcPr>
            <w:tcW w:w="3360" w:type="dxa"/>
            <w:vAlign w:val="bottom"/>
            <w:tcBorders>
              <w:left w:val="single" w:sz="8" w:color="auto"/>
              <w:bottom w:val="single" w:sz="8" w:color="auto"/>
              <w:right w:val="single" w:sz="8" w:color="auto"/>
            </w:tcBorders>
          </w:tcPr>
          <w:p>
            <w:pPr>
              <w:ind w:left="20"/>
              <w:spacing w:after="0" w:line="93" w:lineRule="exact"/>
              <w:rPr>
                <w:sz w:val="20"/>
                <w:szCs w:val="20"/>
                <w:color w:val="auto"/>
              </w:rPr>
            </w:pPr>
            <w:r>
              <w:rPr>
                <w:rFonts w:ascii="Arial" w:cs="Arial" w:eastAsia="Arial" w:hAnsi="Arial"/>
                <w:sz w:val="10"/>
                <w:szCs w:val="10"/>
                <w:b w:val="1"/>
                <w:bCs w:val="1"/>
                <w:color w:val="auto"/>
              </w:rPr>
              <w:t>Total IEA</w:t>
            </w:r>
          </w:p>
        </w:tc>
        <w:tc>
          <w:tcPr>
            <w:tcW w:w="44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9"/>
              </w:rPr>
              <w:t>220,652</w:t>
            </w:r>
          </w:p>
        </w:tc>
        <w:tc>
          <w:tcPr>
            <w:tcW w:w="48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5"/>
              </w:rPr>
              <w:t>4,653</w:t>
            </w:r>
          </w:p>
        </w:tc>
        <w:tc>
          <w:tcPr>
            <w:tcW w:w="440" w:type="dxa"/>
            <w:vAlign w:val="bottom"/>
            <w:tcBorders>
              <w:bottom w:val="single" w:sz="8" w:color="auto"/>
              <w:right w:val="single" w:sz="8" w:color="auto"/>
            </w:tcBorders>
          </w:tcPr>
          <w:p>
            <w:pPr>
              <w:jc w:val="center"/>
              <w:ind w:right="13"/>
              <w:spacing w:after="0" w:line="93" w:lineRule="exact"/>
              <w:rPr>
                <w:sz w:val="20"/>
                <w:szCs w:val="20"/>
                <w:color w:val="auto"/>
              </w:rPr>
            </w:pPr>
            <w:r>
              <w:rPr>
                <w:rFonts w:ascii="Arial" w:cs="Arial" w:eastAsia="Arial" w:hAnsi="Arial"/>
                <w:sz w:val="10"/>
                <w:szCs w:val="10"/>
                <w:b w:val="1"/>
                <w:bCs w:val="1"/>
                <w:color w:val="auto"/>
                <w:w w:val="96"/>
              </w:rPr>
              <w:t>8.4%</w:t>
            </w:r>
          </w:p>
        </w:tc>
        <w:tc>
          <w:tcPr>
            <w:tcW w:w="42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9"/>
              </w:rPr>
              <w:t>225,298</w:t>
            </w:r>
          </w:p>
        </w:tc>
        <w:tc>
          <w:tcPr>
            <w:tcW w:w="5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5"/>
              </w:rPr>
              <w:t>4,926</w:t>
            </w:r>
          </w:p>
        </w:tc>
        <w:tc>
          <w:tcPr>
            <w:tcW w:w="440" w:type="dxa"/>
            <w:vAlign w:val="bottom"/>
            <w:tcBorders>
              <w:bottom w:val="single" w:sz="8" w:color="auto"/>
              <w:right w:val="single" w:sz="8" w:color="auto"/>
            </w:tcBorders>
          </w:tcPr>
          <w:p>
            <w:pPr>
              <w:jc w:val="center"/>
              <w:ind w:right="13"/>
              <w:spacing w:after="0" w:line="93" w:lineRule="exact"/>
              <w:rPr>
                <w:sz w:val="20"/>
                <w:szCs w:val="20"/>
                <w:color w:val="auto"/>
              </w:rPr>
            </w:pPr>
            <w:r>
              <w:rPr>
                <w:rFonts w:ascii="Arial" w:cs="Arial" w:eastAsia="Arial" w:hAnsi="Arial"/>
                <w:sz w:val="10"/>
                <w:szCs w:val="10"/>
                <w:b w:val="1"/>
                <w:bCs w:val="1"/>
                <w:color w:val="auto"/>
                <w:w w:val="96"/>
              </w:rPr>
              <w:t>8.7%</w:t>
            </w:r>
          </w:p>
        </w:tc>
        <w:tc>
          <w:tcPr>
            <w:tcW w:w="42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9"/>
              </w:rPr>
              <w:t>227,161</w:t>
            </w:r>
          </w:p>
        </w:tc>
        <w:tc>
          <w:tcPr>
            <w:tcW w:w="5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5"/>
              </w:rPr>
              <w:t>4,935</w:t>
            </w:r>
          </w:p>
        </w:tc>
        <w:tc>
          <w:tcPr>
            <w:tcW w:w="440" w:type="dxa"/>
            <w:vAlign w:val="bottom"/>
            <w:tcBorders>
              <w:bottom w:val="single" w:sz="8" w:color="auto"/>
              <w:right w:val="single" w:sz="8" w:color="auto"/>
            </w:tcBorders>
          </w:tcPr>
          <w:p>
            <w:pPr>
              <w:jc w:val="center"/>
              <w:ind w:right="13"/>
              <w:spacing w:after="0" w:line="93" w:lineRule="exact"/>
              <w:rPr>
                <w:sz w:val="20"/>
                <w:szCs w:val="20"/>
                <w:color w:val="auto"/>
              </w:rPr>
            </w:pPr>
            <w:r>
              <w:rPr>
                <w:rFonts w:ascii="Arial" w:cs="Arial" w:eastAsia="Arial" w:hAnsi="Arial"/>
                <w:sz w:val="10"/>
                <w:szCs w:val="10"/>
                <w:b w:val="1"/>
                <w:bCs w:val="1"/>
                <w:color w:val="auto"/>
                <w:w w:val="96"/>
              </w:rPr>
              <w:t>8.7%</w:t>
            </w:r>
          </w:p>
        </w:tc>
      </w:tr>
      <w:tr>
        <w:trPr>
          <w:trHeight w:val="93"/>
        </w:trPr>
        <w:tc>
          <w:tcPr>
            <w:tcW w:w="3360" w:type="dxa"/>
            <w:vAlign w:val="bottom"/>
            <w:tcBorders>
              <w:left w:val="single" w:sz="8" w:color="auto"/>
              <w:bottom w:val="single" w:sz="8" w:color="auto"/>
              <w:right w:val="single" w:sz="8" w:color="auto"/>
            </w:tcBorders>
          </w:tcPr>
          <w:p>
            <w:pPr>
              <w:ind w:left="20"/>
              <w:spacing w:after="0" w:line="93" w:lineRule="exact"/>
              <w:rPr>
                <w:sz w:val="20"/>
                <w:szCs w:val="20"/>
                <w:color w:val="auto"/>
              </w:rPr>
            </w:pPr>
            <w:r>
              <w:rPr>
                <w:rFonts w:ascii="Arial" w:cs="Arial" w:eastAsia="Arial" w:hAnsi="Arial"/>
                <w:sz w:val="10"/>
                <w:szCs w:val="10"/>
                <w:color w:val="auto"/>
              </w:rPr>
              <w:t>IEA (LC)</w:t>
            </w:r>
          </w:p>
        </w:tc>
        <w:tc>
          <w:tcPr>
            <w:tcW w:w="44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1"/>
              </w:rPr>
              <w:t>57.3%</w:t>
            </w:r>
          </w:p>
        </w:tc>
        <w:tc>
          <w:tcPr>
            <w:tcW w:w="48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8"/>
              </w:rPr>
              <w:t>71.4%</w:t>
            </w:r>
          </w:p>
        </w:tc>
        <w:tc>
          <w:tcPr>
            <w:tcW w:w="44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color w:val="auto"/>
                <w:w w:val="98"/>
              </w:rPr>
              <w:t>10.5%</w:t>
            </w:r>
          </w:p>
        </w:tc>
        <w:tc>
          <w:tcPr>
            <w:tcW w:w="42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1"/>
              </w:rPr>
              <w:t>58.0%</w:t>
            </w:r>
          </w:p>
        </w:tc>
        <w:tc>
          <w:tcPr>
            <w:tcW w:w="5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8"/>
              </w:rPr>
              <w:t>69.9%</w:t>
            </w:r>
          </w:p>
        </w:tc>
        <w:tc>
          <w:tcPr>
            <w:tcW w:w="440" w:type="dxa"/>
            <w:vAlign w:val="bottom"/>
            <w:tcBorders>
              <w:bottom w:val="single" w:sz="8" w:color="auto"/>
              <w:right w:val="single" w:sz="8" w:color="auto"/>
            </w:tcBorders>
          </w:tcPr>
          <w:p>
            <w:pPr>
              <w:jc w:val="center"/>
              <w:ind w:right="13"/>
              <w:spacing w:after="0" w:line="93" w:lineRule="exact"/>
              <w:rPr>
                <w:sz w:val="20"/>
                <w:szCs w:val="20"/>
                <w:color w:val="auto"/>
              </w:rPr>
            </w:pPr>
            <w:r>
              <w:rPr>
                <w:rFonts w:ascii="Arial" w:cs="Arial" w:eastAsia="Arial" w:hAnsi="Arial"/>
                <w:sz w:val="10"/>
                <w:szCs w:val="10"/>
                <w:color w:val="auto"/>
                <w:w w:val="91"/>
              </w:rPr>
              <w:t>10.5%</w:t>
            </w:r>
          </w:p>
        </w:tc>
        <w:tc>
          <w:tcPr>
            <w:tcW w:w="42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8"/>
              </w:rPr>
              <w:t>57.4%</w:t>
            </w:r>
          </w:p>
        </w:tc>
        <w:tc>
          <w:tcPr>
            <w:tcW w:w="5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8"/>
              </w:rPr>
              <w:t>69.4%</w:t>
            </w:r>
          </w:p>
        </w:tc>
        <w:tc>
          <w:tcPr>
            <w:tcW w:w="440" w:type="dxa"/>
            <w:vAlign w:val="bottom"/>
            <w:tcBorders>
              <w:bottom w:val="single" w:sz="8" w:color="auto"/>
              <w:right w:val="single" w:sz="8" w:color="auto"/>
            </w:tcBorders>
          </w:tcPr>
          <w:p>
            <w:pPr>
              <w:jc w:val="center"/>
              <w:ind w:right="13"/>
              <w:spacing w:after="0" w:line="93" w:lineRule="exact"/>
              <w:rPr>
                <w:sz w:val="20"/>
                <w:szCs w:val="20"/>
                <w:color w:val="auto"/>
              </w:rPr>
            </w:pPr>
            <w:r>
              <w:rPr>
                <w:rFonts w:ascii="Arial" w:cs="Arial" w:eastAsia="Arial" w:hAnsi="Arial"/>
                <w:sz w:val="10"/>
                <w:szCs w:val="10"/>
                <w:color w:val="auto"/>
                <w:w w:val="91"/>
              </w:rPr>
              <w:t>10.5%</w:t>
            </w:r>
          </w:p>
        </w:tc>
      </w:tr>
      <w:tr>
        <w:trPr>
          <w:trHeight w:val="93"/>
        </w:trPr>
        <w:tc>
          <w:tcPr>
            <w:tcW w:w="3360" w:type="dxa"/>
            <w:vAlign w:val="bottom"/>
            <w:tcBorders>
              <w:left w:val="single" w:sz="8" w:color="auto"/>
              <w:bottom w:val="single" w:sz="8" w:color="auto"/>
              <w:right w:val="single" w:sz="8" w:color="auto"/>
            </w:tcBorders>
          </w:tcPr>
          <w:p>
            <w:pPr>
              <w:ind w:left="20"/>
              <w:spacing w:after="0" w:line="93" w:lineRule="exact"/>
              <w:rPr>
                <w:sz w:val="20"/>
                <w:szCs w:val="20"/>
                <w:color w:val="auto"/>
              </w:rPr>
            </w:pPr>
            <w:r>
              <w:rPr>
                <w:rFonts w:ascii="Arial" w:cs="Arial" w:eastAsia="Arial" w:hAnsi="Arial"/>
                <w:sz w:val="10"/>
                <w:szCs w:val="10"/>
                <w:color w:val="auto"/>
              </w:rPr>
              <w:t>IEA (FC)</w:t>
            </w:r>
          </w:p>
        </w:tc>
        <w:tc>
          <w:tcPr>
            <w:tcW w:w="44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1"/>
              </w:rPr>
              <w:t>42.7%</w:t>
            </w:r>
          </w:p>
        </w:tc>
        <w:tc>
          <w:tcPr>
            <w:tcW w:w="48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8"/>
              </w:rPr>
              <w:t>28.6%</w:t>
            </w:r>
          </w:p>
        </w:tc>
        <w:tc>
          <w:tcPr>
            <w:tcW w:w="440" w:type="dxa"/>
            <w:vAlign w:val="bottom"/>
            <w:tcBorders>
              <w:bottom w:val="single" w:sz="8" w:color="auto"/>
              <w:right w:val="single" w:sz="8" w:color="auto"/>
            </w:tcBorders>
          </w:tcPr>
          <w:p>
            <w:pPr>
              <w:jc w:val="center"/>
              <w:ind w:right="13"/>
              <w:spacing w:after="0" w:line="93" w:lineRule="exact"/>
              <w:rPr>
                <w:sz w:val="20"/>
                <w:szCs w:val="20"/>
                <w:color w:val="auto"/>
              </w:rPr>
            </w:pPr>
            <w:r>
              <w:rPr>
                <w:rFonts w:ascii="Arial" w:cs="Arial" w:eastAsia="Arial" w:hAnsi="Arial"/>
                <w:sz w:val="10"/>
                <w:szCs w:val="10"/>
                <w:color w:val="auto"/>
                <w:w w:val="96"/>
              </w:rPr>
              <w:t>5.7%</w:t>
            </w:r>
          </w:p>
        </w:tc>
        <w:tc>
          <w:tcPr>
            <w:tcW w:w="42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1"/>
              </w:rPr>
              <w:t>42.0%</w:t>
            </w:r>
          </w:p>
        </w:tc>
        <w:tc>
          <w:tcPr>
            <w:tcW w:w="5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8"/>
              </w:rPr>
              <w:t>30.1%</w:t>
            </w:r>
          </w:p>
        </w:tc>
        <w:tc>
          <w:tcPr>
            <w:tcW w:w="440" w:type="dxa"/>
            <w:vAlign w:val="bottom"/>
            <w:tcBorders>
              <w:bottom w:val="single" w:sz="8" w:color="auto"/>
              <w:right w:val="single" w:sz="8" w:color="auto"/>
            </w:tcBorders>
          </w:tcPr>
          <w:p>
            <w:pPr>
              <w:jc w:val="center"/>
              <w:ind w:right="13"/>
              <w:spacing w:after="0" w:line="93" w:lineRule="exact"/>
              <w:rPr>
                <w:sz w:val="20"/>
                <w:szCs w:val="20"/>
                <w:color w:val="auto"/>
              </w:rPr>
            </w:pPr>
            <w:r>
              <w:rPr>
                <w:rFonts w:ascii="Arial" w:cs="Arial" w:eastAsia="Arial" w:hAnsi="Arial"/>
                <w:sz w:val="10"/>
                <w:szCs w:val="10"/>
                <w:color w:val="auto"/>
                <w:w w:val="96"/>
              </w:rPr>
              <w:t>6.3%</w:t>
            </w:r>
          </w:p>
        </w:tc>
        <w:tc>
          <w:tcPr>
            <w:tcW w:w="42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8"/>
              </w:rPr>
              <w:t>42.6%</w:t>
            </w:r>
          </w:p>
        </w:tc>
        <w:tc>
          <w:tcPr>
            <w:tcW w:w="5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8"/>
              </w:rPr>
              <w:t>30.6%</w:t>
            </w:r>
          </w:p>
        </w:tc>
        <w:tc>
          <w:tcPr>
            <w:tcW w:w="440" w:type="dxa"/>
            <w:vAlign w:val="bottom"/>
            <w:tcBorders>
              <w:bottom w:val="single" w:sz="8" w:color="auto"/>
              <w:right w:val="single" w:sz="8" w:color="auto"/>
            </w:tcBorders>
          </w:tcPr>
          <w:p>
            <w:pPr>
              <w:jc w:val="center"/>
              <w:ind w:right="13"/>
              <w:spacing w:after="0" w:line="93" w:lineRule="exact"/>
              <w:rPr>
                <w:sz w:val="20"/>
                <w:szCs w:val="20"/>
                <w:color w:val="auto"/>
              </w:rPr>
            </w:pPr>
            <w:r>
              <w:rPr>
                <w:rFonts w:ascii="Arial" w:cs="Arial" w:eastAsia="Arial" w:hAnsi="Arial"/>
                <w:sz w:val="10"/>
                <w:szCs w:val="10"/>
                <w:color w:val="auto"/>
                <w:w w:val="96"/>
              </w:rPr>
              <w:t>6.2%</w:t>
            </w:r>
          </w:p>
        </w:tc>
      </w:tr>
      <w:tr>
        <w:trPr>
          <w:trHeight w:val="93"/>
        </w:trPr>
        <w:tc>
          <w:tcPr>
            <w:tcW w:w="33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79"/>
        </w:trPr>
        <w:tc>
          <w:tcPr>
            <w:tcW w:w="3360" w:type="dxa"/>
            <w:vAlign w:val="bottom"/>
            <w:tcBorders>
              <w:left w:val="single" w:sz="8" w:color="auto"/>
              <w:right w:val="single" w:sz="8" w:color="auto"/>
            </w:tcBorders>
            <w:shd w:val="clear" w:color="auto" w:fill="2AD2C9"/>
          </w:tcPr>
          <w:p>
            <w:pPr>
              <w:ind w:left="20"/>
              <w:spacing w:after="0" w:line="79" w:lineRule="exact"/>
              <w:rPr>
                <w:sz w:val="20"/>
                <w:szCs w:val="20"/>
                <w:color w:val="auto"/>
              </w:rPr>
            </w:pPr>
            <w:r>
              <w:rPr>
                <w:rFonts w:ascii="Arial" w:cs="Arial" w:eastAsia="Arial" w:hAnsi="Arial"/>
                <w:sz w:val="8"/>
                <w:szCs w:val="8"/>
                <w:b w:val="1"/>
                <w:bCs w:val="1"/>
                <w:color w:val="FFFFFF"/>
              </w:rPr>
              <w:t>Interest Expense / Funding</w:t>
            </w:r>
          </w:p>
        </w:tc>
        <w:tc>
          <w:tcPr>
            <w:tcW w:w="440" w:type="dxa"/>
            <w:vAlign w:val="bottom"/>
            <w:shd w:val="clear" w:color="auto" w:fill="2AD2C9"/>
          </w:tcPr>
          <w:p>
            <w:pPr>
              <w:spacing w:after="0"/>
              <w:rPr>
                <w:sz w:val="6"/>
                <w:szCs w:val="6"/>
                <w:color w:val="auto"/>
              </w:rPr>
            </w:pPr>
          </w:p>
        </w:tc>
        <w:tc>
          <w:tcPr>
            <w:tcW w:w="480" w:type="dxa"/>
            <w:vAlign w:val="bottom"/>
            <w:shd w:val="clear" w:color="auto" w:fill="2AD2C9"/>
          </w:tcPr>
          <w:p>
            <w:pPr>
              <w:jc w:val="center"/>
              <w:spacing w:after="0" w:line="79" w:lineRule="exact"/>
              <w:rPr>
                <w:sz w:val="20"/>
                <w:szCs w:val="20"/>
                <w:color w:val="auto"/>
              </w:rPr>
            </w:pPr>
            <w:r>
              <w:rPr>
                <w:rFonts w:ascii="Arial" w:cs="Arial" w:eastAsia="Arial" w:hAnsi="Arial"/>
                <w:sz w:val="8"/>
                <w:szCs w:val="8"/>
                <w:b w:val="1"/>
                <w:bCs w:val="1"/>
                <w:color w:val="FFFFFF"/>
              </w:rPr>
              <w:t>2Q23</w:t>
            </w:r>
          </w:p>
        </w:tc>
        <w:tc>
          <w:tcPr>
            <w:tcW w:w="440" w:type="dxa"/>
            <w:vAlign w:val="bottom"/>
            <w:tcBorders>
              <w:right w:val="single" w:sz="8" w:color="auto"/>
            </w:tcBorders>
            <w:shd w:val="clear" w:color="auto" w:fill="2AD2C9"/>
          </w:tcPr>
          <w:p>
            <w:pPr>
              <w:spacing w:after="0"/>
              <w:rPr>
                <w:sz w:val="6"/>
                <w:szCs w:val="6"/>
                <w:color w:val="auto"/>
              </w:rPr>
            </w:pPr>
          </w:p>
        </w:tc>
        <w:tc>
          <w:tcPr>
            <w:tcW w:w="420" w:type="dxa"/>
            <w:vAlign w:val="bottom"/>
            <w:shd w:val="clear" w:color="auto" w:fill="2AD2C9"/>
          </w:tcPr>
          <w:p>
            <w:pPr>
              <w:spacing w:after="0"/>
              <w:rPr>
                <w:sz w:val="6"/>
                <w:szCs w:val="6"/>
                <w:color w:val="auto"/>
              </w:rPr>
            </w:pPr>
          </w:p>
        </w:tc>
        <w:tc>
          <w:tcPr>
            <w:tcW w:w="500" w:type="dxa"/>
            <w:vAlign w:val="bottom"/>
            <w:shd w:val="clear" w:color="auto" w:fill="2AD2C9"/>
          </w:tcPr>
          <w:p>
            <w:pPr>
              <w:jc w:val="center"/>
              <w:spacing w:after="0" w:line="79" w:lineRule="exact"/>
              <w:rPr>
                <w:sz w:val="20"/>
                <w:szCs w:val="20"/>
                <w:color w:val="auto"/>
              </w:rPr>
            </w:pPr>
            <w:r>
              <w:rPr>
                <w:rFonts w:ascii="Arial" w:cs="Arial" w:eastAsia="Arial" w:hAnsi="Arial"/>
                <w:sz w:val="8"/>
                <w:szCs w:val="8"/>
                <w:b w:val="1"/>
                <w:bCs w:val="1"/>
                <w:color w:val="FFFFFF"/>
              </w:rPr>
              <w:t>1Q24</w:t>
            </w:r>
          </w:p>
        </w:tc>
        <w:tc>
          <w:tcPr>
            <w:tcW w:w="440" w:type="dxa"/>
            <w:vAlign w:val="bottom"/>
            <w:tcBorders>
              <w:right w:val="single" w:sz="8" w:color="auto"/>
            </w:tcBorders>
            <w:shd w:val="clear" w:color="auto" w:fill="2AD2C9"/>
          </w:tcPr>
          <w:p>
            <w:pPr>
              <w:spacing w:after="0"/>
              <w:rPr>
                <w:sz w:val="6"/>
                <w:szCs w:val="6"/>
                <w:color w:val="auto"/>
              </w:rPr>
            </w:pPr>
          </w:p>
        </w:tc>
        <w:tc>
          <w:tcPr>
            <w:tcW w:w="420" w:type="dxa"/>
            <w:vAlign w:val="bottom"/>
            <w:shd w:val="clear" w:color="auto" w:fill="2AD2C9"/>
          </w:tcPr>
          <w:p>
            <w:pPr>
              <w:spacing w:after="0"/>
              <w:rPr>
                <w:sz w:val="6"/>
                <w:szCs w:val="6"/>
                <w:color w:val="auto"/>
              </w:rPr>
            </w:pPr>
          </w:p>
        </w:tc>
        <w:tc>
          <w:tcPr>
            <w:tcW w:w="500" w:type="dxa"/>
            <w:vAlign w:val="bottom"/>
            <w:shd w:val="clear" w:color="auto" w:fill="2AD2C9"/>
          </w:tcPr>
          <w:p>
            <w:pPr>
              <w:jc w:val="center"/>
              <w:spacing w:after="0" w:line="79" w:lineRule="exact"/>
              <w:rPr>
                <w:sz w:val="20"/>
                <w:szCs w:val="20"/>
                <w:color w:val="auto"/>
              </w:rPr>
            </w:pPr>
            <w:r>
              <w:rPr>
                <w:rFonts w:ascii="Arial" w:cs="Arial" w:eastAsia="Arial" w:hAnsi="Arial"/>
                <w:sz w:val="8"/>
                <w:szCs w:val="8"/>
                <w:b w:val="1"/>
                <w:bCs w:val="1"/>
                <w:color w:val="FFFFFF"/>
              </w:rPr>
              <w:t>2Q24</w:t>
            </w:r>
          </w:p>
        </w:tc>
        <w:tc>
          <w:tcPr>
            <w:tcW w:w="440" w:type="dxa"/>
            <w:vAlign w:val="bottom"/>
            <w:tcBorders>
              <w:right w:val="single" w:sz="8" w:color="auto"/>
            </w:tcBorders>
            <w:shd w:val="clear" w:color="auto" w:fill="2AD2C9"/>
          </w:tcPr>
          <w:p>
            <w:pPr>
              <w:spacing w:after="0"/>
              <w:rPr>
                <w:sz w:val="6"/>
                <w:szCs w:val="6"/>
                <w:color w:val="auto"/>
              </w:rPr>
            </w:pPr>
          </w:p>
        </w:tc>
      </w:tr>
      <w:tr>
        <w:trPr>
          <w:trHeight w:val="103"/>
        </w:trPr>
        <w:tc>
          <w:tcPr>
            <w:tcW w:w="3360" w:type="dxa"/>
            <w:vAlign w:val="bottom"/>
            <w:tcBorders>
              <w:left w:val="single" w:sz="8" w:color="auto"/>
              <w:right w:val="single" w:sz="8" w:color="auto"/>
            </w:tcBorders>
            <w:shd w:val="clear" w:color="auto" w:fill="2AD2C9"/>
          </w:tcPr>
          <w:p>
            <w:pPr>
              <w:ind w:left="20"/>
              <w:spacing w:after="0" w:line="103" w:lineRule="exact"/>
              <w:rPr>
                <w:sz w:val="20"/>
                <w:szCs w:val="20"/>
                <w:color w:val="auto"/>
              </w:rPr>
            </w:pPr>
            <w:r>
              <w:rPr>
                <w:rFonts w:ascii="Arial" w:cs="Arial" w:eastAsia="Arial" w:hAnsi="Arial"/>
                <w:sz w:val="10"/>
                <w:szCs w:val="10"/>
                <w:b w:val="1"/>
                <w:bCs w:val="1"/>
                <w:color w:val="FFFFFF"/>
              </w:rPr>
              <w:t>S/ millions</w:t>
            </w:r>
          </w:p>
        </w:tc>
        <w:tc>
          <w:tcPr>
            <w:tcW w:w="440" w:type="dxa"/>
            <w:vAlign w:val="bottom"/>
            <w:shd w:val="clear" w:color="auto" w:fill="2AD2C9"/>
          </w:tcPr>
          <w:p>
            <w:pPr>
              <w:ind w:left="20"/>
              <w:spacing w:after="0" w:line="103" w:lineRule="exact"/>
              <w:rPr>
                <w:sz w:val="20"/>
                <w:szCs w:val="20"/>
                <w:color w:val="auto"/>
              </w:rPr>
            </w:pPr>
            <w:r>
              <w:rPr>
                <w:rFonts w:ascii="Arial" w:cs="Arial" w:eastAsia="Arial" w:hAnsi="Arial"/>
                <w:sz w:val="10"/>
                <w:szCs w:val="10"/>
                <w:b w:val="1"/>
                <w:bCs w:val="1"/>
                <w:color w:val="FFFFFF"/>
              </w:rPr>
              <w:t>Average</w:t>
            </w:r>
          </w:p>
        </w:tc>
        <w:tc>
          <w:tcPr>
            <w:tcW w:w="480" w:type="dxa"/>
            <w:vAlign w:val="bottom"/>
            <w:shd w:val="clear" w:color="auto" w:fill="2AD2C9"/>
          </w:tcPr>
          <w:p>
            <w:pPr>
              <w:spacing w:after="0"/>
              <w:rPr>
                <w:sz w:val="8"/>
                <w:szCs w:val="8"/>
                <w:color w:val="auto"/>
              </w:rPr>
            </w:pPr>
          </w:p>
        </w:tc>
        <w:tc>
          <w:tcPr>
            <w:tcW w:w="440" w:type="dxa"/>
            <w:vAlign w:val="bottom"/>
            <w:tcBorders>
              <w:right w:val="single" w:sz="8" w:color="auto"/>
            </w:tcBorders>
            <w:shd w:val="clear" w:color="auto" w:fill="2AD2C9"/>
          </w:tcPr>
          <w:p>
            <w:pPr>
              <w:spacing w:after="0"/>
              <w:rPr>
                <w:sz w:val="8"/>
                <w:szCs w:val="8"/>
                <w:color w:val="auto"/>
              </w:rPr>
            </w:pPr>
          </w:p>
        </w:tc>
        <w:tc>
          <w:tcPr>
            <w:tcW w:w="420" w:type="dxa"/>
            <w:vAlign w:val="bottom"/>
            <w:shd w:val="clear" w:color="auto" w:fill="2AD2C9"/>
          </w:tcPr>
          <w:p>
            <w:pPr>
              <w:ind w:left="20"/>
              <w:spacing w:after="0" w:line="103" w:lineRule="exact"/>
              <w:rPr>
                <w:sz w:val="20"/>
                <w:szCs w:val="20"/>
                <w:color w:val="auto"/>
              </w:rPr>
            </w:pPr>
            <w:r>
              <w:rPr>
                <w:rFonts w:ascii="Arial" w:cs="Arial" w:eastAsia="Arial" w:hAnsi="Arial"/>
                <w:sz w:val="10"/>
                <w:szCs w:val="10"/>
                <w:b w:val="1"/>
                <w:bCs w:val="1"/>
                <w:color w:val="FFFFFF"/>
                <w:w w:val="96"/>
              </w:rPr>
              <w:t>Average</w:t>
            </w:r>
          </w:p>
        </w:tc>
        <w:tc>
          <w:tcPr>
            <w:tcW w:w="500" w:type="dxa"/>
            <w:vAlign w:val="bottom"/>
            <w:shd w:val="clear" w:color="auto" w:fill="2AD2C9"/>
          </w:tcPr>
          <w:p>
            <w:pPr>
              <w:spacing w:after="0"/>
              <w:rPr>
                <w:sz w:val="8"/>
                <w:szCs w:val="8"/>
                <w:color w:val="auto"/>
              </w:rPr>
            </w:pPr>
          </w:p>
        </w:tc>
        <w:tc>
          <w:tcPr>
            <w:tcW w:w="440" w:type="dxa"/>
            <w:vAlign w:val="bottom"/>
            <w:tcBorders>
              <w:right w:val="single" w:sz="8" w:color="auto"/>
            </w:tcBorders>
            <w:shd w:val="clear" w:color="auto" w:fill="2AD2C9"/>
          </w:tcPr>
          <w:p>
            <w:pPr>
              <w:spacing w:after="0"/>
              <w:rPr>
                <w:sz w:val="8"/>
                <w:szCs w:val="8"/>
                <w:color w:val="auto"/>
              </w:rPr>
            </w:pPr>
          </w:p>
        </w:tc>
        <w:tc>
          <w:tcPr>
            <w:tcW w:w="420" w:type="dxa"/>
            <w:vAlign w:val="bottom"/>
            <w:shd w:val="clear" w:color="auto" w:fill="2AD2C9"/>
          </w:tcPr>
          <w:p>
            <w:pPr>
              <w:ind w:left="20"/>
              <w:spacing w:after="0" w:line="103" w:lineRule="exact"/>
              <w:rPr>
                <w:sz w:val="20"/>
                <w:szCs w:val="20"/>
                <w:color w:val="auto"/>
              </w:rPr>
            </w:pPr>
            <w:r>
              <w:rPr>
                <w:rFonts w:ascii="Arial" w:cs="Arial" w:eastAsia="Arial" w:hAnsi="Arial"/>
                <w:sz w:val="10"/>
                <w:szCs w:val="10"/>
                <w:b w:val="1"/>
                <w:bCs w:val="1"/>
                <w:color w:val="FFFFFF"/>
                <w:w w:val="96"/>
              </w:rPr>
              <w:t>Average</w:t>
            </w:r>
          </w:p>
        </w:tc>
        <w:tc>
          <w:tcPr>
            <w:tcW w:w="500" w:type="dxa"/>
            <w:vAlign w:val="bottom"/>
            <w:shd w:val="clear" w:color="auto" w:fill="2AD2C9"/>
          </w:tcPr>
          <w:p>
            <w:pPr>
              <w:spacing w:after="0"/>
              <w:rPr>
                <w:sz w:val="8"/>
                <w:szCs w:val="8"/>
                <w:color w:val="auto"/>
              </w:rPr>
            </w:pPr>
          </w:p>
        </w:tc>
        <w:tc>
          <w:tcPr>
            <w:tcW w:w="440" w:type="dxa"/>
            <w:vAlign w:val="bottom"/>
            <w:tcBorders>
              <w:right w:val="single" w:sz="8" w:color="auto"/>
            </w:tcBorders>
            <w:shd w:val="clear" w:color="auto" w:fill="2AD2C9"/>
          </w:tcPr>
          <w:p>
            <w:pPr>
              <w:spacing w:after="0"/>
              <w:rPr>
                <w:sz w:val="8"/>
                <w:szCs w:val="8"/>
                <w:color w:val="auto"/>
              </w:rPr>
            </w:pPr>
          </w:p>
        </w:tc>
      </w:tr>
      <w:tr>
        <w:trPr>
          <w:trHeight w:val="117"/>
        </w:trPr>
        <w:tc>
          <w:tcPr>
            <w:tcW w:w="3360" w:type="dxa"/>
            <w:vAlign w:val="bottom"/>
            <w:tcBorders>
              <w:left w:val="single" w:sz="8" w:color="auto"/>
              <w:bottom w:val="single" w:sz="8" w:color="auto"/>
              <w:right w:val="single" w:sz="8" w:color="auto"/>
            </w:tcBorders>
            <w:shd w:val="clear" w:color="auto" w:fill="2AD2C9"/>
          </w:tcPr>
          <w:p>
            <w:pPr>
              <w:spacing w:after="0"/>
              <w:rPr>
                <w:sz w:val="10"/>
                <w:szCs w:val="10"/>
                <w:color w:val="auto"/>
              </w:rPr>
            </w:pPr>
          </w:p>
        </w:tc>
        <w:tc>
          <w:tcPr>
            <w:tcW w:w="440" w:type="dxa"/>
            <w:vAlign w:val="bottom"/>
            <w:tcBorders>
              <w:bottom w:val="single" w:sz="8" w:color="auto"/>
            </w:tcBorders>
            <w:shd w:val="clear" w:color="auto" w:fill="2AD2C9"/>
          </w:tcPr>
          <w:p>
            <w:pPr>
              <w:ind w:left="20"/>
              <w:spacing w:after="0"/>
              <w:rPr>
                <w:sz w:val="20"/>
                <w:szCs w:val="20"/>
                <w:color w:val="auto"/>
              </w:rPr>
            </w:pPr>
            <w:r>
              <w:rPr>
                <w:rFonts w:ascii="Arial" w:cs="Arial" w:eastAsia="Arial" w:hAnsi="Arial"/>
                <w:sz w:val="10"/>
                <w:szCs w:val="10"/>
                <w:b w:val="1"/>
                <w:bCs w:val="1"/>
                <w:color w:val="FFFFFF"/>
              </w:rPr>
              <w:t>Balance</w:t>
            </w:r>
          </w:p>
        </w:tc>
        <w:tc>
          <w:tcPr>
            <w:tcW w:w="4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7"/>
              </w:rPr>
              <w:t>Expense</w:t>
            </w:r>
          </w:p>
        </w:tc>
        <w:tc>
          <w:tcPr>
            <w:tcW w:w="440" w:type="dxa"/>
            <w:vAlign w:val="bottom"/>
            <w:tcBorders>
              <w:bottom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0"/>
                <w:szCs w:val="10"/>
                <w:b w:val="1"/>
                <w:bCs w:val="1"/>
                <w:color w:val="FFFFFF"/>
              </w:rPr>
              <w:t>Yields</w:t>
            </w:r>
          </w:p>
        </w:tc>
        <w:tc>
          <w:tcPr>
            <w:tcW w:w="420" w:type="dxa"/>
            <w:vAlign w:val="bottom"/>
            <w:tcBorders>
              <w:bottom w:val="single" w:sz="8" w:color="auto"/>
            </w:tcBorders>
            <w:shd w:val="clear" w:color="auto" w:fill="2AD2C9"/>
          </w:tcPr>
          <w:p>
            <w:pPr>
              <w:ind w:left="20"/>
              <w:spacing w:after="0"/>
              <w:rPr>
                <w:sz w:val="20"/>
                <w:szCs w:val="20"/>
                <w:color w:val="auto"/>
              </w:rPr>
            </w:pPr>
            <w:r>
              <w:rPr>
                <w:rFonts w:ascii="Arial" w:cs="Arial" w:eastAsia="Arial" w:hAnsi="Arial"/>
                <w:sz w:val="10"/>
                <w:szCs w:val="10"/>
                <w:b w:val="1"/>
                <w:bCs w:val="1"/>
                <w:color w:val="FFFFFF"/>
                <w:w w:val="98"/>
              </w:rPr>
              <w:t>Balance</w:t>
            </w:r>
          </w:p>
        </w:tc>
        <w:tc>
          <w:tcPr>
            <w:tcW w:w="5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7"/>
              </w:rPr>
              <w:t>Expense</w:t>
            </w:r>
          </w:p>
        </w:tc>
        <w:tc>
          <w:tcPr>
            <w:tcW w:w="440" w:type="dxa"/>
            <w:vAlign w:val="bottom"/>
            <w:tcBorders>
              <w:bottom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0"/>
                <w:szCs w:val="10"/>
                <w:b w:val="1"/>
                <w:bCs w:val="1"/>
                <w:color w:val="FFFFFF"/>
              </w:rPr>
              <w:t>Yields</w:t>
            </w:r>
          </w:p>
        </w:tc>
        <w:tc>
          <w:tcPr>
            <w:tcW w:w="420" w:type="dxa"/>
            <w:vAlign w:val="bottom"/>
            <w:tcBorders>
              <w:bottom w:val="single" w:sz="8" w:color="auto"/>
            </w:tcBorders>
            <w:shd w:val="clear" w:color="auto" w:fill="2AD2C9"/>
          </w:tcPr>
          <w:p>
            <w:pPr>
              <w:ind w:left="20"/>
              <w:spacing w:after="0"/>
              <w:rPr>
                <w:sz w:val="20"/>
                <w:szCs w:val="20"/>
                <w:color w:val="auto"/>
              </w:rPr>
            </w:pPr>
            <w:r>
              <w:rPr>
                <w:rFonts w:ascii="Arial" w:cs="Arial" w:eastAsia="Arial" w:hAnsi="Arial"/>
                <w:sz w:val="10"/>
                <w:szCs w:val="10"/>
                <w:b w:val="1"/>
                <w:bCs w:val="1"/>
                <w:color w:val="FFFFFF"/>
                <w:w w:val="98"/>
              </w:rPr>
              <w:t>Balance</w:t>
            </w:r>
          </w:p>
        </w:tc>
        <w:tc>
          <w:tcPr>
            <w:tcW w:w="5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7"/>
              </w:rPr>
              <w:t>Expense</w:t>
            </w:r>
          </w:p>
        </w:tc>
        <w:tc>
          <w:tcPr>
            <w:tcW w:w="440" w:type="dxa"/>
            <w:vAlign w:val="bottom"/>
            <w:tcBorders>
              <w:bottom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0"/>
                <w:szCs w:val="10"/>
                <w:b w:val="1"/>
                <w:bCs w:val="1"/>
                <w:color w:val="FFFFFF"/>
              </w:rPr>
              <w:t>Yields</w:t>
            </w:r>
          </w:p>
        </w:tc>
      </w:tr>
      <w:tr>
        <w:trPr>
          <w:trHeight w:val="81"/>
        </w:trPr>
        <w:tc>
          <w:tcPr>
            <w:tcW w:w="3360" w:type="dxa"/>
            <w:vAlign w:val="bottom"/>
            <w:tcBorders>
              <w:left w:val="single" w:sz="8" w:color="auto"/>
              <w:right w:val="single" w:sz="8" w:color="auto"/>
            </w:tcBorders>
          </w:tcPr>
          <w:p>
            <w:pPr>
              <w:ind w:left="20"/>
              <w:spacing w:after="0" w:line="81" w:lineRule="exact"/>
              <w:rPr>
                <w:sz w:val="20"/>
                <w:szCs w:val="20"/>
                <w:color w:val="auto"/>
              </w:rPr>
            </w:pPr>
            <w:r>
              <w:rPr>
                <w:rFonts w:ascii="Arial" w:cs="Arial" w:eastAsia="Arial" w:hAnsi="Arial"/>
                <w:sz w:val="8"/>
                <w:szCs w:val="8"/>
                <w:color w:val="auto"/>
              </w:rPr>
              <w:t>Deposits</w:t>
            </w:r>
          </w:p>
        </w:tc>
        <w:tc>
          <w:tcPr>
            <w:tcW w:w="440" w:type="dxa"/>
            <w:vAlign w:val="bottom"/>
          </w:tcPr>
          <w:p>
            <w:pPr>
              <w:jc w:val="center"/>
              <w:spacing w:after="0" w:line="81" w:lineRule="exact"/>
              <w:rPr>
                <w:sz w:val="20"/>
                <w:szCs w:val="20"/>
                <w:color w:val="auto"/>
              </w:rPr>
            </w:pPr>
            <w:r>
              <w:rPr>
                <w:rFonts w:ascii="Arial" w:cs="Arial" w:eastAsia="Arial" w:hAnsi="Arial"/>
                <w:sz w:val="8"/>
                <w:szCs w:val="8"/>
                <w:color w:val="auto"/>
              </w:rPr>
              <w:t>146,006</w:t>
            </w:r>
          </w:p>
        </w:tc>
        <w:tc>
          <w:tcPr>
            <w:tcW w:w="480" w:type="dxa"/>
            <w:vAlign w:val="bottom"/>
          </w:tcPr>
          <w:p>
            <w:pPr>
              <w:jc w:val="center"/>
              <w:spacing w:after="0" w:line="81" w:lineRule="exact"/>
              <w:rPr>
                <w:sz w:val="20"/>
                <w:szCs w:val="20"/>
                <w:color w:val="auto"/>
              </w:rPr>
            </w:pPr>
            <w:r>
              <w:rPr>
                <w:rFonts w:ascii="Arial" w:cs="Arial" w:eastAsia="Arial" w:hAnsi="Arial"/>
                <w:sz w:val="8"/>
                <w:szCs w:val="8"/>
                <w:color w:val="auto"/>
              </w:rPr>
              <w:t>777</w:t>
            </w:r>
          </w:p>
        </w:tc>
        <w:tc>
          <w:tcPr>
            <w:tcW w:w="440" w:type="dxa"/>
            <w:vAlign w:val="bottom"/>
            <w:tcBorders>
              <w:right w:val="single" w:sz="8" w:color="auto"/>
            </w:tcBorders>
          </w:tcPr>
          <w:p>
            <w:pPr>
              <w:jc w:val="center"/>
              <w:ind w:right="13"/>
              <w:spacing w:after="0" w:line="81" w:lineRule="exact"/>
              <w:rPr>
                <w:sz w:val="20"/>
                <w:szCs w:val="20"/>
                <w:color w:val="auto"/>
              </w:rPr>
            </w:pPr>
            <w:r>
              <w:rPr>
                <w:rFonts w:ascii="Arial" w:cs="Arial" w:eastAsia="Arial" w:hAnsi="Arial"/>
                <w:sz w:val="8"/>
                <w:szCs w:val="8"/>
                <w:color w:val="auto"/>
              </w:rPr>
              <w:t>2.1%</w:t>
            </w:r>
          </w:p>
        </w:tc>
        <w:tc>
          <w:tcPr>
            <w:tcW w:w="420" w:type="dxa"/>
            <w:vAlign w:val="bottom"/>
          </w:tcPr>
          <w:p>
            <w:pPr>
              <w:jc w:val="center"/>
              <w:spacing w:after="0" w:line="81" w:lineRule="exact"/>
              <w:rPr>
                <w:sz w:val="20"/>
                <w:szCs w:val="20"/>
                <w:color w:val="auto"/>
              </w:rPr>
            </w:pPr>
            <w:r>
              <w:rPr>
                <w:rFonts w:ascii="Arial" w:cs="Arial" w:eastAsia="Arial" w:hAnsi="Arial"/>
                <w:sz w:val="8"/>
                <w:szCs w:val="8"/>
                <w:color w:val="auto"/>
              </w:rPr>
              <w:t>147,781</w:t>
            </w:r>
          </w:p>
        </w:tc>
        <w:tc>
          <w:tcPr>
            <w:tcW w:w="500" w:type="dxa"/>
            <w:vAlign w:val="bottom"/>
          </w:tcPr>
          <w:p>
            <w:pPr>
              <w:jc w:val="center"/>
              <w:spacing w:after="0" w:line="81" w:lineRule="exact"/>
              <w:rPr>
                <w:sz w:val="20"/>
                <w:szCs w:val="20"/>
                <w:color w:val="auto"/>
              </w:rPr>
            </w:pPr>
            <w:r>
              <w:rPr>
                <w:rFonts w:ascii="Arial" w:cs="Arial" w:eastAsia="Arial" w:hAnsi="Arial"/>
                <w:sz w:val="8"/>
                <w:szCs w:val="8"/>
                <w:color w:val="auto"/>
              </w:rPr>
              <w:t>780</w:t>
            </w:r>
          </w:p>
        </w:tc>
        <w:tc>
          <w:tcPr>
            <w:tcW w:w="440" w:type="dxa"/>
            <w:vAlign w:val="bottom"/>
            <w:tcBorders>
              <w:right w:val="single" w:sz="8" w:color="auto"/>
            </w:tcBorders>
          </w:tcPr>
          <w:p>
            <w:pPr>
              <w:jc w:val="center"/>
              <w:ind w:right="13"/>
              <w:spacing w:after="0" w:line="81" w:lineRule="exact"/>
              <w:rPr>
                <w:sz w:val="20"/>
                <w:szCs w:val="20"/>
                <w:color w:val="auto"/>
              </w:rPr>
            </w:pPr>
            <w:r>
              <w:rPr>
                <w:rFonts w:ascii="Arial" w:cs="Arial" w:eastAsia="Arial" w:hAnsi="Arial"/>
                <w:sz w:val="8"/>
                <w:szCs w:val="8"/>
                <w:color w:val="auto"/>
              </w:rPr>
              <w:t>2.1%</w:t>
            </w:r>
          </w:p>
        </w:tc>
        <w:tc>
          <w:tcPr>
            <w:tcW w:w="420" w:type="dxa"/>
            <w:vAlign w:val="bottom"/>
          </w:tcPr>
          <w:p>
            <w:pPr>
              <w:jc w:val="center"/>
              <w:spacing w:after="0" w:line="81" w:lineRule="exact"/>
              <w:rPr>
                <w:sz w:val="20"/>
                <w:szCs w:val="20"/>
                <w:color w:val="auto"/>
              </w:rPr>
            </w:pPr>
            <w:r>
              <w:rPr>
                <w:rFonts w:ascii="Arial" w:cs="Arial" w:eastAsia="Arial" w:hAnsi="Arial"/>
                <w:sz w:val="8"/>
                <w:szCs w:val="8"/>
                <w:color w:val="auto"/>
              </w:rPr>
              <w:t>149,915</w:t>
            </w:r>
          </w:p>
        </w:tc>
        <w:tc>
          <w:tcPr>
            <w:tcW w:w="500" w:type="dxa"/>
            <w:vAlign w:val="bottom"/>
          </w:tcPr>
          <w:p>
            <w:pPr>
              <w:jc w:val="center"/>
              <w:spacing w:after="0" w:line="81" w:lineRule="exact"/>
              <w:rPr>
                <w:sz w:val="20"/>
                <w:szCs w:val="20"/>
                <w:color w:val="auto"/>
              </w:rPr>
            </w:pPr>
            <w:r>
              <w:rPr>
                <w:rFonts w:ascii="Arial" w:cs="Arial" w:eastAsia="Arial" w:hAnsi="Arial"/>
                <w:sz w:val="8"/>
                <w:szCs w:val="8"/>
                <w:color w:val="auto"/>
              </w:rPr>
              <w:t>738</w:t>
            </w:r>
          </w:p>
        </w:tc>
        <w:tc>
          <w:tcPr>
            <w:tcW w:w="440" w:type="dxa"/>
            <w:vAlign w:val="bottom"/>
            <w:tcBorders>
              <w:right w:val="single" w:sz="8" w:color="auto"/>
            </w:tcBorders>
          </w:tcPr>
          <w:p>
            <w:pPr>
              <w:jc w:val="center"/>
              <w:ind w:right="13"/>
              <w:spacing w:after="0" w:line="81" w:lineRule="exact"/>
              <w:rPr>
                <w:sz w:val="20"/>
                <w:szCs w:val="20"/>
                <w:color w:val="auto"/>
              </w:rPr>
            </w:pPr>
            <w:r>
              <w:rPr>
                <w:rFonts w:ascii="Arial" w:cs="Arial" w:eastAsia="Arial" w:hAnsi="Arial"/>
                <w:sz w:val="8"/>
                <w:szCs w:val="8"/>
                <w:color w:val="auto"/>
              </w:rPr>
              <w:t>2.0%</w:t>
            </w:r>
          </w:p>
        </w:tc>
      </w:tr>
      <w:tr>
        <w:trPr>
          <w:trHeight w:val="103"/>
        </w:trPr>
        <w:tc>
          <w:tcPr>
            <w:tcW w:w="336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BCRP + Due to Banks</w:t>
            </w:r>
          </w:p>
        </w:tc>
        <w:tc>
          <w:tcPr>
            <w:tcW w:w="440" w:type="dxa"/>
            <w:vAlign w:val="bottom"/>
          </w:tcPr>
          <w:p>
            <w:pPr>
              <w:jc w:val="center"/>
              <w:spacing w:after="0" w:line="103" w:lineRule="exact"/>
              <w:rPr>
                <w:sz w:val="20"/>
                <w:szCs w:val="20"/>
                <w:color w:val="auto"/>
              </w:rPr>
            </w:pPr>
            <w:r>
              <w:rPr>
                <w:rFonts w:ascii="Arial" w:cs="Arial" w:eastAsia="Arial" w:hAnsi="Arial"/>
                <w:sz w:val="10"/>
                <w:szCs w:val="10"/>
                <w:color w:val="auto"/>
                <w:w w:val="97"/>
              </w:rPr>
              <w:t>20,908</w:t>
            </w:r>
          </w:p>
        </w:tc>
        <w:tc>
          <w:tcPr>
            <w:tcW w:w="480" w:type="dxa"/>
            <w:vAlign w:val="bottom"/>
          </w:tcPr>
          <w:p>
            <w:pPr>
              <w:jc w:val="center"/>
              <w:spacing w:after="0" w:line="103" w:lineRule="exact"/>
              <w:rPr>
                <w:sz w:val="20"/>
                <w:szCs w:val="20"/>
                <w:color w:val="auto"/>
              </w:rPr>
            </w:pPr>
            <w:r>
              <w:rPr>
                <w:rFonts w:ascii="Arial" w:cs="Arial" w:eastAsia="Arial" w:hAnsi="Arial"/>
                <w:sz w:val="10"/>
                <w:szCs w:val="10"/>
                <w:color w:val="auto"/>
                <w:w w:val="95"/>
              </w:rPr>
              <w:t>297</w:t>
            </w:r>
          </w:p>
        </w:tc>
        <w:tc>
          <w:tcPr>
            <w:tcW w:w="440" w:type="dxa"/>
            <w:vAlign w:val="bottom"/>
            <w:tcBorders>
              <w:right w:val="single" w:sz="8" w:color="auto"/>
            </w:tcBorders>
          </w:tcPr>
          <w:p>
            <w:pPr>
              <w:jc w:val="center"/>
              <w:ind w:right="13"/>
              <w:spacing w:after="0" w:line="103" w:lineRule="exact"/>
              <w:rPr>
                <w:sz w:val="20"/>
                <w:szCs w:val="20"/>
                <w:color w:val="auto"/>
              </w:rPr>
            </w:pPr>
            <w:r>
              <w:rPr>
                <w:rFonts w:ascii="Arial" w:cs="Arial" w:eastAsia="Arial" w:hAnsi="Arial"/>
                <w:sz w:val="10"/>
                <w:szCs w:val="10"/>
                <w:color w:val="auto"/>
                <w:w w:val="96"/>
              </w:rPr>
              <w:t>5.7%</w:t>
            </w:r>
          </w:p>
        </w:tc>
        <w:tc>
          <w:tcPr>
            <w:tcW w:w="420" w:type="dxa"/>
            <w:vAlign w:val="bottom"/>
          </w:tcPr>
          <w:p>
            <w:pPr>
              <w:jc w:val="center"/>
              <w:spacing w:after="0" w:line="103" w:lineRule="exact"/>
              <w:rPr>
                <w:sz w:val="20"/>
                <w:szCs w:val="20"/>
                <w:color w:val="auto"/>
              </w:rPr>
            </w:pPr>
            <w:r>
              <w:rPr>
                <w:rFonts w:ascii="Arial" w:cs="Arial" w:eastAsia="Arial" w:hAnsi="Arial"/>
                <w:sz w:val="10"/>
                <w:szCs w:val="10"/>
                <w:color w:val="auto"/>
                <w:w w:val="97"/>
              </w:rPr>
              <w:t>18,640</w:t>
            </w:r>
          </w:p>
        </w:tc>
        <w:tc>
          <w:tcPr>
            <w:tcW w:w="500" w:type="dxa"/>
            <w:vAlign w:val="bottom"/>
          </w:tcPr>
          <w:p>
            <w:pPr>
              <w:jc w:val="center"/>
              <w:spacing w:after="0" w:line="103" w:lineRule="exact"/>
              <w:rPr>
                <w:sz w:val="20"/>
                <w:szCs w:val="20"/>
                <w:color w:val="auto"/>
              </w:rPr>
            </w:pPr>
            <w:r>
              <w:rPr>
                <w:rFonts w:ascii="Arial" w:cs="Arial" w:eastAsia="Arial" w:hAnsi="Arial"/>
                <w:sz w:val="10"/>
                <w:szCs w:val="10"/>
                <w:color w:val="auto"/>
                <w:w w:val="95"/>
              </w:rPr>
              <w:t>265</w:t>
            </w:r>
          </w:p>
        </w:tc>
        <w:tc>
          <w:tcPr>
            <w:tcW w:w="440" w:type="dxa"/>
            <w:vAlign w:val="bottom"/>
            <w:tcBorders>
              <w:right w:val="single" w:sz="8" w:color="auto"/>
            </w:tcBorders>
          </w:tcPr>
          <w:p>
            <w:pPr>
              <w:jc w:val="center"/>
              <w:ind w:right="13"/>
              <w:spacing w:after="0" w:line="103" w:lineRule="exact"/>
              <w:rPr>
                <w:sz w:val="20"/>
                <w:szCs w:val="20"/>
                <w:color w:val="auto"/>
              </w:rPr>
            </w:pPr>
            <w:r>
              <w:rPr>
                <w:rFonts w:ascii="Arial" w:cs="Arial" w:eastAsia="Arial" w:hAnsi="Arial"/>
                <w:sz w:val="10"/>
                <w:szCs w:val="10"/>
                <w:color w:val="auto"/>
                <w:w w:val="96"/>
              </w:rPr>
              <w:t>5.7%</w:t>
            </w:r>
          </w:p>
        </w:tc>
        <w:tc>
          <w:tcPr>
            <w:tcW w:w="420" w:type="dxa"/>
            <w:vAlign w:val="bottom"/>
          </w:tcPr>
          <w:p>
            <w:pPr>
              <w:jc w:val="center"/>
              <w:spacing w:after="0" w:line="103" w:lineRule="exact"/>
              <w:rPr>
                <w:sz w:val="20"/>
                <w:szCs w:val="20"/>
                <w:color w:val="auto"/>
              </w:rPr>
            </w:pPr>
            <w:r>
              <w:rPr>
                <w:rFonts w:ascii="Arial" w:cs="Arial" w:eastAsia="Arial" w:hAnsi="Arial"/>
                <w:sz w:val="10"/>
                <w:szCs w:val="10"/>
                <w:color w:val="auto"/>
                <w:w w:val="97"/>
              </w:rPr>
              <w:t>17,851</w:t>
            </w:r>
          </w:p>
        </w:tc>
        <w:tc>
          <w:tcPr>
            <w:tcW w:w="500" w:type="dxa"/>
            <w:vAlign w:val="bottom"/>
          </w:tcPr>
          <w:p>
            <w:pPr>
              <w:jc w:val="center"/>
              <w:spacing w:after="0" w:line="103" w:lineRule="exact"/>
              <w:rPr>
                <w:sz w:val="20"/>
                <w:szCs w:val="20"/>
                <w:color w:val="auto"/>
              </w:rPr>
            </w:pPr>
            <w:r>
              <w:rPr>
                <w:rFonts w:ascii="Arial" w:cs="Arial" w:eastAsia="Arial" w:hAnsi="Arial"/>
                <w:sz w:val="10"/>
                <w:szCs w:val="10"/>
                <w:color w:val="auto"/>
                <w:w w:val="95"/>
              </w:rPr>
              <w:t>267</w:t>
            </w:r>
          </w:p>
        </w:tc>
        <w:tc>
          <w:tcPr>
            <w:tcW w:w="440" w:type="dxa"/>
            <w:vAlign w:val="bottom"/>
            <w:tcBorders>
              <w:right w:val="single" w:sz="8" w:color="auto"/>
            </w:tcBorders>
          </w:tcPr>
          <w:p>
            <w:pPr>
              <w:jc w:val="center"/>
              <w:ind w:right="13"/>
              <w:spacing w:after="0" w:line="103" w:lineRule="exact"/>
              <w:rPr>
                <w:sz w:val="20"/>
                <w:szCs w:val="20"/>
                <w:color w:val="auto"/>
              </w:rPr>
            </w:pPr>
            <w:r>
              <w:rPr>
                <w:rFonts w:ascii="Arial" w:cs="Arial" w:eastAsia="Arial" w:hAnsi="Arial"/>
                <w:sz w:val="10"/>
                <w:szCs w:val="10"/>
                <w:color w:val="auto"/>
                <w:w w:val="96"/>
              </w:rPr>
              <w:t>6.0%</w:t>
            </w:r>
          </w:p>
        </w:tc>
      </w:tr>
      <w:tr>
        <w:trPr>
          <w:trHeight w:val="103"/>
        </w:trPr>
        <w:tc>
          <w:tcPr>
            <w:tcW w:w="336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Bonds and Notes</w:t>
            </w:r>
          </w:p>
        </w:tc>
        <w:tc>
          <w:tcPr>
            <w:tcW w:w="440" w:type="dxa"/>
            <w:vAlign w:val="bottom"/>
          </w:tcPr>
          <w:p>
            <w:pPr>
              <w:jc w:val="center"/>
              <w:spacing w:after="0" w:line="103" w:lineRule="exact"/>
              <w:rPr>
                <w:sz w:val="20"/>
                <w:szCs w:val="20"/>
                <w:color w:val="auto"/>
              </w:rPr>
            </w:pPr>
            <w:r>
              <w:rPr>
                <w:rFonts w:ascii="Arial" w:cs="Arial" w:eastAsia="Arial" w:hAnsi="Arial"/>
                <w:sz w:val="10"/>
                <w:szCs w:val="10"/>
                <w:color w:val="auto"/>
                <w:w w:val="97"/>
              </w:rPr>
              <w:t>14,274</w:t>
            </w:r>
          </w:p>
        </w:tc>
        <w:tc>
          <w:tcPr>
            <w:tcW w:w="480" w:type="dxa"/>
            <w:vAlign w:val="bottom"/>
          </w:tcPr>
          <w:p>
            <w:pPr>
              <w:jc w:val="center"/>
              <w:spacing w:after="0" w:line="103" w:lineRule="exact"/>
              <w:rPr>
                <w:sz w:val="20"/>
                <w:szCs w:val="20"/>
                <w:color w:val="auto"/>
              </w:rPr>
            </w:pPr>
            <w:r>
              <w:rPr>
                <w:rFonts w:ascii="Arial" w:cs="Arial" w:eastAsia="Arial" w:hAnsi="Arial"/>
                <w:sz w:val="10"/>
                <w:szCs w:val="10"/>
                <w:color w:val="auto"/>
                <w:w w:val="95"/>
              </w:rPr>
              <w:t>149</w:t>
            </w:r>
          </w:p>
        </w:tc>
        <w:tc>
          <w:tcPr>
            <w:tcW w:w="440" w:type="dxa"/>
            <w:vAlign w:val="bottom"/>
            <w:tcBorders>
              <w:right w:val="single" w:sz="8" w:color="auto"/>
            </w:tcBorders>
          </w:tcPr>
          <w:p>
            <w:pPr>
              <w:jc w:val="center"/>
              <w:ind w:right="13"/>
              <w:spacing w:after="0" w:line="103" w:lineRule="exact"/>
              <w:rPr>
                <w:sz w:val="20"/>
                <w:szCs w:val="20"/>
                <w:color w:val="auto"/>
              </w:rPr>
            </w:pPr>
            <w:r>
              <w:rPr>
                <w:rFonts w:ascii="Arial" w:cs="Arial" w:eastAsia="Arial" w:hAnsi="Arial"/>
                <w:sz w:val="10"/>
                <w:szCs w:val="10"/>
                <w:color w:val="auto"/>
                <w:w w:val="96"/>
              </w:rPr>
              <w:t>4.2%</w:t>
            </w:r>
          </w:p>
        </w:tc>
        <w:tc>
          <w:tcPr>
            <w:tcW w:w="420" w:type="dxa"/>
            <w:vAlign w:val="bottom"/>
          </w:tcPr>
          <w:p>
            <w:pPr>
              <w:jc w:val="center"/>
              <w:spacing w:after="0" w:line="103" w:lineRule="exact"/>
              <w:rPr>
                <w:sz w:val="20"/>
                <w:szCs w:val="20"/>
                <w:color w:val="auto"/>
              </w:rPr>
            </w:pPr>
            <w:r>
              <w:rPr>
                <w:rFonts w:ascii="Arial" w:cs="Arial" w:eastAsia="Arial" w:hAnsi="Arial"/>
                <w:sz w:val="10"/>
                <w:szCs w:val="10"/>
                <w:color w:val="auto"/>
                <w:w w:val="97"/>
              </w:rPr>
              <w:t>16,068</w:t>
            </w:r>
          </w:p>
        </w:tc>
        <w:tc>
          <w:tcPr>
            <w:tcW w:w="500" w:type="dxa"/>
            <w:vAlign w:val="bottom"/>
          </w:tcPr>
          <w:p>
            <w:pPr>
              <w:jc w:val="center"/>
              <w:spacing w:after="0" w:line="103" w:lineRule="exact"/>
              <w:rPr>
                <w:sz w:val="20"/>
                <w:szCs w:val="20"/>
                <w:color w:val="auto"/>
              </w:rPr>
            </w:pPr>
            <w:r>
              <w:rPr>
                <w:rFonts w:ascii="Arial" w:cs="Arial" w:eastAsia="Arial" w:hAnsi="Arial"/>
                <w:sz w:val="10"/>
                <w:szCs w:val="10"/>
                <w:color w:val="auto"/>
                <w:w w:val="95"/>
              </w:rPr>
              <w:t>197</w:t>
            </w:r>
          </w:p>
        </w:tc>
        <w:tc>
          <w:tcPr>
            <w:tcW w:w="440" w:type="dxa"/>
            <w:vAlign w:val="bottom"/>
            <w:tcBorders>
              <w:right w:val="single" w:sz="8" w:color="auto"/>
            </w:tcBorders>
          </w:tcPr>
          <w:p>
            <w:pPr>
              <w:jc w:val="center"/>
              <w:ind w:right="13"/>
              <w:spacing w:after="0" w:line="103" w:lineRule="exact"/>
              <w:rPr>
                <w:sz w:val="20"/>
                <w:szCs w:val="20"/>
                <w:color w:val="auto"/>
              </w:rPr>
            </w:pPr>
            <w:r>
              <w:rPr>
                <w:rFonts w:ascii="Arial" w:cs="Arial" w:eastAsia="Arial" w:hAnsi="Arial"/>
                <w:sz w:val="10"/>
                <w:szCs w:val="10"/>
                <w:color w:val="auto"/>
                <w:w w:val="96"/>
              </w:rPr>
              <w:t>4.9%</w:t>
            </w:r>
          </w:p>
        </w:tc>
        <w:tc>
          <w:tcPr>
            <w:tcW w:w="420" w:type="dxa"/>
            <w:vAlign w:val="bottom"/>
          </w:tcPr>
          <w:p>
            <w:pPr>
              <w:jc w:val="center"/>
              <w:spacing w:after="0" w:line="103" w:lineRule="exact"/>
              <w:rPr>
                <w:sz w:val="20"/>
                <w:szCs w:val="20"/>
                <w:color w:val="auto"/>
              </w:rPr>
            </w:pPr>
            <w:r>
              <w:rPr>
                <w:rFonts w:ascii="Arial" w:cs="Arial" w:eastAsia="Arial" w:hAnsi="Arial"/>
                <w:sz w:val="10"/>
                <w:szCs w:val="10"/>
                <w:color w:val="auto"/>
                <w:w w:val="97"/>
              </w:rPr>
              <w:t>17,747</w:t>
            </w:r>
          </w:p>
        </w:tc>
        <w:tc>
          <w:tcPr>
            <w:tcW w:w="500" w:type="dxa"/>
            <w:vAlign w:val="bottom"/>
          </w:tcPr>
          <w:p>
            <w:pPr>
              <w:jc w:val="center"/>
              <w:spacing w:after="0" w:line="103" w:lineRule="exact"/>
              <w:rPr>
                <w:sz w:val="20"/>
                <w:szCs w:val="20"/>
                <w:color w:val="auto"/>
              </w:rPr>
            </w:pPr>
            <w:r>
              <w:rPr>
                <w:rFonts w:ascii="Arial" w:cs="Arial" w:eastAsia="Arial" w:hAnsi="Arial"/>
                <w:sz w:val="10"/>
                <w:szCs w:val="10"/>
                <w:color w:val="auto"/>
                <w:w w:val="95"/>
              </w:rPr>
              <w:t>201</w:t>
            </w:r>
          </w:p>
        </w:tc>
        <w:tc>
          <w:tcPr>
            <w:tcW w:w="440" w:type="dxa"/>
            <w:vAlign w:val="bottom"/>
            <w:tcBorders>
              <w:right w:val="single" w:sz="8" w:color="auto"/>
            </w:tcBorders>
          </w:tcPr>
          <w:p>
            <w:pPr>
              <w:jc w:val="center"/>
              <w:ind w:right="13"/>
              <w:spacing w:after="0" w:line="103" w:lineRule="exact"/>
              <w:rPr>
                <w:sz w:val="20"/>
                <w:szCs w:val="20"/>
                <w:color w:val="auto"/>
              </w:rPr>
            </w:pPr>
            <w:r>
              <w:rPr>
                <w:rFonts w:ascii="Arial" w:cs="Arial" w:eastAsia="Arial" w:hAnsi="Arial"/>
                <w:sz w:val="10"/>
                <w:szCs w:val="10"/>
                <w:color w:val="auto"/>
                <w:w w:val="96"/>
              </w:rPr>
              <w:t>4.5%</w:t>
            </w:r>
          </w:p>
        </w:tc>
      </w:tr>
      <w:tr>
        <w:trPr>
          <w:trHeight w:val="115"/>
        </w:trPr>
        <w:tc>
          <w:tcPr>
            <w:tcW w:w="3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Others</w:t>
            </w: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1,242</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226</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35.6%</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7"/>
              </w:rPr>
              <w:t>1,113</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259</w:t>
            </w:r>
          </w:p>
        </w:tc>
        <w:tc>
          <w:tcPr>
            <w:tcW w:w="440" w:type="dxa"/>
            <w:vAlign w:val="bottom"/>
            <w:tcBorders>
              <w:bottom w:val="single" w:sz="8" w:color="auto"/>
              <w:right w:val="single" w:sz="8" w:color="auto"/>
            </w:tcBorders>
          </w:tcPr>
          <w:p>
            <w:pPr>
              <w:jc w:val="center"/>
              <w:ind w:right="13"/>
              <w:spacing w:after="0"/>
              <w:rPr>
                <w:sz w:val="20"/>
                <w:szCs w:val="20"/>
                <w:color w:val="auto"/>
              </w:rPr>
            </w:pPr>
            <w:r>
              <w:rPr>
                <w:rFonts w:ascii="Arial" w:cs="Arial" w:eastAsia="Arial" w:hAnsi="Arial"/>
                <w:sz w:val="10"/>
                <w:szCs w:val="10"/>
                <w:color w:val="auto"/>
                <w:w w:val="91"/>
              </w:rPr>
              <w:t>49.1%</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1,010</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261</w:t>
            </w:r>
          </w:p>
        </w:tc>
        <w:tc>
          <w:tcPr>
            <w:tcW w:w="440" w:type="dxa"/>
            <w:vAlign w:val="bottom"/>
            <w:tcBorders>
              <w:bottom w:val="single" w:sz="8" w:color="auto"/>
              <w:right w:val="single" w:sz="8" w:color="auto"/>
            </w:tcBorders>
          </w:tcPr>
          <w:p>
            <w:pPr>
              <w:jc w:val="center"/>
              <w:ind w:right="13"/>
              <w:spacing w:after="0"/>
              <w:rPr>
                <w:sz w:val="20"/>
                <w:szCs w:val="20"/>
                <w:color w:val="auto"/>
              </w:rPr>
            </w:pPr>
            <w:r>
              <w:rPr>
                <w:rFonts w:ascii="Arial" w:cs="Arial" w:eastAsia="Arial" w:hAnsi="Arial"/>
                <w:sz w:val="10"/>
                <w:szCs w:val="10"/>
                <w:color w:val="auto"/>
                <w:w w:val="91"/>
              </w:rPr>
              <w:t>53.9%</w:t>
            </w:r>
          </w:p>
        </w:tc>
      </w:tr>
      <w:tr>
        <w:trPr>
          <w:trHeight w:val="93"/>
        </w:trPr>
        <w:tc>
          <w:tcPr>
            <w:tcW w:w="3360" w:type="dxa"/>
            <w:vAlign w:val="bottom"/>
            <w:tcBorders>
              <w:left w:val="single" w:sz="8" w:color="auto"/>
              <w:bottom w:val="single" w:sz="8" w:color="auto"/>
              <w:right w:val="single" w:sz="8" w:color="auto"/>
            </w:tcBorders>
          </w:tcPr>
          <w:p>
            <w:pPr>
              <w:ind w:left="20"/>
              <w:spacing w:after="0" w:line="93" w:lineRule="exact"/>
              <w:rPr>
                <w:sz w:val="20"/>
                <w:szCs w:val="20"/>
                <w:color w:val="auto"/>
              </w:rPr>
            </w:pPr>
            <w:r>
              <w:rPr>
                <w:rFonts w:ascii="Arial" w:cs="Arial" w:eastAsia="Arial" w:hAnsi="Arial"/>
                <w:sz w:val="10"/>
                <w:szCs w:val="10"/>
                <w:b w:val="1"/>
                <w:bCs w:val="1"/>
                <w:color w:val="auto"/>
              </w:rPr>
              <w:t>Total Funding</w:t>
            </w:r>
          </w:p>
        </w:tc>
        <w:tc>
          <w:tcPr>
            <w:tcW w:w="44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3"/>
              </w:rPr>
              <w:t>183,408</w:t>
            </w:r>
          </w:p>
        </w:tc>
        <w:tc>
          <w:tcPr>
            <w:tcW w:w="48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5"/>
              </w:rPr>
              <w:t>1,449</w:t>
            </w:r>
          </w:p>
        </w:tc>
        <w:tc>
          <w:tcPr>
            <w:tcW w:w="440" w:type="dxa"/>
            <w:vAlign w:val="bottom"/>
            <w:tcBorders>
              <w:bottom w:val="single" w:sz="8" w:color="auto"/>
              <w:right w:val="single" w:sz="8" w:color="auto"/>
            </w:tcBorders>
          </w:tcPr>
          <w:p>
            <w:pPr>
              <w:jc w:val="center"/>
              <w:ind w:right="13"/>
              <w:spacing w:after="0" w:line="93" w:lineRule="exact"/>
              <w:rPr>
                <w:sz w:val="20"/>
                <w:szCs w:val="20"/>
                <w:color w:val="auto"/>
              </w:rPr>
            </w:pPr>
            <w:r>
              <w:rPr>
                <w:rFonts w:ascii="Arial" w:cs="Arial" w:eastAsia="Arial" w:hAnsi="Arial"/>
                <w:sz w:val="10"/>
                <w:szCs w:val="10"/>
                <w:b w:val="1"/>
                <w:bCs w:val="1"/>
                <w:color w:val="auto"/>
                <w:w w:val="96"/>
              </w:rPr>
              <w:t>2.9%</w:t>
            </w:r>
          </w:p>
        </w:tc>
        <w:tc>
          <w:tcPr>
            <w:tcW w:w="42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3"/>
              </w:rPr>
              <w:t>185,161</w:t>
            </w:r>
          </w:p>
        </w:tc>
        <w:tc>
          <w:tcPr>
            <w:tcW w:w="5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5"/>
              </w:rPr>
              <w:t>1,500</w:t>
            </w:r>
          </w:p>
        </w:tc>
        <w:tc>
          <w:tcPr>
            <w:tcW w:w="440" w:type="dxa"/>
            <w:vAlign w:val="bottom"/>
            <w:tcBorders>
              <w:bottom w:val="single" w:sz="8" w:color="auto"/>
              <w:right w:val="single" w:sz="8" w:color="auto"/>
            </w:tcBorders>
          </w:tcPr>
          <w:p>
            <w:pPr>
              <w:jc w:val="center"/>
              <w:ind w:right="13"/>
              <w:spacing w:after="0" w:line="93" w:lineRule="exact"/>
              <w:rPr>
                <w:sz w:val="20"/>
                <w:szCs w:val="20"/>
                <w:color w:val="auto"/>
              </w:rPr>
            </w:pPr>
            <w:r>
              <w:rPr>
                <w:rFonts w:ascii="Arial" w:cs="Arial" w:eastAsia="Arial" w:hAnsi="Arial"/>
                <w:sz w:val="10"/>
                <w:szCs w:val="10"/>
                <w:b w:val="1"/>
                <w:bCs w:val="1"/>
                <w:color w:val="auto"/>
                <w:w w:val="96"/>
              </w:rPr>
              <w:t>3.0%</w:t>
            </w:r>
          </w:p>
        </w:tc>
        <w:tc>
          <w:tcPr>
            <w:tcW w:w="42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3"/>
              </w:rPr>
              <w:t>187,905</w:t>
            </w:r>
          </w:p>
        </w:tc>
        <w:tc>
          <w:tcPr>
            <w:tcW w:w="5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5"/>
              </w:rPr>
              <w:t>1,467</w:t>
            </w:r>
          </w:p>
        </w:tc>
        <w:tc>
          <w:tcPr>
            <w:tcW w:w="440" w:type="dxa"/>
            <w:vAlign w:val="bottom"/>
            <w:tcBorders>
              <w:bottom w:val="single" w:sz="8" w:color="auto"/>
              <w:right w:val="single" w:sz="8" w:color="auto"/>
            </w:tcBorders>
          </w:tcPr>
          <w:p>
            <w:pPr>
              <w:jc w:val="center"/>
              <w:ind w:right="13"/>
              <w:spacing w:after="0" w:line="93" w:lineRule="exact"/>
              <w:rPr>
                <w:sz w:val="20"/>
                <w:szCs w:val="20"/>
                <w:color w:val="auto"/>
              </w:rPr>
            </w:pPr>
            <w:r>
              <w:rPr>
                <w:rFonts w:ascii="Arial" w:cs="Arial" w:eastAsia="Arial" w:hAnsi="Arial"/>
                <w:sz w:val="10"/>
                <w:szCs w:val="10"/>
                <w:b w:val="1"/>
                <w:bCs w:val="1"/>
                <w:color w:val="auto"/>
                <w:w w:val="96"/>
              </w:rPr>
              <w:t>2.9%</w:t>
            </w:r>
          </w:p>
        </w:tc>
      </w:tr>
      <w:tr>
        <w:trPr>
          <w:trHeight w:val="93"/>
        </w:trPr>
        <w:tc>
          <w:tcPr>
            <w:tcW w:w="3360" w:type="dxa"/>
            <w:vAlign w:val="bottom"/>
            <w:tcBorders>
              <w:left w:val="single" w:sz="8" w:color="auto"/>
              <w:bottom w:val="single" w:sz="8" w:color="auto"/>
              <w:right w:val="single" w:sz="8" w:color="auto"/>
            </w:tcBorders>
          </w:tcPr>
          <w:p>
            <w:pPr>
              <w:ind w:left="20"/>
              <w:spacing w:after="0" w:line="93" w:lineRule="exact"/>
              <w:rPr>
                <w:sz w:val="20"/>
                <w:szCs w:val="20"/>
                <w:color w:val="auto"/>
              </w:rPr>
            </w:pPr>
            <w:r>
              <w:rPr>
                <w:rFonts w:ascii="Arial" w:cs="Arial" w:eastAsia="Arial" w:hAnsi="Arial"/>
                <w:sz w:val="10"/>
                <w:szCs w:val="10"/>
                <w:color w:val="auto"/>
              </w:rPr>
              <w:t>Funding (LC)</w:t>
            </w:r>
          </w:p>
        </w:tc>
        <w:tc>
          <w:tcPr>
            <w:tcW w:w="44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1"/>
              </w:rPr>
              <w:t>50.8%</w:t>
            </w:r>
          </w:p>
        </w:tc>
        <w:tc>
          <w:tcPr>
            <w:tcW w:w="48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8"/>
              </w:rPr>
              <w:t>60.3%</w:t>
            </w:r>
          </w:p>
        </w:tc>
        <w:tc>
          <w:tcPr>
            <w:tcW w:w="440" w:type="dxa"/>
            <w:vAlign w:val="bottom"/>
            <w:tcBorders>
              <w:bottom w:val="single" w:sz="8" w:color="auto"/>
              <w:right w:val="single" w:sz="8" w:color="auto"/>
            </w:tcBorders>
          </w:tcPr>
          <w:p>
            <w:pPr>
              <w:jc w:val="center"/>
              <w:ind w:right="13"/>
              <w:spacing w:after="0" w:line="93" w:lineRule="exact"/>
              <w:rPr>
                <w:sz w:val="20"/>
                <w:szCs w:val="20"/>
                <w:color w:val="auto"/>
              </w:rPr>
            </w:pPr>
            <w:r>
              <w:rPr>
                <w:rFonts w:ascii="Arial" w:cs="Arial" w:eastAsia="Arial" w:hAnsi="Arial"/>
                <w:sz w:val="10"/>
                <w:szCs w:val="10"/>
                <w:color w:val="auto"/>
                <w:w w:val="96"/>
              </w:rPr>
              <w:t>3.4%</w:t>
            </w:r>
          </w:p>
        </w:tc>
        <w:tc>
          <w:tcPr>
            <w:tcW w:w="42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1"/>
              </w:rPr>
              <w:t>49.5%</w:t>
            </w:r>
          </w:p>
        </w:tc>
        <w:tc>
          <w:tcPr>
            <w:tcW w:w="5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8"/>
              </w:rPr>
              <w:t>51.9%</w:t>
            </w:r>
          </w:p>
        </w:tc>
        <w:tc>
          <w:tcPr>
            <w:tcW w:w="440" w:type="dxa"/>
            <w:vAlign w:val="bottom"/>
            <w:tcBorders>
              <w:bottom w:val="single" w:sz="8" w:color="auto"/>
              <w:right w:val="single" w:sz="8" w:color="auto"/>
            </w:tcBorders>
          </w:tcPr>
          <w:p>
            <w:pPr>
              <w:jc w:val="center"/>
              <w:ind w:right="13"/>
              <w:spacing w:after="0" w:line="93" w:lineRule="exact"/>
              <w:rPr>
                <w:sz w:val="20"/>
                <w:szCs w:val="20"/>
                <w:color w:val="auto"/>
              </w:rPr>
            </w:pPr>
            <w:r>
              <w:rPr>
                <w:rFonts w:ascii="Arial" w:cs="Arial" w:eastAsia="Arial" w:hAnsi="Arial"/>
                <w:sz w:val="10"/>
                <w:szCs w:val="10"/>
                <w:color w:val="auto"/>
                <w:w w:val="96"/>
              </w:rPr>
              <w:t>3.0%</w:t>
            </w:r>
          </w:p>
        </w:tc>
        <w:tc>
          <w:tcPr>
            <w:tcW w:w="42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8"/>
              </w:rPr>
              <w:t>49.5%</w:t>
            </w:r>
          </w:p>
        </w:tc>
        <w:tc>
          <w:tcPr>
            <w:tcW w:w="5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8"/>
              </w:rPr>
              <w:t>51.7%</w:t>
            </w:r>
          </w:p>
        </w:tc>
        <w:tc>
          <w:tcPr>
            <w:tcW w:w="440" w:type="dxa"/>
            <w:vAlign w:val="bottom"/>
            <w:tcBorders>
              <w:bottom w:val="single" w:sz="8" w:color="auto"/>
              <w:right w:val="single" w:sz="8" w:color="auto"/>
            </w:tcBorders>
          </w:tcPr>
          <w:p>
            <w:pPr>
              <w:jc w:val="center"/>
              <w:ind w:right="13"/>
              <w:spacing w:after="0" w:line="93" w:lineRule="exact"/>
              <w:rPr>
                <w:sz w:val="20"/>
                <w:szCs w:val="20"/>
                <w:color w:val="auto"/>
              </w:rPr>
            </w:pPr>
            <w:r>
              <w:rPr>
                <w:rFonts w:ascii="Arial" w:cs="Arial" w:eastAsia="Arial" w:hAnsi="Arial"/>
                <w:sz w:val="10"/>
                <w:szCs w:val="10"/>
                <w:color w:val="auto"/>
                <w:w w:val="96"/>
              </w:rPr>
              <w:t>2.9%</w:t>
            </w:r>
          </w:p>
        </w:tc>
      </w:tr>
      <w:tr>
        <w:trPr>
          <w:trHeight w:val="93"/>
        </w:trPr>
        <w:tc>
          <w:tcPr>
            <w:tcW w:w="3360" w:type="dxa"/>
            <w:vAlign w:val="bottom"/>
            <w:tcBorders>
              <w:left w:val="single" w:sz="8" w:color="auto"/>
              <w:bottom w:val="single" w:sz="8" w:color="auto"/>
              <w:right w:val="single" w:sz="8" w:color="auto"/>
            </w:tcBorders>
          </w:tcPr>
          <w:p>
            <w:pPr>
              <w:ind w:left="20"/>
              <w:spacing w:after="0" w:line="93" w:lineRule="exact"/>
              <w:rPr>
                <w:sz w:val="20"/>
                <w:szCs w:val="20"/>
                <w:color w:val="auto"/>
              </w:rPr>
            </w:pPr>
            <w:r>
              <w:rPr>
                <w:rFonts w:ascii="Arial" w:cs="Arial" w:eastAsia="Arial" w:hAnsi="Arial"/>
                <w:sz w:val="10"/>
                <w:szCs w:val="10"/>
                <w:color w:val="auto"/>
              </w:rPr>
              <w:t>Funding (FC)</w:t>
            </w:r>
          </w:p>
        </w:tc>
        <w:tc>
          <w:tcPr>
            <w:tcW w:w="44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1"/>
              </w:rPr>
              <w:t>49.2%</w:t>
            </w:r>
          </w:p>
        </w:tc>
        <w:tc>
          <w:tcPr>
            <w:tcW w:w="48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8"/>
              </w:rPr>
              <w:t>39.7%</w:t>
            </w:r>
          </w:p>
        </w:tc>
        <w:tc>
          <w:tcPr>
            <w:tcW w:w="440" w:type="dxa"/>
            <w:vAlign w:val="bottom"/>
            <w:tcBorders>
              <w:bottom w:val="single" w:sz="8" w:color="auto"/>
              <w:right w:val="single" w:sz="8" w:color="auto"/>
            </w:tcBorders>
          </w:tcPr>
          <w:p>
            <w:pPr>
              <w:jc w:val="center"/>
              <w:ind w:right="13"/>
              <w:spacing w:after="0" w:line="93" w:lineRule="exact"/>
              <w:rPr>
                <w:sz w:val="20"/>
                <w:szCs w:val="20"/>
                <w:color w:val="auto"/>
              </w:rPr>
            </w:pPr>
            <w:r>
              <w:rPr>
                <w:rFonts w:ascii="Arial" w:cs="Arial" w:eastAsia="Arial" w:hAnsi="Arial"/>
                <w:sz w:val="10"/>
                <w:szCs w:val="10"/>
                <w:color w:val="auto"/>
                <w:w w:val="96"/>
              </w:rPr>
              <w:t>2.4%</w:t>
            </w:r>
          </w:p>
        </w:tc>
        <w:tc>
          <w:tcPr>
            <w:tcW w:w="42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1"/>
              </w:rPr>
              <w:t>50.5%</w:t>
            </w:r>
          </w:p>
        </w:tc>
        <w:tc>
          <w:tcPr>
            <w:tcW w:w="5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8"/>
              </w:rPr>
              <w:t>48.1%</w:t>
            </w:r>
          </w:p>
        </w:tc>
        <w:tc>
          <w:tcPr>
            <w:tcW w:w="440" w:type="dxa"/>
            <w:vAlign w:val="bottom"/>
            <w:tcBorders>
              <w:bottom w:val="single" w:sz="8" w:color="auto"/>
              <w:right w:val="single" w:sz="8" w:color="auto"/>
            </w:tcBorders>
          </w:tcPr>
          <w:p>
            <w:pPr>
              <w:jc w:val="center"/>
              <w:ind w:right="13"/>
              <w:spacing w:after="0" w:line="93" w:lineRule="exact"/>
              <w:rPr>
                <w:sz w:val="20"/>
                <w:szCs w:val="20"/>
                <w:color w:val="auto"/>
              </w:rPr>
            </w:pPr>
            <w:r>
              <w:rPr>
                <w:rFonts w:ascii="Arial" w:cs="Arial" w:eastAsia="Arial" w:hAnsi="Arial"/>
                <w:sz w:val="10"/>
                <w:szCs w:val="10"/>
                <w:color w:val="auto"/>
                <w:w w:val="96"/>
              </w:rPr>
              <w:t>2.9%</w:t>
            </w:r>
          </w:p>
        </w:tc>
        <w:tc>
          <w:tcPr>
            <w:tcW w:w="42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8"/>
              </w:rPr>
              <w:t>50.5%</w:t>
            </w:r>
          </w:p>
        </w:tc>
        <w:tc>
          <w:tcPr>
            <w:tcW w:w="5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8"/>
              </w:rPr>
              <w:t>48.3%</w:t>
            </w:r>
          </w:p>
        </w:tc>
        <w:tc>
          <w:tcPr>
            <w:tcW w:w="440" w:type="dxa"/>
            <w:vAlign w:val="bottom"/>
            <w:tcBorders>
              <w:bottom w:val="single" w:sz="8" w:color="auto"/>
              <w:right w:val="single" w:sz="8" w:color="auto"/>
            </w:tcBorders>
          </w:tcPr>
          <w:p>
            <w:pPr>
              <w:jc w:val="center"/>
              <w:ind w:right="13"/>
              <w:spacing w:after="0" w:line="93" w:lineRule="exact"/>
              <w:rPr>
                <w:sz w:val="20"/>
                <w:szCs w:val="20"/>
                <w:color w:val="auto"/>
              </w:rPr>
            </w:pPr>
            <w:r>
              <w:rPr>
                <w:rFonts w:ascii="Arial" w:cs="Arial" w:eastAsia="Arial" w:hAnsi="Arial"/>
                <w:sz w:val="10"/>
                <w:szCs w:val="10"/>
                <w:color w:val="auto"/>
                <w:w w:val="96"/>
              </w:rPr>
              <w:t>2.8%</w:t>
            </w:r>
          </w:p>
        </w:tc>
      </w:tr>
    </w:tbl>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13"/>
        </w:trPr>
        <w:tc>
          <w:tcPr>
            <w:tcW w:w="460" w:type="dxa"/>
            <w:vAlign w:val="bottom"/>
            <w:tcBorders>
              <w:top w:val="single" w:sz="8" w:color="auto"/>
              <w:left w:val="single" w:sz="8" w:color="auto"/>
            </w:tcBorders>
            <w:vMerge w:val="restart"/>
            <w:shd w:val="clear" w:color="auto" w:fill="2AD2C9"/>
          </w:tcPr>
          <w:p>
            <w:pPr>
              <w:ind w:left="60"/>
              <w:spacing w:after="0"/>
              <w:rPr>
                <w:sz w:val="20"/>
                <w:szCs w:val="20"/>
                <w:color w:val="auto"/>
              </w:rPr>
            </w:pPr>
            <w:r>
              <w:rPr>
                <w:rFonts w:ascii="Arial" w:cs="Arial" w:eastAsia="Arial" w:hAnsi="Arial"/>
                <w:sz w:val="10"/>
                <w:szCs w:val="10"/>
                <w:b w:val="1"/>
                <w:bCs w:val="1"/>
                <w:color w:val="FFFFFF"/>
                <w:w w:val="96"/>
              </w:rPr>
              <w:t>Average</w:t>
            </w:r>
          </w:p>
        </w:tc>
        <w:tc>
          <w:tcPr>
            <w:tcW w:w="460" w:type="dxa"/>
            <w:vAlign w:val="bottom"/>
            <w:tcBorders>
              <w:top w:val="single" w:sz="8" w:color="auto"/>
            </w:tcBorders>
            <w:shd w:val="clear" w:color="auto" w:fill="2AD2C9"/>
          </w:tcPr>
          <w:p>
            <w:pPr>
              <w:jc w:val="center"/>
              <w:spacing w:after="0" w:line="114" w:lineRule="exact"/>
              <w:rPr>
                <w:sz w:val="20"/>
                <w:szCs w:val="20"/>
                <w:color w:val="auto"/>
              </w:rPr>
            </w:pPr>
            <w:r>
              <w:rPr>
                <w:rFonts w:ascii="Arial" w:cs="Arial" w:eastAsia="Arial" w:hAnsi="Arial"/>
                <w:sz w:val="10"/>
                <w:szCs w:val="10"/>
                <w:b w:val="1"/>
                <w:bCs w:val="1"/>
                <w:color w:val="FFFFFF"/>
                <w:w w:val="91"/>
              </w:rPr>
              <w:t>1H23</w:t>
            </w:r>
          </w:p>
        </w:tc>
        <w:tc>
          <w:tcPr>
            <w:tcW w:w="460" w:type="dxa"/>
            <w:vAlign w:val="bottom"/>
            <w:tcBorders>
              <w:top w:val="single" w:sz="8" w:color="auto"/>
              <w:right w:val="single" w:sz="8" w:color="auto"/>
            </w:tcBorders>
            <w:shd w:val="clear" w:color="auto" w:fill="2AD2C9"/>
          </w:tcPr>
          <w:p>
            <w:pPr>
              <w:spacing w:after="0"/>
              <w:rPr>
                <w:sz w:val="9"/>
                <w:szCs w:val="9"/>
                <w:color w:val="auto"/>
              </w:rPr>
            </w:pPr>
          </w:p>
        </w:tc>
        <w:tc>
          <w:tcPr>
            <w:tcW w:w="440" w:type="dxa"/>
            <w:vAlign w:val="bottom"/>
            <w:tcBorders>
              <w:top w:val="single" w:sz="8" w:color="auto"/>
            </w:tcBorders>
            <w:vMerge w:val="restart"/>
            <w:shd w:val="clear" w:color="auto" w:fill="2AD2C9"/>
          </w:tcPr>
          <w:p>
            <w:pPr>
              <w:ind w:left="20"/>
              <w:spacing w:after="0"/>
              <w:rPr>
                <w:sz w:val="20"/>
                <w:szCs w:val="20"/>
                <w:color w:val="auto"/>
              </w:rPr>
            </w:pPr>
            <w:r>
              <w:rPr>
                <w:rFonts w:ascii="Arial" w:cs="Arial" w:eastAsia="Arial" w:hAnsi="Arial"/>
                <w:sz w:val="10"/>
                <w:szCs w:val="10"/>
                <w:b w:val="1"/>
                <w:bCs w:val="1"/>
                <w:color w:val="FFFFFF"/>
              </w:rPr>
              <w:t>Average</w:t>
            </w:r>
          </w:p>
        </w:tc>
        <w:tc>
          <w:tcPr>
            <w:tcW w:w="500" w:type="dxa"/>
            <w:vAlign w:val="bottom"/>
            <w:tcBorders>
              <w:top w:val="single" w:sz="8" w:color="auto"/>
            </w:tcBorders>
            <w:shd w:val="clear" w:color="auto" w:fill="2AD2C9"/>
          </w:tcPr>
          <w:p>
            <w:pPr>
              <w:jc w:val="center"/>
              <w:spacing w:after="0" w:line="114" w:lineRule="exact"/>
              <w:rPr>
                <w:sz w:val="20"/>
                <w:szCs w:val="20"/>
                <w:color w:val="auto"/>
              </w:rPr>
            </w:pPr>
            <w:r>
              <w:rPr>
                <w:rFonts w:ascii="Arial" w:cs="Arial" w:eastAsia="Arial" w:hAnsi="Arial"/>
                <w:sz w:val="10"/>
                <w:szCs w:val="10"/>
                <w:b w:val="1"/>
                <w:bCs w:val="1"/>
                <w:color w:val="FFFFFF"/>
                <w:w w:val="91"/>
              </w:rPr>
              <w:t>1H24</w:t>
            </w:r>
          </w:p>
        </w:tc>
        <w:tc>
          <w:tcPr>
            <w:tcW w:w="440" w:type="dxa"/>
            <w:vAlign w:val="bottom"/>
            <w:tcBorders>
              <w:top w:val="single" w:sz="8" w:color="auto"/>
              <w:right w:val="single" w:sz="8" w:color="auto"/>
            </w:tcBorders>
            <w:shd w:val="clear" w:color="auto" w:fill="2AD2C9"/>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60" w:type="dxa"/>
            <w:vAlign w:val="bottom"/>
            <w:tcBorders>
              <w:left w:val="single" w:sz="8" w:color="auto"/>
            </w:tcBorders>
            <w:vMerge w:val="continue"/>
            <w:shd w:val="clear" w:color="auto" w:fill="2AD2C9"/>
          </w:tcPr>
          <w:p>
            <w:pPr>
              <w:spacing w:after="0"/>
              <w:rPr>
                <w:sz w:val="7"/>
                <w:szCs w:val="7"/>
                <w:color w:val="auto"/>
              </w:rPr>
            </w:pPr>
          </w:p>
        </w:tc>
        <w:tc>
          <w:tcPr>
            <w:tcW w:w="460" w:type="dxa"/>
            <w:vAlign w:val="bottom"/>
            <w:shd w:val="clear" w:color="auto" w:fill="2AD2C9"/>
          </w:tcPr>
          <w:p>
            <w:pPr>
              <w:spacing w:after="0"/>
              <w:rPr>
                <w:sz w:val="7"/>
                <w:szCs w:val="7"/>
                <w:color w:val="auto"/>
              </w:rPr>
            </w:pPr>
          </w:p>
        </w:tc>
        <w:tc>
          <w:tcPr>
            <w:tcW w:w="460" w:type="dxa"/>
            <w:vAlign w:val="bottom"/>
            <w:tcBorders>
              <w:right w:val="single" w:sz="8" w:color="auto"/>
            </w:tcBorders>
            <w:shd w:val="clear" w:color="auto" w:fill="2AD2C9"/>
          </w:tcPr>
          <w:p>
            <w:pPr>
              <w:spacing w:after="0"/>
              <w:rPr>
                <w:sz w:val="7"/>
                <w:szCs w:val="7"/>
                <w:color w:val="auto"/>
              </w:rPr>
            </w:pPr>
          </w:p>
        </w:tc>
        <w:tc>
          <w:tcPr>
            <w:tcW w:w="440" w:type="dxa"/>
            <w:vAlign w:val="bottom"/>
            <w:vMerge w:val="continue"/>
            <w:shd w:val="clear" w:color="auto" w:fill="2AD2C9"/>
          </w:tcPr>
          <w:p>
            <w:pPr>
              <w:spacing w:after="0"/>
              <w:rPr>
                <w:sz w:val="7"/>
                <w:szCs w:val="7"/>
                <w:color w:val="auto"/>
              </w:rPr>
            </w:pPr>
          </w:p>
        </w:tc>
        <w:tc>
          <w:tcPr>
            <w:tcW w:w="500" w:type="dxa"/>
            <w:vAlign w:val="bottom"/>
            <w:shd w:val="clear" w:color="auto" w:fill="2AD2C9"/>
          </w:tcPr>
          <w:p>
            <w:pPr>
              <w:spacing w:after="0"/>
              <w:rPr>
                <w:sz w:val="7"/>
                <w:szCs w:val="7"/>
                <w:color w:val="auto"/>
              </w:rPr>
            </w:pPr>
          </w:p>
        </w:tc>
        <w:tc>
          <w:tcPr>
            <w:tcW w:w="440" w:type="dxa"/>
            <w:vAlign w:val="bottom"/>
            <w:tcBorders>
              <w:right w:val="single" w:sz="8" w:color="auto"/>
            </w:tcBorders>
            <w:shd w:val="clear" w:color="auto" w:fill="2AD2C9"/>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460" w:type="dxa"/>
            <w:vAlign w:val="bottom"/>
            <w:tcBorders>
              <w:left w:val="single" w:sz="8" w:color="auto"/>
              <w:bottom w:val="single" w:sz="8" w:color="auto"/>
            </w:tcBorders>
            <w:shd w:val="clear" w:color="auto" w:fill="2AD2C9"/>
          </w:tcPr>
          <w:p>
            <w:pPr>
              <w:ind w:left="60"/>
              <w:spacing w:after="0"/>
              <w:rPr>
                <w:sz w:val="20"/>
                <w:szCs w:val="20"/>
                <w:color w:val="auto"/>
              </w:rPr>
            </w:pPr>
            <w:r>
              <w:rPr>
                <w:rFonts w:ascii="Arial" w:cs="Arial" w:eastAsia="Arial" w:hAnsi="Arial"/>
                <w:sz w:val="10"/>
                <w:szCs w:val="10"/>
                <w:b w:val="1"/>
                <w:bCs w:val="1"/>
                <w:color w:val="FFFFFF"/>
                <w:w w:val="98"/>
              </w:rPr>
              <w:t>Balance</w:t>
            </w:r>
          </w:p>
        </w:tc>
        <w:tc>
          <w:tcPr>
            <w:tcW w:w="4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6"/>
              </w:rPr>
              <w:t>Income</w:t>
            </w:r>
          </w:p>
        </w:tc>
        <w:tc>
          <w:tcPr>
            <w:tcW w:w="460" w:type="dxa"/>
            <w:vAlign w:val="bottom"/>
            <w:tcBorders>
              <w:bottom w:val="single" w:sz="8" w:color="auto"/>
              <w:right w:val="single" w:sz="8" w:color="auto"/>
            </w:tcBorders>
            <w:shd w:val="clear" w:color="auto" w:fill="2AD2C9"/>
          </w:tcPr>
          <w:p>
            <w:pPr>
              <w:ind w:left="80"/>
              <w:spacing w:after="0"/>
              <w:rPr>
                <w:sz w:val="20"/>
                <w:szCs w:val="20"/>
                <w:color w:val="auto"/>
              </w:rPr>
            </w:pPr>
            <w:r>
              <w:rPr>
                <w:rFonts w:ascii="Arial" w:cs="Arial" w:eastAsia="Arial" w:hAnsi="Arial"/>
                <w:sz w:val="10"/>
                <w:szCs w:val="10"/>
                <w:b w:val="1"/>
                <w:bCs w:val="1"/>
                <w:color w:val="FFFFFF"/>
              </w:rPr>
              <w:t>Yields</w:t>
            </w:r>
          </w:p>
        </w:tc>
        <w:tc>
          <w:tcPr>
            <w:tcW w:w="440" w:type="dxa"/>
            <w:vAlign w:val="bottom"/>
            <w:tcBorders>
              <w:bottom w:val="single" w:sz="8" w:color="auto"/>
            </w:tcBorders>
            <w:shd w:val="clear" w:color="auto" w:fill="2AD2C9"/>
          </w:tcPr>
          <w:p>
            <w:pPr>
              <w:ind w:left="40"/>
              <w:spacing w:after="0"/>
              <w:rPr>
                <w:sz w:val="20"/>
                <w:szCs w:val="20"/>
                <w:color w:val="auto"/>
              </w:rPr>
            </w:pPr>
            <w:r>
              <w:rPr>
                <w:rFonts w:ascii="Arial" w:cs="Arial" w:eastAsia="Arial" w:hAnsi="Arial"/>
                <w:sz w:val="10"/>
                <w:szCs w:val="10"/>
                <w:b w:val="1"/>
                <w:bCs w:val="1"/>
                <w:color w:val="FFFFFF"/>
                <w:w w:val="98"/>
              </w:rPr>
              <w:t>Balance</w:t>
            </w:r>
          </w:p>
        </w:tc>
        <w:tc>
          <w:tcPr>
            <w:tcW w:w="5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6"/>
              </w:rPr>
              <w:t>Income</w:t>
            </w:r>
          </w:p>
        </w:tc>
        <w:tc>
          <w:tcPr>
            <w:tcW w:w="440" w:type="dxa"/>
            <w:vAlign w:val="bottom"/>
            <w:tcBorders>
              <w:bottom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0"/>
                <w:szCs w:val="10"/>
                <w:b w:val="1"/>
                <w:bCs w:val="1"/>
                <w:color w:val="FFFFFF"/>
              </w:rPr>
              <w:t>Yields</w:t>
            </w:r>
          </w:p>
        </w:tc>
        <w:tc>
          <w:tcPr>
            <w:tcW w:w="0" w:type="dxa"/>
            <w:vAlign w:val="bottom"/>
          </w:tcPr>
          <w:p>
            <w:pPr>
              <w:spacing w:after="0"/>
              <w:rPr>
                <w:sz w:val="1"/>
                <w:szCs w:val="1"/>
                <w:color w:val="auto"/>
              </w:rPr>
            </w:pPr>
          </w:p>
        </w:tc>
      </w:tr>
      <w:tr>
        <w:trPr>
          <w:trHeight w:val="81"/>
        </w:trPr>
        <w:tc>
          <w:tcPr>
            <w:tcW w:w="460" w:type="dxa"/>
            <w:vAlign w:val="bottom"/>
            <w:tcBorders>
              <w:left w:val="single" w:sz="8" w:color="auto"/>
            </w:tcBorders>
          </w:tcPr>
          <w:p>
            <w:pPr>
              <w:jc w:val="center"/>
              <w:spacing w:after="0" w:line="81" w:lineRule="exact"/>
              <w:rPr>
                <w:sz w:val="20"/>
                <w:szCs w:val="20"/>
                <w:color w:val="auto"/>
              </w:rPr>
            </w:pPr>
            <w:r>
              <w:rPr>
                <w:rFonts w:ascii="Arial" w:cs="Arial" w:eastAsia="Arial" w:hAnsi="Arial"/>
                <w:sz w:val="8"/>
                <w:szCs w:val="8"/>
                <w:color w:val="auto"/>
              </w:rPr>
              <w:t>26,467</w:t>
            </w:r>
          </w:p>
        </w:tc>
        <w:tc>
          <w:tcPr>
            <w:tcW w:w="460" w:type="dxa"/>
            <w:vAlign w:val="bottom"/>
          </w:tcPr>
          <w:p>
            <w:pPr>
              <w:jc w:val="center"/>
              <w:spacing w:after="0" w:line="81" w:lineRule="exact"/>
              <w:rPr>
                <w:sz w:val="20"/>
                <w:szCs w:val="20"/>
                <w:color w:val="auto"/>
              </w:rPr>
            </w:pPr>
            <w:r>
              <w:rPr>
                <w:rFonts w:ascii="Arial" w:cs="Arial" w:eastAsia="Arial" w:hAnsi="Arial"/>
                <w:sz w:val="8"/>
                <w:szCs w:val="8"/>
                <w:color w:val="auto"/>
              </w:rPr>
              <w:t>564</w:t>
            </w:r>
          </w:p>
        </w:tc>
        <w:tc>
          <w:tcPr>
            <w:tcW w:w="46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4.3%</w:t>
            </w:r>
          </w:p>
        </w:tc>
        <w:tc>
          <w:tcPr>
            <w:tcW w:w="440" w:type="dxa"/>
            <w:vAlign w:val="bottom"/>
          </w:tcPr>
          <w:p>
            <w:pPr>
              <w:jc w:val="center"/>
              <w:spacing w:after="0" w:line="81" w:lineRule="exact"/>
              <w:rPr>
                <w:sz w:val="20"/>
                <w:szCs w:val="20"/>
                <w:color w:val="auto"/>
              </w:rPr>
            </w:pPr>
            <w:r>
              <w:rPr>
                <w:rFonts w:ascii="Arial" w:cs="Arial" w:eastAsia="Arial" w:hAnsi="Arial"/>
                <w:sz w:val="8"/>
                <w:szCs w:val="8"/>
                <w:color w:val="auto"/>
              </w:rPr>
              <w:t>26,568</w:t>
            </w:r>
          </w:p>
        </w:tc>
        <w:tc>
          <w:tcPr>
            <w:tcW w:w="500" w:type="dxa"/>
            <w:vAlign w:val="bottom"/>
          </w:tcPr>
          <w:p>
            <w:pPr>
              <w:jc w:val="center"/>
              <w:spacing w:after="0" w:line="81" w:lineRule="exact"/>
              <w:rPr>
                <w:sz w:val="20"/>
                <w:szCs w:val="20"/>
                <w:color w:val="auto"/>
              </w:rPr>
            </w:pPr>
            <w:r>
              <w:rPr>
                <w:rFonts w:ascii="Arial" w:cs="Arial" w:eastAsia="Arial" w:hAnsi="Arial"/>
                <w:sz w:val="8"/>
                <w:szCs w:val="8"/>
                <w:color w:val="auto"/>
              </w:rPr>
              <w:t>654</w:t>
            </w:r>
          </w:p>
        </w:tc>
        <w:tc>
          <w:tcPr>
            <w:tcW w:w="440" w:type="dxa"/>
            <w:vAlign w:val="bottom"/>
            <w:tcBorders>
              <w:right w:val="single" w:sz="8" w:color="auto"/>
            </w:tcBorders>
          </w:tcPr>
          <w:p>
            <w:pPr>
              <w:jc w:val="center"/>
              <w:ind w:right="13"/>
              <w:spacing w:after="0" w:line="81" w:lineRule="exact"/>
              <w:rPr>
                <w:sz w:val="20"/>
                <w:szCs w:val="20"/>
                <w:color w:val="auto"/>
              </w:rPr>
            </w:pPr>
            <w:r>
              <w:rPr>
                <w:rFonts w:ascii="Arial" w:cs="Arial" w:eastAsia="Arial" w:hAnsi="Arial"/>
                <w:sz w:val="8"/>
                <w:szCs w:val="8"/>
                <w:color w:val="auto"/>
              </w:rPr>
              <w:t>4.9%</w:t>
            </w:r>
          </w:p>
        </w:tc>
        <w:tc>
          <w:tcPr>
            <w:tcW w:w="0" w:type="dxa"/>
            <w:vAlign w:val="bottom"/>
          </w:tcPr>
          <w:p>
            <w:pPr>
              <w:spacing w:after="0"/>
              <w:rPr>
                <w:sz w:val="1"/>
                <w:szCs w:val="1"/>
                <w:color w:val="auto"/>
              </w:rPr>
            </w:pPr>
          </w:p>
        </w:tc>
      </w:tr>
      <w:tr>
        <w:trPr>
          <w:trHeight w:val="103"/>
        </w:trPr>
        <w:tc>
          <w:tcPr>
            <w:tcW w:w="460" w:type="dxa"/>
            <w:vAlign w:val="bottom"/>
            <w:tcBorders>
              <w:left w:val="single" w:sz="8" w:color="auto"/>
            </w:tcBorders>
          </w:tcPr>
          <w:p>
            <w:pPr>
              <w:jc w:val="center"/>
              <w:spacing w:after="0" w:line="103" w:lineRule="exact"/>
              <w:rPr>
                <w:sz w:val="20"/>
                <w:szCs w:val="20"/>
                <w:color w:val="auto"/>
              </w:rPr>
            </w:pPr>
            <w:r>
              <w:rPr>
                <w:rFonts w:ascii="Arial" w:cs="Arial" w:eastAsia="Arial" w:hAnsi="Arial"/>
                <w:sz w:val="10"/>
                <w:szCs w:val="10"/>
                <w:color w:val="auto"/>
                <w:w w:val="95"/>
              </w:rPr>
              <w:t>1,483</w:t>
            </w:r>
          </w:p>
        </w:tc>
        <w:tc>
          <w:tcPr>
            <w:tcW w:w="460" w:type="dxa"/>
            <w:vAlign w:val="bottom"/>
          </w:tcPr>
          <w:p>
            <w:pPr>
              <w:jc w:val="center"/>
              <w:spacing w:after="0" w:line="103" w:lineRule="exact"/>
              <w:rPr>
                <w:sz w:val="20"/>
                <w:szCs w:val="20"/>
                <w:color w:val="auto"/>
              </w:rPr>
            </w:pPr>
            <w:r>
              <w:rPr>
                <w:rFonts w:ascii="Arial" w:cs="Arial" w:eastAsia="Arial" w:hAnsi="Arial"/>
                <w:sz w:val="10"/>
                <w:szCs w:val="10"/>
                <w:color w:val="auto"/>
                <w:w w:val="89"/>
              </w:rPr>
              <w:t>34</w:t>
            </w:r>
          </w:p>
        </w:tc>
        <w:tc>
          <w:tcPr>
            <w:tcW w:w="4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4.5%</w:t>
            </w:r>
          </w:p>
        </w:tc>
        <w:tc>
          <w:tcPr>
            <w:tcW w:w="440" w:type="dxa"/>
            <w:vAlign w:val="bottom"/>
          </w:tcPr>
          <w:p>
            <w:pPr>
              <w:jc w:val="center"/>
              <w:spacing w:after="0" w:line="103" w:lineRule="exact"/>
              <w:rPr>
                <w:sz w:val="20"/>
                <w:szCs w:val="20"/>
                <w:color w:val="auto"/>
              </w:rPr>
            </w:pPr>
            <w:r>
              <w:rPr>
                <w:rFonts w:ascii="Arial" w:cs="Arial" w:eastAsia="Arial" w:hAnsi="Arial"/>
                <w:sz w:val="10"/>
                <w:szCs w:val="10"/>
                <w:color w:val="auto"/>
                <w:w w:val="95"/>
              </w:rPr>
              <w:t>1,594</w:t>
            </w:r>
          </w:p>
        </w:tc>
        <w:tc>
          <w:tcPr>
            <w:tcW w:w="500" w:type="dxa"/>
            <w:vAlign w:val="bottom"/>
          </w:tcPr>
          <w:p>
            <w:pPr>
              <w:jc w:val="center"/>
              <w:spacing w:after="0" w:line="103" w:lineRule="exact"/>
              <w:rPr>
                <w:sz w:val="20"/>
                <w:szCs w:val="20"/>
                <w:color w:val="auto"/>
              </w:rPr>
            </w:pPr>
            <w:r>
              <w:rPr>
                <w:rFonts w:ascii="Arial" w:cs="Arial" w:eastAsia="Arial" w:hAnsi="Arial"/>
                <w:sz w:val="10"/>
                <w:szCs w:val="10"/>
                <w:color w:val="auto"/>
                <w:w w:val="89"/>
              </w:rPr>
              <w:t>55</w:t>
            </w:r>
          </w:p>
        </w:tc>
        <w:tc>
          <w:tcPr>
            <w:tcW w:w="440" w:type="dxa"/>
            <w:vAlign w:val="bottom"/>
            <w:tcBorders>
              <w:right w:val="single" w:sz="8" w:color="auto"/>
            </w:tcBorders>
          </w:tcPr>
          <w:p>
            <w:pPr>
              <w:jc w:val="center"/>
              <w:ind w:right="13"/>
              <w:spacing w:after="0" w:line="103" w:lineRule="exact"/>
              <w:rPr>
                <w:sz w:val="20"/>
                <w:szCs w:val="20"/>
                <w:color w:val="auto"/>
              </w:rPr>
            </w:pPr>
            <w:r>
              <w:rPr>
                <w:rFonts w:ascii="Arial" w:cs="Arial" w:eastAsia="Arial" w:hAnsi="Arial"/>
                <w:sz w:val="10"/>
                <w:szCs w:val="10"/>
                <w:color w:val="auto"/>
                <w:w w:val="96"/>
              </w:rPr>
              <w:t>6.9%</w:t>
            </w:r>
          </w:p>
        </w:tc>
        <w:tc>
          <w:tcPr>
            <w:tcW w:w="0" w:type="dxa"/>
            <w:vAlign w:val="bottom"/>
          </w:tcPr>
          <w:p>
            <w:pPr>
              <w:spacing w:after="0"/>
              <w:rPr>
                <w:sz w:val="1"/>
                <w:szCs w:val="1"/>
                <w:color w:val="auto"/>
              </w:rPr>
            </w:pPr>
          </w:p>
        </w:tc>
      </w:tr>
      <w:tr>
        <w:trPr>
          <w:trHeight w:val="103"/>
        </w:trPr>
        <w:tc>
          <w:tcPr>
            <w:tcW w:w="460" w:type="dxa"/>
            <w:vAlign w:val="bottom"/>
            <w:tcBorders>
              <w:left w:val="single" w:sz="8" w:color="auto"/>
            </w:tcBorders>
          </w:tcPr>
          <w:p>
            <w:pPr>
              <w:jc w:val="center"/>
              <w:spacing w:after="0" w:line="103" w:lineRule="exact"/>
              <w:rPr>
                <w:sz w:val="20"/>
                <w:szCs w:val="20"/>
                <w:color w:val="auto"/>
              </w:rPr>
            </w:pPr>
            <w:r>
              <w:rPr>
                <w:rFonts w:ascii="Arial" w:cs="Arial" w:eastAsia="Arial" w:hAnsi="Arial"/>
                <w:sz w:val="10"/>
                <w:szCs w:val="10"/>
                <w:color w:val="auto"/>
                <w:w w:val="91"/>
              </w:rPr>
              <w:t>46,733</w:t>
            </w:r>
          </w:p>
        </w:tc>
        <w:tc>
          <w:tcPr>
            <w:tcW w:w="460" w:type="dxa"/>
            <w:vAlign w:val="bottom"/>
          </w:tcPr>
          <w:p>
            <w:pPr>
              <w:jc w:val="center"/>
              <w:spacing w:after="0" w:line="103" w:lineRule="exact"/>
              <w:rPr>
                <w:sz w:val="20"/>
                <w:szCs w:val="20"/>
                <w:color w:val="auto"/>
              </w:rPr>
            </w:pPr>
            <w:r>
              <w:rPr>
                <w:rFonts w:ascii="Arial" w:cs="Arial" w:eastAsia="Arial" w:hAnsi="Arial"/>
                <w:sz w:val="10"/>
                <w:szCs w:val="10"/>
                <w:color w:val="auto"/>
                <w:w w:val="95"/>
              </w:rPr>
              <w:t>1,228</w:t>
            </w:r>
          </w:p>
        </w:tc>
        <w:tc>
          <w:tcPr>
            <w:tcW w:w="4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5.3%</w:t>
            </w:r>
          </w:p>
        </w:tc>
        <w:tc>
          <w:tcPr>
            <w:tcW w:w="440" w:type="dxa"/>
            <w:vAlign w:val="bottom"/>
          </w:tcPr>
          <w:p>
            <w:pPr>
              <w:jc w:val="center"/>
              <w:spacing w:after="0" w:line="103" w:lineRule="exact"/>
              <w:rPr>
                <w:sz w:val="20"/>
                <w:szCs w:val="20"/>
                <w:color w:val="auto"/>
              </w:rPr>
            </w:pPr>
            <w:r>
              <w:rPr>
                <w:rFonts w:ascii="Arial" w:cs="Arial" w:eastAsia="Arial" w:hAnsi="Arial"/>
                <w:sz w:val="10"/>
                <w:szCs w:val="10"/>
                <w:color w:val="auto"/>
                <w:w w:val="97"/>
              </w:rPr>
              <w:t>52,321</w:t>
            </w:r>
          </w:p>
        </w:tc>
        <w:tc>
          <w:tcPr>
            <w:tcW w:w="500" w:type="dxa"/>
            <w:vAlign w:val="bottom"/>
          </w:tcPr>
          <w:p>
            <w:pPr>
              <w:jc w:val="center"/>
              <w:spacing w:after="0" w:line="103" w:lineRule="exact"/>
              <w:rPr>
                <w:sz w:val="20"/>
                <w:szCs w:val="20"/>
                <w:color w:val="auto"/>
              </w:rPr>
            </w:pPr>
            <w:r>
              <w:rPr>
                <w:rFonts w:ascii="Arial" w:cs="Arial" w:eastAsia="Arial" w:hAnsi="Arial"/>
                <w:sz w:val="10"/>
                <w:szCs w:val="10"/>
                <w:color w:val="auto"/>
                <w:w w:val="95"/>
              </w:rPr>
              <w:t>1,362</w:t>
            </w:r>
          </w:p>
        </w:tc>
        <w:tc>
          <w:tcPr>
            <w:tcW w:w="440" w:type="dxa"/>
            <w:vAlign w:val="bottom"/>
            <w:tcBorders>
              <w:right w:val="single" w:sz="8" w:color="auto"/>
            </w:tcBorders>
          </w:tcPr>
          <w:p>
            <w:pPr>
              <w:jc w:val="center"/>
              <w:ind w:right="13"/>
              <w:spacing w:after="0" w:line="103" w:lineRule="exact"/>
              <w:rPr>
                <w:sz w:val="20"/>
                <w:szCs w:val="20"/>
                <w:color w:val="auto"/>
              </w:rPr>
            </w:pPr>
            <w:r>
              <w:rPr>
                <w:rFonts w:ascii="Arial" w:cs="Arial" w:eastAsia="Arial" w:hAnsi="Arial"/>
                <w:sz w:val="10"/>
                <w:szCs w:val="10"/>
                <w:color w:val="auto"/>
                <w:w w:val="96"/>
              </w:rPr>
              <w:t>5.2%</w:t>
            </w:r>
          </w:p>
        </w:tc>
        <w:tc>
          <w:tcPr>
            <w:tcW w:w="0" w:type="dxa"/>
            <w:vAlign w:val="bottom"/>
          </w:tcPr>
          <w:p>
            <w:pPr>
              <w:spacing w:after="0"/>
              <w:rPr>
                <w:sz w:val="1"/>
                <w:szCs w:val="1"/>
                <w:color w:val="auto"/>
              </w:rPr>
            </w:pPr>
          </w:p>
        </w:tc>
      </w:tr>
      <w:tr>
        <w:trPr>
          <w:trHeight w:val="103"/>
        </w:trPr>
        <w:tc>
          <w:tcPr>
            <w:tcW w:w="460" w:type="dxa"/>
            <w:vAlign w:val="bottom"/>
            <w:tcBorders>
              <w:left w:val="single" w:sz="8" w:color="auto"/>
            </w:tcBorders>
          </w:tcPr>
          <w:p>
            <w:pPr>
              <w:jc w:val="center"/>
              <w:spacing w:after="0" w:line="103" w:lineRule="exact"/>
              <w:rPr>
                <w:sz w:val="20"/>
                <w:szCs w:val="20"/>
                <w:color w:val="auto"/>
              </w:rPr>
            </w:pPr>
            <w:r>
              <w:rPr>
                <w:rFonts w:ascii="Arial" w:cs="Arial" w:eastAsia="Arial" w:hAnsi="Arial"/>
                <w:sz w:val="10"/>
                <w:szCs w:val="10"/>
                <w:color w:val="auto"/>
                <w:w w:val="99"/>
              </w:rPr>
              <w:t>145,736</w:t>
            </w:r>
          </w:p>
        </w:tc>
        <w:tc>
          <w:tcPr>
            <w:tcW w:w="460" w:type="dxa"/>
            <w:vAlign w:val="bottom"/>
          </w:tcPr>
          <w:p>
            <w:pPr>
              <w:jc w:val="center"/>
              <w:spacing w:after="0" w:line="103" w:lineRule="exact"/>
              <w:rPr>
                <w:sz w:val="20"/>
                <w:szCs w:val="20"/>
                <w:color w:val="auto"/>
              </w:rPr>
            </w:pPr>
            <w:r>
              <w:rPr>
                <w:rFonts w:ascii="Arial" w:cs="Arial" w:eastAsia="Arial" w:hAnsi="Arial"/>
                <w:sz w:val="10"/>
                <w:szCs w:val="10"/>
                <w:color w:val="auto"/>
                <w:w w:val="95"/>
              </w:rPr>
              <w:t>7,284</w:t>
            </w:r>
          </w:p>
        </w:tc>
        <w:tc>
          <w:tcPr>
            <w:tcW w:w="4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8"/>
              </w:rPr>
              <w:t>10.0%</w:t>
            </w:r>
          </w:p>
        </w:tc>
        <w:tc>
          <w:tcPr>
            <w:tcW w:w="440" w:type="dxa"/>
            <w:vAlign w:val="bottom"/>
          </w:tcPr>
          <w:p>
            <w:pPr>
              <w:jc w:val="center"/>
              <w:spacing w:after="0" w:line="103" w:lineRule="exact"/>
              <w:rPr>
                <w:sz w:val="20"/>
                <w:szCs w:val="20"/>
                <w:color w:val="auto"/>
              </w:rPr>
            </w:pPr>
            <w:r>
              <w:rPr>
                <w:rFonts w:ascii="Arial" w:cs="Arial" w:eastAsia="Arial" w:hAnsi="Arial"/>
                <w:sz w:val="10"/>
                <w:szCs w:val="10"/>
                <w:color w:val="auto"/>
                <w:w w:val="93"/>
              </w:rPr>
              <w:t>145,961</w:t>
            </w:r>
          </w:p>
        </w:tc>
        <w:tc>
          <w:tcPr>
            <w:tcW w:w="500" w:type="dxa"/>
            <w:vAlign w:val="bottom"/>
          </w:tcPr>
          <w:p>
            <w:pPr>
              <w:jc w:val="center"/>
              <w:spacing w:after="0" w:line="103" w:lineRule="exact"/>
              <w:rPr>
                <w:sz w:val="20"/>
                <w:szCs w:val="20"/>
                <w:color w:val="auto"/>
              </w:rPr>
            </w:pPr>
            <w:r>
              <w:rPr>
                <w:rFonts w:ascii="Arial" w:cs="Arial" w:eastAsia="Arial" w:hAnsi="Arial"/>
                <w:sz w:val="10"/>
                <w:szCs w:val="10"/>
                <w:color w:val="auto"/>
                <w:w w:val="95"/>
              </w:rPr>
              <w:t>7,790</w:t>
            </w:r>
          </w:p>
        </w:tc>
        <w:tc>
          <w:tcPr>
            <w:tcW w:w="4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8"/>
              </w:rPr>
              <w:t>10.7%</w:t>
            </w:r>
          </w:p>
        </w:tc>
        <w:tc>
          <w:tcPr>
            <w:tcW w:w="0" w:type="dxa"/>
            <w:vAlign w:val="bottom"/>
          </w:tcPr>
          <w:p>
            <w:pPr>
              <w:spacing w:after="0"/>
              <w:rPr>
                <w:sz w:val="1"/>
                <w:szCs w:val="1"/>
                <w:color w:val="auto"/>
              </w:rPr>
            </w:pPr>
          </w:p>
        </w:tc>
      </w:tr>
      <w:tr>
        <w:trPr>
          <w:trHeight w:val="103"/>
        </w:trPr>
        <w:tc>
          <w:tcPr>
            <w:tcW w:w="460" w:type="dxa"/>
            <w:vAlign w:val="bottom"/>
            <w:tcBorders>
              <w:left w:val="single" w:sz="8" w:color="auto"/>
            </w:tcBorders>
          </w:tcPr>
          <w:p>
            <w:pPr>
              <w:jc w:val="center"/>
              <w:spacing w:after="0" w:line="103" w:lineRule="exact"/>
              <w:rPr>
                <w:sz w:val="20"/>
                <w:szCs w:val="20"/>
                <w:color w:val="auto"/>
              </w:rPr>
            </w:pPr>
            <w:r>
              <w:rPr>
                <w:rFonts w:ascii="Arial" w:cs="Arial" w:eastAsia="Arial" w:hAnsi="Arial"/>
                <w:sz w:val="10"/>
                <w:szCs w:val="10"/>
                <w:color w:val="auto"/>
                <w:w w:val="99"/>
              </w:rPr>
              <w:t>138,510</w:t>
            </w:r>
          </w:p>
        </w:tc>
        <w:tc>
          <w:tcPr>
            <w:tcW w:w="460" w:type="dxa"/>
            <w:vAlign w:val="bottom"/>
          </w:tcPr>
          <w:p>
            <w:pPr>
              <w:jc w:val="center"/>
              <w:spacing w:after="0" w:line="103" w:lineRule="exact"/>
              <w:rPr>
                <w:sz w:val="20"/>
                <w:szCs w:val="20"/>
                <w:color w:val="auto"/>
              </w:rPr>
            </w:pPr>
            <w:r>
              <w:rPr>
                <w:rFonts w:ascii="Arial" w:cs="Arial" w:eastAsia="Arial" w:hAnsi="Arial"/>
                <w:sz w:val="10"/>
                <w:szCs w:val="10"/>
                <w:color w:val="auto"/>
                <w:w w:val="95"/>
              </w:rPr>
              <w:t>7,206</w:t>
            </w:r>
          </w:p>
        </w:tc>
        <w:tc>
          <w:tcPr>
            <w:tcW w:w="4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8"/>
              </w:rPr>
              <w:t>10.4%</w:t>
            </w:r>
          </w:p>
        </w:tc>
        <w:tc>
          <w:tcPr>
            <w:tcW w:w="440" w:type="dxa"/>
            <w:vAlign w:val="bottom"/>
          </w:tcPr>
          <w:p>
            <w:pPr>
              <w:jc w:val="center"/>
              <w:spacing w:after="0" w:line="103" w:lineRule="exact"/>
              <w:rPr>
                <w:sz w:val="20"/>
                <w:szCs w:val="20"/>
                <w:color w:val="auto"/>
              </w:rPr>
            </w:pPr>
            <w:r>
              <w:rPr>
                <w:rFonts w:ascii="Arial" w:cs="Arial" w:eastAsia="Arial" w:hAnsi="Arial"/>
                <w:sz w:val="10"/>
                <w:szCs w:val="10"/>
                <w:color w:val="auto"/>
                <w:w w:val="93"/>
              </w:rPr>
              <w:t>142,730</w:t>
            </w:r>
          </w:p>
        </w:tc>
        <w:tc>
          <w:tcPr>
            <w:tcW w:w="500" w:type="dxa"/>
            <w:vAlign w:val="bottom"/>
          </w:tcPr>
          <w:p>
            <w:pPr>
              <w:jc w:val="center"/>
              <w:spacing w:after="0" w:line="103" w:lineRule="exact"/>
              <w:rPr>
                <w:sz w:val="20"/>
                <w:szCs w:val="20"/>
                <w:color w:val="auto"/>
              </w:rPr>
            </w:pPr>
            <w:r>
              <w:rPr>
                <w:rFonts w:ascii="Arial" w:cs="Arial" w:eastAsia="Arial" w:hAnsi="Arial"/>
                <w:sz w:val="10"/>
                <w:szCs w:val="10"/>
                <w:color w:val="auto"/>
                <w:w w:val="95"/>
              </w:rPr>
              <w:t>7,715</w:t>
            </w:r>
          </w:p>
        </w:tc>
        <w:tc>
          <w:tcPr>
            <w:tcW w:w="4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8"/>
              </w:rPr>
              <w:t>10.8%</w:t>
            </w:r>
          </w:p>
        </w:tc>
        <w:tc>
          <w:tcPr>
            <w:tcW w:w="0" w:type="dxa"/>
            <w:vAlign w:val="bottom"/>
          </w:tcPr>
          <w:p>
            <w:pPr>
              <w:spacing w:after="0"/>
              <w:rPr>
                <w:sz w:val="1"/>
                <w:szCs w:val="1"/>
                <w:color w:val="auto"/>
              </w:rPr>
            </w:pPr>
          </w:p>
        </w:tc>
      </w:tr>
      <w:tr>
        <w:trPr>
          <w:trHeight w:val="115"/>
        </w:trPr>
        <w:tc>
          <w:tcPr>
            <w:tcW w:w="46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0"/>
                <w:szCs w:val="10"/>
                <w:color w:val="auto"/>
                <w:w w:val="95"/>
              </w:rPr>
              <w:t>7,226</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9"/>
              </w:rPr>
              <w:t>77</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2.1%</w:t>
            </w: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3,231</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9"/>
              </w:rPr>
              <w:t>75</w:t>
            </w:r>
          </w:p>
        </w:tc>
        <w:tc>
          <w:tcPr>
            <w:tcW w:w="440" w:type="dxa"/>
            <w:vAlign w:val="bottom"/>
            <w:tcBorders>
              <w:bottom w:val="single" w:sz="8" w:color="auto"/>
              <w:right w:val="single" w:sz="8" w:color="auto"/>
            </w:tcBorders>
          </w:tcPr>
          <w:p>
            <w:pPr>
              <w:jc w:val="center"/>
              <w:ind w:right="13"/>
              <w:spacing w:after="0"/>
              <w:rPr>
                <w:sz w:val="20"/>
                <w:szCs w:val="20"/>
                <w:color w:val="auto"/>
              </w:rPr>
            </w:pPr>
            <w:r>
              <w:rPr>
                <w:rFonts w:ascii="Arial" w:cs="Arial" w:eastAsia="Arial" w:hAnsi="Arial"/>
                <w:sz w:val="10"/>
                <w:szCs w:val="10"/>
                <w:color w:val="auto"/>
                <w:w w:val="96"/>
              </w:rPr>
              <w:t>4.6%</w:t>
            </w:r>
          </w:p>
        </w:tc>
        <w:tc>
          <w:tcPr>
            <w:tcW w:w="0" w:type="dxa"/>
            <w:vAlign w:val="bottom"/>
          </w:tcPr>
          <w:p>
            <w:pPr>
              <w:spacing w:after="0"/>
              <w:rPr>
                <w:sz w:val="1"/>
                <w:szCs w:val="1"/>
                <w:color w:val="auto"/>
              </w:rPr>
            </w:pPr>
          </w:p>
        </w:tc>
      </w:tr>
      <w:tr>
        <w:trPr>
          <w:trHeight w:val="93"/>
        </w:trPr>
        <w:tc>
          <w:tcPr>
            <w:tcW w:w="460" w:type="dxa"/>
            <w:vAlign w:val="bottom"/>
            <w:tcBorders>
              <w:left w:val="single" w:sz="8" w:color="auto"/>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9"/>
              </w:rPr>
              <w:t>220,419</w:t>
            </w:r>
          </w:p>
        </w:tc>
        <w:tc>
          <w:tcPr>
            <w:tcW w:w="46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5"/>
              </w:rPr>
              <w:t>9,109</w:t>
            </w:r>
          </w:p>
        </w:tc>
        <w:tc>
          <w:tcPr>
            <w:tcW w:w="46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6"/>
              </w:rPr>
              <w:t>8.3%</w:t>
            </w:r>
          </w:p>
        </w:tc>
        <w:tc>
          <w:tcPr>
            <w:tcW w:w="44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3"/>
              </w:rPr>
              <w:t>226,444</w:t>
            </w:r>
          </w:p>
        </w:tc>
        <w:tc>
          <w:tcPr>
            <w:tcW w:w="5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5"/>
              </w:rPr>
              <w:t>9,861</w:t>
            </w:r>
          </w:p>
        </w:tc>
        <w:tc>
          <w:tcPr>
            <w:tcW w:w="440" w:type="dxa"/>
            <w:vAlign w:val="bottom"/>
            <w:tcBorders>
              <w:bottom w:val="single" w:sz="8" w:color="auto"/>
              <w:right w:val="single" w:sz="8" w:color="auto"/>
            </w:tcBorders>
          </w:tcPr>
          <w:p>
            <w:pPr>
              <w:jc w:val="center"/>
              <w:ind w:right="13"/>
              <w:spacing w:after="0" w:line="93" w:lineRule="exact"/>
              <w:rPr>
                <w:sz w:val="20"/>
                <w:szCs w:val="20"/>
                <w:color w:val="auto"/>
              </w:rPr>
            </w:pPr>
            <w:r>
              <w:rPr>
                <w:rFonts w:ascii="Arial" w:cs="Arial" w:eastAsia="Arial" w:hAnsi="Arial"/>
                <w:sz w:val="10"/>
                <w:szCs w:val="10"/>
                <w:b w:val="1"/>
                <w:bCs w:val="1"/>
                <w:color w:val="auto"/>
                <w:w w:val="96"/>
              </w:rPr>
              <w:t>8.7%</w:t>
            </w:r>
          </w:p>
        </w:tc>
        <w:tc>
          <w:tcPr>
            <w:tcW w:w="0" w:type="dxa"/>
            <w:vAlign w:val="bottom"/>
          </w:tcPr>
          <w:p>
            <w:pPr>
              <w:spacing w:after="0"/>
              <w:rPr>
                <w:sz w:val="1"/>
                <w:szCs w:val="1"/>
                <w:color w:val="auto"/>
              </w:rPr>
            </w:pPr>
          </w:p>
        </w:tc>
      </w:tr>
      <w:tr>
        <w:trPr>
          <w:trHeight w:val="93"/>
        </w:trPr>
        <w:tc>
          <w:tcPr>
            <w:tcW w:w="460" w:type="dxa"/>
            <w:vAlign w:val="bottom"/>
            <w:tcBorders>
              <w:left w:val="single" w:sz="8" w:color="auto"/>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8"/>
              </w:rPr>
              <w:t>57.5%</w:t>
            </w:r>
          </w:p>
        </w:tc>
        <w:tc>
          <w:tcPr>
            <w:tcW w:w="46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1"/>
              </w:rPr>
              <w:t>71.3%</w:t>
            </w:r>
          </w:p>
        </w:tc>
        <w:tc>
          <w:tcPr>
            <w:tcW w:w="46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color w:val="auto"/>
                <w:w w:val="98"/>
              </w:rPr>
              <w:t>10.3%</w:t>
            </w:r>
          </w:p>
        </w:tc>
        <w:tc>
          <w:tcPr>
            <w:tcW w:w="44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8"/>
              </w:rPr>
              <w:t>57.2%</w:t>
            </w:r>
          </w:p>
        </w:tc>
        <w:tc>
          <w:tcPr>
            <w:tcW w:w="5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1"/>
              </w:rPr>
              <w:t>69.6%</w:t>
            </w:r>
          </w:p>
        </w:tc>
        <w:tc>
          <w:tcPr>
            <w:tcW w:w="44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color w:val="auto"/>
                <w:w w:val="98"/>
              </w:rPr>
              <w:t>10.6%</w:t>
            </w:r>
          </w:p>
        </w:tc>
        <w:tc>
          <w:tcPr>
            <w:tcW w:w="0" w:type="dxa"/>
            <w:vAlign w:val="bottom"/>
          </w:tcPr>
          <w:p>
            <w:pPr>
              <w:spacing w:after="0"/>
              <w:rPr>
                <w:sz w:val="1"/>
                <w:szCs w:val="1"/>
                <w:color w:val="auto"/>
              </w:rPr>
            </w:pPr>
          </w:p>
        </w:tc>
      </w:tr>
      <w:tr>
        <w:trPr>
          <w:trHeight w:val="93"/>
        </w:trPr>
        <w:tc>
          <w:tcPr>
            <w:tcW w:w="460" w:type="dxa"/>
            <w:vAlign w:val="bottom"/>
            <w:tcBorders>
              <w:left w:val="single" w:sz="8" w:color="auto"/>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8"/>
              </w:rPr>
              <w:t>42.5%</w:t>
            </w:r>
          </w:p>
        </w:tc>
        <w:tc>
          <w:tcPr>
            <w:tcW w:w="46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1"/>
              </w:rPr>
              <w:t>28.7%</w:t>
            </w:r>
          </w:p>
        </w:tc>
        <w:tc>
          <w:tcPr>
            <w:tcW w:w="46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color w:val="auto"/>
                <w:w w:val="96"/>
              </w:rPr>
              <w:t>5.6%</w:t>
            </w:r>
          </w:p>
        </w:tc>
        <w:tc>
          <w:tcPr>
            <w:tcW w:w="44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8"/>
              </w:rPr>
              <w:t>42.8%</w:t>
            </w:r>
          </w:p>
        </w:tc>
        <w:tc>
          <w:tcPr>
            <w:tcW w:w="5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1"/>
              </w:rPr>
              <w:t>30.4%</w:t>
            </w:r>
          </w:p>
        </w:tc>
        <w:tc>
          <w:tcPr>
            <w:tcW w:w="440" w:type="dxa"/>
            <w:vAlign w:val="bottom"/>
            <w:tcBorders>
              <w:bottom w:val="single" w:sz="8" w:color="auto"/>
              <w:right w:val="single" w:sz="8" w:color="auto"/>
            </w:tcBorders>
          </w:tcPr>
          <w:p>
            <w:pPr>
              <w:jc w:val="center"/>
              <w:ind w:right="13"/>
              <w:spacing w:after="0" w:line="93" w:lineRule="exact"/>
              <w:rPr>
                <w:sz w:val="20"/>
                <w:szCs w:val="20"/>
                <w:color w:val="auto"/>
              </w:rPr>
            </w:pPr>
            <w:r>
              <w:rPr>
                <w:rFonts w:ascii="Arial" w:cs="Arial" w:eastAsia="Arial" w:hAnsi="Arial"/>
                <w:sz w:val="10"/>
                <w:szCs w:val="10"/>
                <w:color w:val="auto"/>
                <w:w w:val="96"/>
              </w:rPr>
              <w:t>6.2%</w:t>
            </w:r>
          </w:p>
        </w:tc>
        <w:tc>
          <w:tcPr>
            <w:tcW w:w="0" w:type="dxa"/>
            <w:vAlign w:val="bottom"/>
          </w:tcPr>
          <w:p>
            <w:pPr>
              <w:spacing w:after="0"/>
              <w:rPr>
                <w:sz w:val="1"/>
                <w:szCs w:val="1"/>
                <w:color w:val="auto"/>
              </w:rPr>
            </w:pPr>
          </w:p>
        </w:tc>
      </w:tr>
      <w:tr>
        <w:trPr>
          <w:trHeight w:val="93"/>
        </w:trPr>
        <w:tc>
          <w:tcPr>
            <w:tcW w:w="4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60" w:type="dxa"/>
            <w:vAlign w:val="bottom"/>
            <w:tcBorders>
              <w:left w:val="single" w:sz="8" w:color="auto"/>
            </w:tcBorders>
            <w:vMerge w:val="restart"/>
            <w:shd w:val="clear" w:color="auto" w:fill="2AD2C9"/>
          </w:tcPr>
          <w:p>
            <w:pPr>
              <w:ind w:left="60"/>
              <w:spacing w:after="0"/>
              <w:rPr>
                <w:sz w:val="20"/>
                <w:szCs w:val="20"/>
                <w:color w:val="auto"/>
              </w:rPr>
            </w:pPr>
            <w:r>
              <w:rPr>
                <w:rFonts w:ascii="Arial" w:cs="Arial" w:eastAsia="Arial" w:hAnsi="Arial"/>
                <w:sz w:val="10"/>
                <w:szCs w:val="10"/>
                <w:b w:val="1"/>
                <w:bCs w:val="1"/>
                <w:color w:val="FFFFFF"/>
                <w:w w:val="96"/>
              </w:rPr>
              <w:t>Average</w:t>
            </w:r>
          </w:p>
        </w:tc>
        <w:tc>
          <w:tcPr>
            <w:tcW w:w="460" w:type="dxa"/>
            <w:vAlign w:val="bottom"/>
            <w:shd w:val="clear" w:color="auto" w:fill="2AD2C9"/>
          </w:tcPr>
          <w:p>
            <w:pPr>
              <w:jc w:val="center"/>
              <w:spacing w:after="0" w:line="93" w:lineRule="exact"/>
              <w:rPr>
                <w:sz w:val="20"/>
                <w:szCs w:val="20"/>
                <w:color w:val="auto"/>
              </w:rPr>
            </w:pPr>
            <w:r>
              <w:rPr>
                <w:rFonts w:ascii="Arial" w:cs="Arial" w:eastAsia="Arial" w:hAnsi="Arial"/>
                <w:sz w:val="10"/>
                <w:szCs w:val="10"/>
                <w:b w:val="1"/>
                <w:bCs w:val="1"/>
                <w:color w:val="FFFFFF"/>
                <w:w w:val="91"/>
              </w:rPr>
              <w:t>1H23</w:t>
            </w:r>
          </w:p>
        </w:tc>
        <w:tc>
          <w:tcPr>
            <w:tcW w:w="460" w:type="dxa"/>
            <w:vAlign w:val="bottom"/>
            <w:tcBorders>
              <w:right w:val="single" w:sz="8" w:color="auto"/>
            </w:tcBorders>
            <w:shd w:val="clear" w:color="auto" w:fill="2AD2C9"/>
          </w:tcPr>
          <w:p>
            <w:pPr>
              <w:spacing w:after="0"/>
              <w:rPr>
                <w:sz w:val="8"/>
                <w:szCs w:val="8"/>
                <w:color w:val="auto"/>
              </w:rPr>
            </w:pPr>
          </w:p>
        </w:tc>
        <w:tc>
          <w:tcPr>
            <w:tcW w:w="440" w:type="dxa"/>
            <w:vAlign w:val="bottom"/>
            <w:vMerge w:val="restart"/>
            <w:shd w:val="clear" w:color="auto" w:fill="2AD2C9"/>
          </w:tcPr>
          <w:p>
            <w:pPr>
              <w:ind w:left="20"/>
              <w:spacing w:after="0"/>
              <w:rPr>
                <w:sz w:val="20"/>
                <w:szCs w:val="20"/>
                <w:color w:val="auto"/>
              </w:rPr>
            </w:pPr>
            <w:r>
              <w:rPr>
                <w:rFonts w:ascii="Arial" w:cs="Arial" w:eastAsia="Arial" w:hAnsi="Arial"/>
                <w:sz w:val="10"/>
                <w:szCs w:val="10"/>
                <w:b w:val="1"/>
                <w:bCs w:val="1"/>
                <w:color w:val="FFFFFF"/>
              </w:rPr>
              <w:t>Average</w:t>
            </w:r>
          </w:p>
        </w:tc>
        <w:tc>
          <w:tcPr>
            <w:tcW w:w="500" w:type="dxa"/>
            <w:vAlign w:val="bottom"/>
            <w:shd w:val="clear" w:color="auto" w:fill="2AD2C9"/>
          </w:tcPr>
          <w:p>
            <w:pPr>
              <w:jc w:val="center"/>
              <w:spacing w:after="0" w:line="93" w:lineRule="exact"/>
              <w:rPr>
                <w:sz w:val="20"/>
                <w:szCs w:val="20"/>
                <w:color w:val="auto"/>
              </w:rPr>
            </w:pPr>
            <w:r>
              <w:rPr>
                <w:rFonts w:ascii="Arial" w:cs="Arial" w:eastAsia="Arial" w:hAnsi="Arial"/>
                <w:sz w:val="10"/>
                <w:szCs w:val="10"/>
                <w:b w:val="1"/>
                <w:bCs w:val="1"/>
                <w:color w:val="FFFFFF"/>
              </w:rPr>
              <w:t>1H24</w:t>
            </w:r>
          </w:p>
        </w:tc>
        <w:tc>
          <w:tcPr>
            <w:tcW w:w="440" w:type="dxa"/>
            <w:vAlign w:val="bottom"/>
            <w:tcBorders>
              <w:right w:val="single" w:sz="8" w:color="auto"/>
            </w:tcBorders>
            <w:shd w:val="clear" w:color="auto" w:fill="2AD2C9"/>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60" w:type="dxa"/>
            <w:vAlign w:val="bottom"/>
            <w:tcBorders>
              <w:left w:val="single" w:sz="8" w:color="auto"/>
            </w:tcBorders>
            <w:vMerge w:val="continue"/>
            <w:shd w:val="clear" w:color="auto" w:fill="2AD2C9"/>
          </w:tcPr>
          <w:p>
            <w:pPr>
              <w:spacing w:after="0"/>
              <w:rPr>
                <w:sz w:val="7"/>
                <w:szCs w:val="7"/>
                <w:color w:val="auto"/>
              </w:rPr>
            </w:pPr>
          </w:p>
        </w:tc>
        <w:tc>
          <w:tcPr>
            <w:tcW w:w="460" w:type="dxa"/>
            <w:vAlign w:val="bottom"/>
            <w:shd w:val="clear" w:color="auto" w:fill="2AD2C9"/>
          </w:tcPr>
          <w:p>
            <w:pPr>
              <w:spacing w:after="0"/>
              <w:rPr>
                <w:sz w:val="7"/>
                <w:szCs w:val="7"/>
                <w:color w:val="auto"/>
              </w:rPr>
            </w:pPr>
          </w:p>
        </w:tc>
        <w:tc>
          <w:tcPr>
            <w:tcW w:w="460" w:type="dxa"/>
            <w:vAlign w:val="bottom"/>
            <w:tcBorders>
              <w:right w:val="single" w:sz="8" w:color="auto"/>
            </w:tcBorders>
            <w:shd w:val="clear" w:color="auto" w:fill="2AD2C9"/>
          </w:tcPr>
          <w:p>
            <w:pPr>
              <w:spacing w:after="0"/>
              <w:rPr>
                <w:sz w:val="7"/>
                <w:szCs w:val="7"/>
                <w:color w:val="auto"/>
              </w:rPr>
            </w:pPr>
          </w:p>
        </w:tc>
        <w:tc>
          <w:tcPr>
            <w:tcW w:w="440" w:type="dxa"/>
            <w:vAlign w:val="bottom"/>
            <w:vMerge w:val="continue"/>
            <w:shd w:val="clear" w:color="auto" w:fill="2AD2C9"/>
          </w:tcPr>
          <w:p>
            <w:pPr>
              <w:spacing w:after="0"/>
              <w:rPr>
                <w:sz w:val="7"/>
                <w:szCs w:val="7"/>
                <w:color w:val="auto"/>
              </w:rPr>
            </w:pPr>
          </w:p>
        </w:tc>
        <w:tc>
          <w:tcPr>
            <w:tcW w:w="500" w:type="dxa"/>
            <w:vAlign w:val="bottom"/>
            <w:shd w:val="clear" w:color="auto" w:fill="2AD2C9"/>
          </w:tcPr>
          <w:p>
            <w:pPr>
              <w:spacing w:after="0"/>
              <w:rPr>
                <w:sz w:val="7"/>
                <w:szCs w:val="7"/>
                <w:color w:val="auto"/>
              </w:rPr>
            </w:pPr>
          </w:p>
        </w:tc>
        <w:tc>
          <w:tcPr>
            <w:tcW w:w="440" w:type="dxa"/>
            <w:vAlign w:val="bottom"/>
            <w:tcBorders>
              <w:right w:val="single" w:sz="8" w:color="auto"/>
            </w:tcBorders>
            <w:shd w:val="clear" w:color="auto" w:fill="2AD2C9"/>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460" w:type="dxa"/>
            <w:vAlign w:val="bottom"/>
            <w:tcBorders>
              <w:left w:val="single" w:sz="8" w:color="auto"/>
              <w:bottom w:val="single" w:sz="8" w:color="auto"/>
            </w:tcBorders>
            <w:shd w:val="clear" w:color="auto" w:fill="2AD2C9"/>
          </w:tcPr>
          <w:p>
            <w:pPr>
              <w:ind w:left="60"/>
              <w:spacing w:after="0"/>
              <w:rPr>
                <w:sz w:val="20"/>
                <w:szCs w:val="20"/>
                <w:color w:val="auto"/>
              </w:rPr>
            </w:pPr>
            <w:r>
              <w:rPr>
                <w:rFonts w:ascii="Arial" w:cs="Arial" w:eastAsia="Arial" w:hAnsi="Arial"/>
                <w:sz w:val="10"/>
                <w:szCs w:val="10"/>
                <w:b w:val="1"/>
                <w:bCs w:val="1"/>
                <w:color w:val="FFFFFF"/>
                <w:w w:val="98"/>
              </w:rPr>
              <w:t>Balance</w:t>
            </w:r>
          </w:p>
        </w:tc>
        <w:tc>
          <w:tcPr>
            <w:tcW w:w="4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2"/>
              </w:rPr>
              <w:t>Expense</w:t>
            </w:r>
          </w:p>
        </w:tc>
        <w:tc>
          <w:tcPr>
            <w:tcW w:w="460" w:type="dxa"/>
            <w:vAlign w:val="bottom"/>
            <w:tcBorders>
              <w:bottom w:val="single" w:sz="8" w:color="auto"/>
              <w:right w:val="single" w:sz="8" w:color="auto"/>
            </w:tcBorders>
            <w:shd w:val="clear" w:color="auto" w:fill="2AD2C9"/>
          </w:tcPr>
          <w:p>
            <w:pPr>
              <w:ind w:left="80"/>
              <w:spacing w:after="0"/>
              <w:rPr>
                <w:sz w:val="20"/>
                <w:szCs w:val="20"/>
                <w:color w:val="auto"/>
              </w:rPr>
            </w:pPr>
            <w:r>
              <w:rPr>
                <w:rFonts w:ascii="Arial" w:cs="Arial" w:eastAsia="Arial" w:hAnsi="Arial"/>
                <w:sz w:val="10"/>
                <w:szCs w:val="10"/>
                <w:b w:val="1"/>
                <w:bCs w:val="1"/>
                <w:color w:val="FFFFFF"/>
              </w:rPr>
              <w:t>Yields</w:t>
            </w:r>
          </w:p>
        </w:tc>
        <w:tc>
          <w:tcPr>
            <w:tcW w:w="440" w:type="dxa"/>
            <w:vAlign w:val="bottom"/>
            <w:tcBorders>
              <w:bottom w:val="single" w:sz="8" w:color="auto"/>
            </w:tcBorders>
            <w:shd w:val="clear" w:color="auto" w:fill="2AD2C9"/>
          </w:tcPr>
          <w:p>
            <w:pPr>
              <w:ind w:left="40"/>
              <w:spacing w:after="0"/>
              <w:rPr>
                <w:sz w:val="20"/>
                <w:szCs w:val="20"/>
                <w:color w:val="auto"/>
              </w:rPr>
            </w:pPr>
            <w:r>
              <w:rPr>
                <w:rFonts w:ascii="Arial" w:cs="Arial" w:eastAsia="Arial" w:hAnsi="Arial"/>
                <w:sz w:val="10"/>
                <w:szCs w:val="10"/>
                <w:b w:val="1"/>
                <w:bCs w:val="1"/>
                <w:color w:val="FFFFFF"/>
                <w:w w:val="98"/>
              </w:rPr>
              <w:t>Balance</w:t>
            </w:r>
          </w:p>
        </w:tc>
        <w:tc>
          <w:tcPr>
            <w:tcW w:w="5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7"/>
              </w:rPr>
              <w:t>Expense</w:t>
            </w:r>
          </w:p>
        </w:tc>
        <w:tc>
          <w:tcPr>
            <w:tcW w:w="440" w:type="dxa"/>
            <w:vAlign w:val="bottom"/>
            <w:tcBorders>
              <w:bottom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0"/>
                <w:szCs w:val="10"/>
                <w:b w:val="1"/>
                <w:bCs w:val="1"/>
                <w:color w:val="FFFFFF"/>
              </w:rPr>
              <w:t>Yields</w:t>
            </w:r>
          </w:p>
        </w:tc>
        <w:tc>
          <w:tcPr>
            <w:tcW w:w="0" w:type="dxa"/>
            <w:vAlign w:val="bottom"/>
          </w:tcPr>
          <w:p>
            <w:pPr>
              <w:spacing w:after="0"/>
              <w:rPr>
                <w:sz w:val="1"/>
                <w:szCs w:val="1"/>
                <w:color w:val="auto"/>
              </w:rPr>
            </w:pPr>
          </w:p>
        </w:tc>
      </w:tr>
      <w:tr>
        <w:trPr>
          <w:trHeight w:val="81"/>
        </w:trPr>
        <w:tc>
          <w:tcPr>
            <w:tcW w:w="460" w:type="dxa"/>
            <w:vAlign w:val="bottom"/>
            <w:tcBorders>
              <w:left w:val="single" w:sz="8" w:color="auto"/>
            </w:tcBorders>
          </w:tcPr>
          <w:p>
            <w:pPr>
              <w:jc w:val="center"/>
              <w:spacing w:after="0" w:line="81" w:lineRule="exact"/>
              <w:rPr>
                <w:sz w:val="20"/>
                <w:szCs w:val="20"/>
                <w:color w:val="auto"/>
              </w:rPr>
            </w:pPr>
            <w:r>
              <w:rPr>
                <w:rFonts w:ascii="Arial" w:cs="Arial" w:eastAsia="Arial" w:hAnsi="Arial"/>
                <w:sz w:val="8"/>
                <w:szCs w:val="8"/>
                <w:color w:val="auto"/>
              </w:rPr>
              <w:t>145,204</w:t>
            </w:r>
          </w:p>
        </w:tc>
        <w:tc>
          <w:tcPr>
            <w:tcW w:w="460" w:type="dxa"/>
            <w:vAlign w:val="bottom"/>
          </w:tcPr>
          <w:p>
            <w:pPr>
              <w:jc w:val="center"/>
              <w:spacing w:after="0" w:line="81" w:lineRule="exact"/>
              <w:rPr>
                <w:sz w:val="20"/>
                <w:szCs w:val="20"/>
                <w:color w:val="auto"/>
              </w:rPr>
            </w:pPr>
            <w:r>
              <w:rPr>
                <w:rFonts w:ascii="Arial" w:cs="Arial" w:eastAsia="Arial" w:hAnsi="Arial"/>
                <w:sz w:val="8"/>
                <w:szCs w:val="8"/>
                <w:color w:val="auto"/>
              </w:rPr>
              <w:t>1,455</w:t>
            </w:r>
          </w:p>
        </w:tc>
        <w:tc>
          <w:tcPr>
            <w:tcW w:w="46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2.0%</w:t>
            </w:r>
          </w:p>
        </w:tc>
        <w:tc>
          <w:tcPr>
            <w:tcW w:w="440" w:type="dxa"/>
            <w:vAlign w:val="bottom"/>
          </w:tcPr>
          <w:p>
            <w:pPr>
              <w:jc w:val="center"/>
              <w:spacing w:after="0" w:line="81" w:lineRule="exact"/>
              <w:rPr>
                <w:sz w:val="20"/>
                <w:szCs w:val="20"/>
                <w:color w:val="auto"/>
              </w:rPr>
            </w:pPr>
            <w:r>
              <w:rPr>
                <w:rFonts w:ascii="Arial" w:cs="Arial" w:eastAsia="Arial" w:hAnsi="Arial"/>
                <w:sz w:val="8"/>
                <w:szCs w:val="8"/>
                <w:color w:val="auto"/>
              </w:rPr>
              <w:t>149,838</w:t>
            </w:r>
          </w:p>
        </w:tc>
        <w:tc>
          <w:tcPr>
            <w:tcW w:w="500" w:type="dxa"/>
            <w:vAlign w:val="bottom"/>
          </w:tcPr>
          <w:p>
            <w:pPr>
              <w:jc w:val="center"/>
              <w:spacing w:after="0" w:line="81" w:lineRule="exact"/>
              <w:rPr>
                <w:sz w:val="20"/>
                <w:szCs w:val="20"/>
                <w:color w:val="auto"/>
              </w:rPr>
            </w:pPr>
            <w:r>
              <w:rPr>
                <w:rFonts w:ascii="Arial" w:cs="Arial" w:eastAsia="Arial" w:hAnsi="Arial"/>
                <w:sz w:val="8"/>
                <w:szCs w:val="8"/>
                <w:color w:val="auto"/>
              </w:rPr>
              <w:t>1,518</w:t>
            </w:r>
          </w:p>
        </w:tc>
        <w:tc>
          <w:tcPr>
            <w:tcW w:w="440" w:type="dxa"/>
            <w:vAlign w:val="bottom"/>
            <w:tcBorders>
              <w:right w:val="single" w:sz="8" w:color="auto"/>
            </w:tcBorders>
          </w:tcPr>
          <w:p>
            <w:pPr>
              <w:jc w:val="center"/>
              <w:ind w:right="13"/>
              <w:spacing w:after="0" w:line="81" w:lineRule="exact"/>
              <w:rPr>
                <w:sz w:val="20"/>
                <w:szCs w:val="20"/>
                <w:color w:val="auto"/>
              </w:rPr>
            </w:pPr>
            <w:r>
              <w:rPr>
                <w:rFonts w:ascii="Arial" w:cs="Arial" w:eastAsia="Arial" w:hAnsi="Arial"/>
                <w:sz w:val="8"/>
                <w:szCs w:val="8"/>
                <w:color w:val="auto"/>
              </w:rPr>
              <w:t>2.0%</w:t>
            </w:r>
          </w:p>
        </w:tc>
        <w:tc>
          <w:tcPr>
            <w:tcW w:w="0" w:type="dxa"/>
            <w:vAlign w:val="bottom"/>
          </w:tcPr>
          <w:p>
            <w:pPr>
              <w:spacing w:after="0"/>
              <w:rPr>
                <w:sz w:val="1"/>
                <w:szCs w:val="1"/>
                <w:color w:val="auto"/>
              </w:rPr>
            </w:pPr>
          </w:p>
        </w:tc>
      </w:tr>
      <w:tr>
        <w:trPr>
          <w:trHeight w:val="103"/>
        </w:trPr>
        <w:tc>
          <w:tcPr>
            <w:tcW w:w="460" w:type="dxa"/>
            <w:vAlign w:val="bottom"/>
            <w:tcBorders>
              <w:left w:val="single" w:sz="8" w:color="auto"/>
            </w:tcBorders>
          </w:tcPr>
          <w:p>
            <w:pPr>
              <w:jc w:val="center"/>
              <w:spacing w:after="0" w:line="103" w:lineRule="exact"/>
              <w:rPr>
                <w:sz w:val="20"/>
                <w:szCs w:val="20"/>
                <w:color w:val="auto"/>
              </w:rPr>
            </w:pPr>
            <w:r>
              <w:rPr>
                <w:rFonts w:ascii="Arial" w:cs="Arial" w:eastAsia="Arial" w:hAnsi="Arial"/>
                <w:sz w:val="10"/>
                <w:szCs w:val="10"/>
                <w:color w:val="auto"/>
                <w:w w:val="91"/>
              </w:rPr>
              <w:t>21,035</w:t>
            </w:r>
          </w:p>
        </w:tc>
        <w:tc>
          <w:tcPr>
            <w:tcW w:w="460" w:type="dxa"/>
            <w:vAlign w:val="bottom"/>
          </w:tcPr>
          <w:p>
            <w:pPr>
              <w:jc w:val="center"/>
              <w:spacing w:after="0" w:line="103" w:lineRule="exact"/>
              <w:rPr>
                <w:sz w:val="20"/>
                <w:szCs w:val="20"/>
                <w:color w:val="auto"/>
              </w:rPr>
            </w:pPr>
            <w:r>
              <w:rPr>
                <w:rFonts w:ascii="Arial" w:cs="Arial" w:eastAsia="Arial" w:hAnsi="Arial"/>
                <w:sz w:val="10"/>
                <w:szCs w:val="10"/>
                <w:color w:val="auto"/>
                <w:w w:val="95"/>
              </w:rPr>
              <w:t>536</w:t>
            </w:r>
          </w:p>
        </w:tc>
        <w:tc>
          <w:tcPr>
            <w:tcW w:w="4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5.1%</w:t>
            </w:r>
          </w:p>
        </w:tc>
        <w:tc>
          <w:tcPr>
            <w:tcW w:w="440" w:type="dxa"/>
            <w:vAlign w:val="bottom"/>
          </w:tcPr>
          <w:p>
            <w:pPr>
              <w:jc w:val="center"/>
              <w:spacing w:after="0" w:line="103" w:lineRule="exact"/>
              <w:rPr>
                <w:sz w:val="20"/>
                <w:szCs w:val="20"/>
                <w:color w:val="auto"/>
              </w:rPr>
            </w:pPr>
            <w:r>
              <w:rPr>
                <w:rFonts w:ascii="Arial" w:cs="Arial" w:eastAsia="Arial" w:hAnsi="Arial"/>
                <w:sz w:val="10"/>
                <w:szCs w:val="10"/>
                <w:color w:val="auto"/>
                <w:w w:val="97"/>
              </w:rPr>
              <w:t>18,952</w:t>
            </w:r>
          </w:p>
        </w:tc>
        <w:tc>
          <w:tcPr>
            <w:tcW w:w="500" w:type="dxa"/>
            <w:vAlign w:val="bottom"/>
          </w:tcPr>
          <w:p>
            <w:pPr>
              <w:jc w:val="center"/>
              <w:spacing w:after="0" w:line="103" w:lineRule="exact"/>
              <w:rPr>
                <w:sz w:val="20"/>
                <w:szCs w:val="20"/>
                <w:color w:val="auto"/>
              </w:rPr>
            </w:pPr>
            <w:r>
              <w:rPr>
                <w:rFonts w:ascii="Arial" w:cs="Arial" w:eastAsia="Arial" w:hAnsi="Arial"/>
                <w:sz w:val="10"/>
                <w:szCs w:val="10"/>
                <w:color w:val="auto"/>
                <w:w w:val="95"/>
              </w:rPr>
              <w:t>532</w:t>
            </w:r>
          </w:p>
        </w:tc>
        <w:tc>
          <w:tcPr>
            <w:tcW w:w="440" w:type="dxa"/>
            <w:vAlign w:val="bottom"/>
            <w:tcBorders>
              <w:right w:val="single" w:sz="8" w:color="auto"/>
            </w:tcBorders>
          </w:tcPr>
          <w:p>
            <w:pPr>
              <w:jc w:val="center"/>
              <w:ind w:right="13"/>
              <w:spacing w:after="0" w:line="103" w:lineRule="exact"/>
              <w:rPr>
                <w:sz w:val="20"/>
                <w:szCs w:val="20"/>
                <w:color w:val="auto"/>
              </w:rPr>
            </w:pPr>
            <w:r>
              <w:rPr>
                <w:rFonts w:ascii="Arial" w:cs="Arial" w:eastAsia="Arial" w:hAnsi="Arial"/>
                <w:sz w:val="10"/>
                <w:szCs w:val="10"/>
                <w:color w:val="auto"/>
                <w:w w:val="96"/>
              </w:rPr>
              <w:t>5.6%</w:t>
            </w:r>
          </w:p>
        </w:tc>
        <w:tc>
          <w:tcPr>
            <w:tcW w:w="0" w:type="dxa"/>
            <w:vAlign w:val="bottom"/>
          </w:tcPr>
          <w:p>
            <w:pPr>
              <w:spacing w:after="0"/>
              <w:rPr>
                <w:sz w:val="1"/>
                <w:szCs w:val="1"/>
                <w:color w:val="auto"/>
              </w:rPr>
            </w:pPr>
          </w:p>
        </w:tc>
      </w:tr>
      <w:tr>
        <w:trPr>
          <w:trHeight w:val="103"/>
        </w:trPr>
        <w:tc>
          <w:tcPr>
            <w:tcW w:w="460" w:type="dxa"/>
            <w:vAlign w:val="bottom"/>
            <w:tcBorders>
              <w:left w:val="single" w:sz="8" w:color="auto"/>
            </w:tcBorders>
          </w:tcPr>
          <w:p>
            <w:pPr>
              <w:jc w:val="center"/>
              <w:spacing w:after="0" w:line="103" w:lineRule="exact"/>
              <w:rPr>
                <w:sz w:val="20"/>
                <w:szCs w:val="20"/>
                <w:color w:val="auto"/>
              </w:rPr>
            </w:pPr>
            <w:r>
              <w:rPr>
                <w:rFonts w:ascii="Arial" w:cs="Arial" w:eastAsia="Arial" w:hAnsi="Arial"/>
                <w:sz w:val="10"/>
                <w:szCs w:val="10"/>
                <w:color w:val="auto"/>
                <w:w w:val="91"/>
              </w:rPr>
              <w:t>15,621</w:t>
            </w:r>
          </w:p>
        </w:tc>
        <w:tc>
          <w:tcPr>
            <w:tcW w:w="460" w:type="dxa"/>
            <w:vAlign w:val="bottom"/>
          </w:tcPr>
          <w:p>
            <w:pPr>
              <w:jc w:val="center"/>
              <w:spacing w:after="0" w:line="103" w:lineRule="exact"/>
              <w:rPr>
                <w:sz w:val="20"/>
                <w:szCs w:val="20"/>
                <w:color w:val="auto"/>
              </w:rPr>
            </w:pPr>
            <w:r>
              <w:rPr>
                <w:rFonts w:ascii="Arial" w:cs="Arial" w:eastAsia="Arial" w:hAnsi="Arial"/>
                <w:sz w:val="10"/>
                <w:szCs w:val="10"/>
                <w:color w:val="auto"/>
                <w:w w:val="95"/>
              </w:rPr>
              <w:t>332</w:t>
            </w:r>
          </w:p>
        </w:tc>
        <w:tc>
          <w:tcPr>
            <w:tcW w:w="4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4.2%</w:t>
            </w:r>
          </w:p>
        </w:tc>
        <w:tc>
          <w:tcPr>
            <w:tcW w:w="440" w:type="dxa"/>
            <w:vAlign w:val="bottom"/>
          </w:tcPr>
          <w:p>
            <w:pPr>
              <w:jc w:val="center"/>
              <w:spacing w:after="0" w:line="103" w:lineRule="exact"/>
              <w:rPr>
                <w:sz w:val="20"/>
                <w:szCs w:val="20"/>
                <w:color w:val="auto"/>
              </w:rPr>
            </w:pPr>
            <w:r>
              <w:rPr>
                <w:rFonts w:ascii="Arial" w:cs="Arial" w:eastAsia="Arial" w:hAnsi="Arial"/>
                <w:sz w:val="10"/>
                <w:szCs w:val="10"/>
                <w:color w:val="auto"/>
                <w:w w:val="97"/>
              </w:rPr>
              <w:t>16,274</w:t>
            </w:r>
          </w:p>
        </w:tc>
        <w:tc>
          <w:tcPr>
            <w:tcW w:w="500" w:type="dxa"/>
            <w:vAlign w:val="bottom"/>
          </w:tcPr>
          <w:p>
            <w:pPr>
              <w:jc w:val="center"/>
              <w:spacing w:after="0" w:line="103" w:lineRule="exact"/>
              <w:rPr>
                <w:sz w:val="20"/>
                <w:szCs w:val="20"/>
                <w:color w:val="auto"/>
              </w:rPr>
            </w:pPr>
            <w:r>
              <w:rPr>
                <w:rFonts w:ascii="Arial" w:cs="Arial" w:eastAsia="Arial" w:hAnsi="Arial"/>
                <w:sz w:val="10"/>
                <w:szCs w:val="10"/>
                <w:color w:val="auto"/>
                <w:w w:val="95"/>
              </w:rPr>
              <w:t>397</w:t>
            </w:r>
          </w:p>
        </w:tc>
        <w:tc>
          <w:tcPr>
            <w:tcW w:w="440" w:type="dxa"/>
            <w:vAlign w:val="bottom"/>
            <w:tcBorders>
              <w:right w:val="single" w:sz="8" w:color="auto"/>
            </w:tcBorders>
          </w:tcPr>
          <w:p>
            <w:pPr>
              <w:jc w:val="center"/>
              <w:ind w:right="13"/>
              <w:spacing w:after="0" w:line="103" w:lineRule="exact"/>
              <w:rPr>
                <w:sz w:val="20"/>
                <w:szCs w:val="20"/>
                <w:color w:val="auto"/>
              </w:rPr>
            </w:pPr>
            <w:r>
              <w:rPr>
                <w:rFonts w:ascii="Arial" w:cs="Arial" w:eastAsia="Arial" w:hAnsi="Arial"/>
                <w:sz w:val="10"/>
                <w:szCs w:val="10"/>
                <w:color w:val="auto"/>
                <w:w w:val="96"/>
              </w:rPr>
              <w:t>4.9%</w:t>
            </w:r>
          </w:p>
        </w:tc>
        <w:tc>
          <w:tcPr>
            <w:tcW w:w="0" w:type="dxa"/>
            <w:vAlign w:val="bottom"/>
          </w:tcPr>
          <w:p>
            <w:pPr>
              <w:spacing w:after="0"/>
              <w:rPr>
                <w:sz w:val="1"/>
                <w:szCs w:val="1"/>
                <w:color w:val="auto"/>
              </w:rPr>
            </w:pPr>
          </w:p>
        </w:tc>
      </w:tr>
      <w:tr>
        <w:trPr>
          <w:trHeight w:val="115"/>
        </w:trPr>
        <w:tc>
          <w:tcPr>
            <w:tcW w:w="460" w:type="dxa"/>
            <w:vAlign w:val="bottom"/>
            <w:tcBorders>
              <w:left w:val="single" w:sz="8" w:color="auto"/>
              <w:bottom w:val="single" w:sz="8" w:color="auto"/>
            </w:tcBorders>
          </w:tcPr>
          <w:p>
            <w:pPr>
              <w:jc w:val="center"/>
              <w:spacing w:after="0"/>
              <w:rPr>
                <w:sz w:val="20"/>
                <w:szCs w:val="20"/>
                <w:color w:val="auto"/>
              </w:rPr>
            </w:pPr>
            <w:r>
              <w:rPr>
                <w:rFonts w:ascii="Arial" w:cs="Arial" w:eastAsia="Arial" w:hAnsi="Arial"/>
                <w:sz w:val="10"/>
                <w:szCs w:val="10"/>
                <w:color w:val="auto"/>
                <w:w w:val="95"/>
              </w:rPr>
              <w:t>2,102</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451</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20.9%</w:t>
            </w: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2,427</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520</w:t>
            </w:r>
          </w:p>
        </w:tc>
        <w:tc>
          <w:tcPr>
            <w:tcW w:w="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22.5%</w:t>
            </w:r>
          </w:p>
        </w:tc>
        <w:tc>
          <w:tcPr>
            <w:tcW w:w="0" w:type="dxa"/>
            <w:vAlign w:val="bottom"/>
          </w:tcPr>
          <w:p>
            <w:pPr>
              <w:spacing w:after="0"/>
              <w:rPr>
                <w:sz w:val="1"/>
                <w:szCs w:val="1"/>
                <w:color w:val="auto"/>
              </w:rPr>
            </w:pPr>
          </w:p>
        </w:tc>
      </w:tr>
      <w:tr>
        <w:trPr>
          <w:trHeight w:val="93"/>
        </w:trPr>
        <w:tc>
          <w:tcPr>
            <w:tcW w:w="460" w:type="dxa"/>
            <w:vAlign w:val="bottom"/>
            <w:tcBorders>
              <w:left w:val="single" w:sz="8" w:color="auto"/>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9"/>
              </w:rPr>
              <w:t>183,962</w:t>
            </w:r>
          </w:p>
        </w:tc>
        <w:tc>
          <w:tcPr>
            <w:tcW w:w="46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5"/>
              </w:rPr>
              <w:t>2,773</w:t>
            </w:r>
          </w:p>
        </w:tc>
        <w:tc>
          <w:tcPr>
            <w:tcW w:w="46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6"/>
              </w:rPr>
              <w:t>2.8%</w:t>
            </w:r>
          </w:p>
        </w:tc>
        <w:tc>
          <w:tcPr>
            <w:tcW w:w="44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3"/>
              </w:rPr>
              <w:t>187,491</w:t>
            </w:r>
          </w:p>
        </w:tc>
        <w:tc>
          <w:tcPr>
            <w:tcW w:w="5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5"/>
              </w:rPr>
              <w:t>2,967</w:t>
            </w:r>
          </w:p>
        </w:tc>
        <w:tc>
          <w:tcPr>
            <w:tcW w:w="440" w:type="dxa"/>
            <w:vAlign w:val="bottom"/>
            <w:tcBorders>
              <w:bottom w:val="single" w:sz="8" w:color="auto"/>
              <w:right w:val="single" w:sz="8" w:color="auto"/>
            </w:tcBorders>
          </w:tcPr>
          <w:p>
            <w:pPr>
              <w:jc w:val="center"/>
              <w:ind w:right="13"/>
              <w:spacing w:after="0" w:line="93" w:lineRule="exact"/>
              <w:rPr>
                <w:sz w:val="20"/>
                <w:szCs w:val="20"/>
                <w:color w:val="auto"/>
              </w:rPr>
            </w:pPr>
            <w:r>
              <w:rPr>
                <w:rFonts w:ascii="Arial" w:cs="Arial" w:eastAsia="Arial" w:hAnsi="Arial"/>
                <w:sz w:val="10"/>
                <w:szCs w:val="10"/>
                <w:b w:val="1"/>
                <w:bCs w:val="1"/>
                <w:color w:val="auto"/>
                <w:w w:val="96"/>
              </w:rPr>
              <w:t>2.9%</w:t>
            </w:r>
          </w:p>
        </w:tc>
        <w:tc>
          <w:tcPr>
            <w:tcW w:w="0" w:type="dxa"/>
            <w:vAlign w:val="bottom"/>
          </w:tcPr>
          <w:p>
            <w:pPr>
              <w:spacing w:after="0"/>
              <w:rPr>
                <w:sz w:val="1"/>
                <w:szCs w:val="1"/>
                <w:color w:val="auto"/>
              </w:rPr>
            </w:pPr>
          </w:p>
        </w:tc>
      </w:tr>
      <w:tr>
        <w:trPr>
          <w:trHeight w:val="93"/>
        </w:trPr>
        <w:tc>
          <w:tcPr>
            <w:tcW w:w="460" w:type="dxa"/>
            <w:vAlign w:val="bottom"/>
            <w:tcBorders>
              <w:left w:val="single" w:sz="8" w:color="auto"/>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8"/>
              </w:rPr>
              <w:t>50.8%</w:t>
            </w:r>
          </w:p>
        </w:tc>
        <w:tc>
          <w:tcPr>
            <w:tcW w:w="46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1"/>
              </w:rPr>
              <w:t>58.5%</w:t>
            </w:r>
          </w:p>
        </w:tc>
        <w:tc>
          <w:tcPr>
            <w:tcW w:w="46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color w:val="auto"/>
                <w:w w:val="96"/>
              </w:rPr>
              <w:t>3.1%</w:t>
            </w:r>
          </w:p>
        </w:tc>
        <w:tc>
          <w:tcPr>
            <w:tcW w:w="44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8"/>
              </w:rPr>
              <w:t>49.7%</w:t>
            </w:r>
          </w:p>
        </w:tc>
        <w:tc>
          <w:tcPr>
            <w:tcW w:w="5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1"/>
              </w:rPr>
              <w:t>51.8%</w:t>
            </w:r>
          </w:p>
        </w:tc>
        <w:tc>
          <w:tcPr>
            <w:tcW w:w="440" w:type="dxa"/>
            <w:vAlign w:val="bottom"/>
            <w:tcBorders>
              <w:bottom w:val="single" w:sz="8" w:color="auto"/>
              <w:right w:val="single" w:sz="8" w:color="auto"/>
            </w:tcBorders>
          </w:tcPr>
          <w:p>
            <w:pPr>
              <w:jc w:val="center"/>
              <w:ind w:right="13"/>
              <w:spacing w:after="0" w:line="93" w:lineRule="exact"/>
              <w:rPr>
                <w:sz w:val="20"/>
                <w:szCs w:val="20"/>
                <w:color w:val="auto"/>
              </w:rPr>
            </w:pPr>
            <w:r>
              <w:rPr>
                <w:rFonts w:ascii="Arial" w:cs="Arial" w:eastAsia="Arial" w:hAnsi="Arial"/>
                <w:sz w:val="10"/>
                <w:szCs w:val="10"/>
                <w:color w:val="auto"/>
                <w:w w:val="96"/>
              </w:rPr>
              <w:t>2.9%</w:t>
            </w:r>
          </w:p>
        </w:tc>
        <w:tc>
          <w:tcPr>
            <w:tcW w:w="0" w:type="dxa"/>
            <w:vAlign w:val="bottom"/>
          </w:tcPr>
          <w:p>
            <w:pPr>
              <w:spacing w:after="0"/>
              <w:rPr>
                <w:sz w:val="1"/>
                <w:szCs w:val="1"/>
                <w:color w:val="auto"/>
              </w:rPr>
            </w:pPr>
          </w:p>
        </w:tc>
      </w:tr>
      <w:tr>
        <w:trPr>
          <w:trHeight w:val="93"/>
        </w:trPr>
        <w:tc>
          <w:tcPr>
            <w:tcW w:w="460" w:type="dxa"/>
            <w:vAlign w:val="bottom"/>
            <w:tcBorders>
              <w:left w:val="single" w:sz="8" w:color="auto"/>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8"/>
              </w:rPr>
              <w:t>49.2%</w:t>
            </w:r>
          </w:p>
        </w:tc>
        <w:tc>
          <w:tcPr>
            <w:tcW w:w="46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1"/>
              </w:rPr>
              <w:t>41.5%</w:t>
            </w:r>
          </w:p>
        </w:tc>
        <w:tc>
          <w:tcPr>
            <w:tcW w:w="46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color w:val="auto"/>
                <w:w w:val="96"/>
              </w:rPr>
              <w:t>2.4%</w:t>
            </w:r>
          </w:p>
        </w:tc>
        <w:tc>
          <w:tcPr>
            <w:tcW w:w="44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8"/>
              </w:rPr>
              <w:t>50.3%</w:t>
            </w:r>
          </w:p>
        </w:tc>
        <w:tc>
          <w:tcPr>
            <w:tcW w:w="5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color w:val="auto"/>
                <w:w w:val="91"/>
              </w:rPr>
              <w:t>48.2%</w:t>
            </w:r>
          </w:p>
        </w:tc>
        <w:tc>
          <w:tcPr>
            <w:tcW w:w="440" w:type="dxa"/>
            <w:vAlign w:val="bottom"/>
            <w:tcBorders>
              <w:bottom w:val="single" w:sz="8" w:color="auto"/>
              <w:right w:val="single" w:sz="8" w:color="auto"/>
            </w:tcBorders>
          </w:tcPr>
          <w:p>
            <w:pPr>
              <w:jc w:val="center"/>
              <w:ind w:right="13"/>
              <w:spacing w:after="0" w:line="93" w:lineRule="exact"/>
              <w:rPr>
                <w:sz w:val="20"/>
                <w:szCs w:val="20"/>
                <w:color w:val="auto"/>
              </w:rPr>
            </w:pPr>
            <w:r>
              <w:rPr>
                <w:rFonts w:ascii="Arial" w:cs="Arial" w:eastAsia="Arial" w:hAnsi="Arial"/>
                <w:sz w:val="10"/>
                <w:szCs w:val="10"/>
                <w:color w:val="auto"/>
                <w:w w:val="96"/>
              </w:rPr>
              <w:t>2.9%</w:t>
            </w:r>
          </w:p>
        </w:tc>
        <w:tc>
          <w:tcPr>
            <w:tcW w:w="0" w:type="dxa"/>
            <w:vAlign w:val="bottom"/>
          </w:tcPr>
          <w:p>
            <w:pPr>
              <w:spacing w:after="0"/>
              <w:rPr>
                <w:sz w:val="1"/>
                <w:szCs w:val="1"/>
                <w:color w:val="auto"/>
              </w:rPr>
            </w:pPr>
          </w:p>
        </w:tc>
      </w:tr>
    </w:tbl>
    <w:p>
      <w:pPr>
        <w:spacing w:after="0" w:line="99" w:lineRule="exact"/>
        <w:rPr>
          <w:sz w:val="20"/>
          <w:szCs w:val="20"/>
          <w:color w:val="auto"/>
        </w:rPr>
      </w:pPr>
    </w:p>
    <w:p>
      <w:pPr>
        <w:sectPr>
          <w:pgSz w:w="11900" w:h="16838" w:orient="portrait"/>
          <w:cols w:equalWidth="0" w:num="2">
            <w:col w:w="7540" w:space="200"/>
            <w:col w:w="2760"/>
          </w:cols>
          <w:pgMar w:left="640" w:top="298" w:right="759" w:bottom="1440" w:gutter="0" w:footer="0" w:header="0"/>
          <w:type w:val="continuous"/>
        </w:sectPr>
      </w:pPr>
    </w:p>
    <w:tbl>
      <w:tblPr>
        <w:tblLayout w:type="fixed"/>
        <w:tblInd w:w="140" w:type="dxa"/>
        <w:tblCellMar>
          <w:top w:w="0" w:type="dxa"/>
          <w:left w:w="0" w:type="dxa"/>
          <w:bottom w:w="0" w:type="dxa"/>
          <w:right w:w="0" w:type="dxa"/>
        </w:tblCellMar>
      </w:tblPr>
      <w:tr>
        <w:trPr>
          <w:trHeight w:val="115"/>
        </w:trPr>
        <w:tc>
          <w:tcPr>
            <w:tcW w:w="1880" w:type="dxa"/>
            <w:vAlign w:val="bottom"/>
          </w:tcPr>
          <w:p>
            <w:pPr>
              <w:spacing w:after="0"/>
              <w:rPr>
                <w:sz w:val="20"/>
                <w:szCs w:val="20"/>
                <w:color w:val="auto"/>
              </w:rPr>
            </w:pPr>
            <w:r>
              <w:rPr>
                <w:rFonts w:ascii="Arial" w:cs="Arial" w:eastAsia="Arial" w:hAnsi="Arial"/>
                <w:sz w:val="10"/>
                <w:szCs w:val="10"/>
                <w:b w:val="1"/>
                <w:bCs w:val="1"/>
                <w:color w:val="auto"/>
              </w:rPr>
              <w:t>NIM</w:t>
            </w:r>
          </w:p>
        </w:tc>
        <w:tc>
          <w:tcPr>
            <w:tcW w:w="1920" w:type="dxa"/>
            <w:vAlign w:val="bottom"/>
          </w:tcPr>
          <w:p>
            <w:pPr>
              <w:jc w:val="center"/>
              <w:ind w:left="1372"/>
              <w:spacing w:after="0"/>
              <w:rPr>
                <w:sz w:val="20"/>
                <w:szCs w:val="20"/>
                <w:color w:val="auto"/>
              </w:rPr>
            </w:pPr>
            <w:r>
              <w:rPr>
                <w:rFonts w:ascii="Arial" w:cs="Arial" w:eastAsia="Arial" w:hAnsi="Arial"/>
                <w:sz w:val="10"/>
                <w:szCs w:val="10"/>
                <w:b w:val="1"/>
                <w:bCs w:val="1"/>
                <w:color w:val="auto"/>
                <w:w w:val="93"/>
              </w:rPr>
              <w:t>220,652</w:t>
            </w: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95"/>
              </w:rPr>
              <w:t>3,204</w:t>
            </w:r>
          </w:p>
        </w:tc>
        <w:tc>
          <w:tcPr>
            <w:tcW w:w="400" w:type="dxa"/>
            <w:vAlign w:val="bottom"/>
          </w:tcPr>
          <w:p>
            <w:pPr>
              <w:jc w:val="right"/>
              <w:ind w:right="32"/>
              <w:spacing w:after="0"/>
              <w:rPr>
                <w:sz w:val="20"/>
                <w:szCs w:val="20"/>
                <w:color w:val="auto"/>
              </w:rPr>
            </w:pPr>
            <w:r>
              <w:rPr>
                <w:rFonts w:ascii="Arial" w:cs="Arial" w:eastAsia="Arial" w:hAnsi="Arial"/>
                <w:sz w:val="10"/>
                <w:szCs w:val="10"/>
                <w:b w:val="1"/>
                <w:bCs w:val="1"/>
                <w:color w:val="auto"/>
              </w:rPr>
              <w:t>5.8%</w:t>
            </w:r>
          </w:p>
        </w:tc>
        <w:tc>
          <w:tcPr>
            <w:tcW w:w="520" w:type="dxa"/>
            <w:vAlign w:val="bottom"/>
          </w:tcPr>
          <w:p>
            <w:pPr>
              <w:jc w:val="center"/>
              <w:spacing w:after="0"/>
              <w:rPr>
                <w:sz w:val="20"/>
                <w:szCs w:val="20"/>
                <w:color w:val="auto"/>
              </w:rPr>
            </w:pPr>
            <w:r>
              <w:rPr>
                <w:rFonts w:ascii="Arial" w:cs="Arial" w:eastAsia="Arial" w:hAnsi="Arial"/>
                <w:sz w:val="10"/>
                <w:szCs w:val="10"/>
                <w:b w:val="1"/>
                <w:bCs w:val="1"/>
                <w:color w:val="auto"/>
                <w:w w:val="93"/>
              </w:rPr>
              <w:t>225,298</w:t>
            </w: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95"/>
              </w:rPr>
              <w:t>3,426</w:t>
            </w:r>
          </w:p>
        </w:tc>
        <w:tc>
          <w:tcPr>
            <w:tcW w:w="400" w:type="dxa"/>
            <w:vAlign w:val="bottom"/>
          </w:tcPr>
          <w:p>
            <w:pPr>
              <w:jc w:val="right"/>
              <w:ind w:right="32"/>
              <w:spacing w:after="0"/>
              <w:rPr>
                <w:sz w:val="20"/>
                <w:szCs w:val="20"/>
                <w:color w:val="auto"/>
              </w:rPr>
            </w:pPr>
            <w:r>
              <w:rPr>
                <w:rFonts w:ascii="Arial" w:cs="Arial" w:eastAsia="Arial" w:hAnsi="Arial"/>
                <w:sz w:val="10"/>
                <w:szCs w:val="10"/>
                <w:b w:val="1"/>
                <w:bCs w:val="1"/>
                <w:color w:val="auto"/>
              </w:rPr>
              <w:t>6.1%</w:t>
            </w:r>
          </w:p>
        </w:tc>
        <w:tc>
          <w:tcPr>
            <w:tcW w:w="500" w:type="dxa"/>
            <w:vAlign w:val="bottom"/>
          </w:tcPr>
          <w:p>
            <w:pPr>
              <w:jc w:val="center"/>
              <w:spacing w:after="0"/>
              <w:rPr>
                <w:sz w:val="20"/>
                <w:szCs w:val="20"/>
                <w:color w:val="auto"/>
              </w:rPr>
            </w:pPr>
            <w:r>
              <w:rPr>
                <w:rFonts w:ascii="Arial" w:cs="Arial" w:eastAsia="Arial" w:hAnsi="Arial"/>
                <w:sz w:val="10"/>
                <w:szCs w:val="10"/>
                <w:b w:val="1"/>
                <w:bCs w:val="1"/>
                <w:color w:val="auto"/>
                <w:w w:val="93"/>
              </w:rPr>
              <w:t>227,161</w:t>
            </w: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95"/>
              </w:rPr>
              <w:t>3,468</w:t>
            </w:r>
          </w:p>
        </w:tc>
        <w:tc>
          <w:tcPr>
            <w:tcW w:w="520" w:type="dxa"/>
            <w:vAlign w:val="bottom"/>
          </w:tcPr>
          <w:p>
            <w:pPr>
              <w:jc w:val="right"/>
              <w:ind w:right="152"/>
              <w:spacing w:after="0"/>
              <w:rPr>
                <w:sz w:val="20"/>
                <w:szCs w:val="20"/>
                <w:color w:val="auto"/>
              </w:rPr>
            </w:pPr>
            <w:r>
              <w:rPr>
                <w:rFonts w:ascii="Arial" w:cs="Arial" w:eastAsia="Arial" w:hAnsi="Arial"/>
                <w:sz w:val="10"/>
                <w:szCs w:val="10"/>
                <w:b w:val="1"/>
                <w:bCs w:val="1"/>
                <w:color w:val="auto"/>
              </w:rPr>
              <w:t>6.1%</w:t>
            </w:r>
          </w:p>
        </w:tc>
        <w:tc>
          <w:tcPr>
            <w:tcW w:w="600" w:type="dxa"/>
            <w:vAlign w:val="bottom"/>
          </w:tcPr>
          <w:p>
            <w:pPr>
              <w:jc w:val="center"/>
              <w:ind w:left="72"/>
              <w:spacing w:after="0"/>
              <w:rPr>
                <w:sz w:val="20"/>
                <w:szCs w:val="20"/>
                <w:color w:val="auto"/>
              </w:rPr>
            </w:pPr>
            <w:r>
              <w:rPr>
                <w:rFonts w:ascii="Arial" w:cs="Arial" w:eastAsia="Arial" w:hAnsi="Arial"/>
                <w:sz w:val="10"/>
                <w:szCs w:val="10"/>
                <w:b w:val="1"/>
                <w:bCs w:val="1"/>
                <w:color w:val="auto"/>
                <w:w w:val="99"/>
              </w:rPr>
              <w:t>220,419</w:t>
            </w: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95"/>
              </w:rPr>
              <w:t>6,336</w:t>
            </w:r>
          </w:p>
        </w:tc>
        <w:tc>
          <w:tcPr>
            <w:tcW w:w="400" w:type="dxa"/>
            <w:vAlign w:val="bottom"/>
          </w:tcPr>
          <w:p>
            <w:pPr>
              <w:jc w:val="right"/>
              <w:ind w:right="32"/>
              <w:spacing w:after="0"/>
              <w:rPr>
                <w:sz w:val="20"/>
                <w:szCs w:val="20"/>
                <w:color w:val="auto"/>
              </w:rPr>
            </w:pPr>
            <w:r>
              <w:rPr>
                <w:rFonts w:ascii="Arial" w:cs="Arial" w:eastAsia="Arial" w:hAnsi="Arial"/>
                <w:sz w:val="10"/>
                <w:szCs w:val="10"/>
                <w:b w:val="1"/>
                <w:bCs w:val="1"/>
                <w:color w:val="auto"/>
              </w:rPr>
              <w:t>2.9%</w:t>
            </w:r>
          </w:p>
        </w:tc>
        <w:tc>
          <w:tcPr>
            <w:tcW w:w="500" w:type="dxa"/>
            <w:vAlign w:val="bottom"/>
          </w:tcPr>
          <w:p>
            <w:pPr>
              <w:jc w:val="center"/>
              <w:spacing w:after="0"/>
              <w:rPr>
                <w:sz w:val="20"/>
                <w:szCs w:val="20"/>
                <w:color w:val="auto"/>
              </w:rPr>
            </w:pPr>
            <w:r>
              <w:rPr>
                <w:rFonts w:ascii="Arial" w:cs="Arial" w:eastAsia="Arial" w:hAnsi="Arial"/>
                <w:sz w:val="10"/>
                <w:szCs w:val="10"/>
                <w:b w:val="1"/>
                <w:bCs w:val="1"/>
                <w:color w:val="auto"/>
                <w:w w:val="93"/>
              </w:rPr>
              <w:t>226,444</w:t>
            </w: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95"/>
              </w:rPr>
              <w:t>6,895</w:t>
            </w:r>
          </w:p>
        </w:tc>
        <w:tc>
          <w:tcPr>
            <w:tcW w:w="320" w:type="dxa"/>
            <w:vAlign w:val="bottom"/>
          </w:tcPr>
          <w:p>
            <w:pPr>
              <w:jc w:val="right"/>
              <w:spacing w:after="0"/>
              <w:rPr>
                <w:sz w:val="20"/>
                <w:szCs w:val="20"/>
                <w:color w:val="auto"/>
              </w:rPr>
            </w:pPr>
            <w:r>
              <w:rPr>
                <w:rFonts w:ascii="Arial" w:cs="Arial" w:eastAsia="Arial" w:hAnsi="Arial"/>
                <w:sz w:val="10"/>
                <w:szCs w:val="10"/>
                <w:b w:val="1"/>
                <w:bCs w:val="1"/>
                <w:color w:val="auto"/>
              </w:rPr>
              <w:t>3.0%</w:t>
            </w:r>
          </w:p>
        </w:tc>
      </w:tr>
      <w:tr>
        <w:trPr>
          <w:trHeight w:val="113"/>
        </w:trPr>
        <w:tc>
          <w:tcPr>
            <w:tcW w:w="1880" w:type="dxa"/>
            <w:vAlign w:val="bottom"/>
          </w:tcPr>
          <w:p>
            <w:pPr>
              <w:spacing w:after="0" w:line="114" w:lineRule="exact"/>
              <w:rPr>
                <w:sz w:val="20"/>
                <w:szCs w:val="20"/>
                <w:color w:val="auto"/>
              </w:rPr>
            </w:pPr>
            <w:r>
              <w:rPr>
                <w:rFonts w:ascii="Arial" w:cs="Arial" w:eastAsia="Arial" w:hAnsi="Arial"/>
                <w:sz w:val="10"/>
                <w:szCs w:val="10"/>
                <w:color w:val="auto"/>
              </w:rPr>
              <w:t>NIM (LC)</w:t>
            </w:r>
          </w:p>
        </w:tc>
        <w:tc>
          <w:tcPr>
            <w:tcW w:w="1920" w:type="dxa"/>
            <w:vAlign w:val="bottom"/>
          </w:tcPr>
          <w:p>
            <w:pPr>
              <w:jc w:val="center"/>
              <w:ind w:left="1372"/>
              <w:spacing w:after="0" w:line="114" w:lineRule="exact"/>
              <w:rPr>
                <w:sz w:val="20"/>
                <w:szCs w:val="20"/>
                <w:color w:val="auto"/>
              </w:rPr>
            </w:pPr>
            <w:r>
              <w:rPr>
                <w:rFonts w:ascii="Arial" w:cs="Arial" w:eastAsia="Arial" w:hAnsi="Arial"/>
                <w:sz w:val="10"/>
                <w:szCs w:val="10"/>
                <w:color w:val="auto"/>
                <w:w w:val="91"/>
              </w:rPr>
              <w:t>57.3%</w:t>
            </w:r>
          </w:p>
        </w:tc>
        <w:tc>
          <w:tcPr>
            <w:tcW w:w="440" w:type="dxa"/>
            <w:vAlign w:val="bottom"/>
          </w:tcPr>
          <w:p>
            <w:pPr>
              <w:jc w:val="center"/>
              <w:spacing w:after="0" w:line="114" w:lineRule="exact"/>
              <w:rPr>
                <w:sz w:val="20"/>
                <w:szCs w:val="20"/>
                <w:color w:val="auto"/>
              </w:rPr>
            </w:pPr>
            <w:r>
              <w:rPr>
                <w:rFonts w:ascii="Arial" w:cs="Arial" w:eastAsia="Arial" w:hAnsi="Arial"/>
                <w:sz w:val="10"/>
                <w:szCs w:val="10"/>
                <w:color w:val="auto"/>
                <w:w w:val="98"/>
              </w:rPr>
              <w:t>76.4%</w:t>
            </w:r>
          </w:p>
        </w:tc>
        <w:tc>
          <w:tcPr>
            <w:tcW w:w="400" w:type="dxa"/>
            <w:vAlign w:val="bottom"/>
          </w:tcPr>
          <w:p>
            <w:pPr>
              <w:jc w:val="right"/>
              <w:ind w:right="32"/>
              <w:spacing w:after="0" w:line="114" w:lineRule="exact"/>
              <w:rPr>
                <w:sz w:val="20"/>
                <w:szCs w:val="20"/>
                <w:color w:val="auto"/>
              </w:rPr>
            </w:pPr>
            <w:r>
              <w:rPr>
                <w:rFonts w:ascii="Arial" w:cs="Arial" w:eastAsia="Arial" w:hAnsi="Arial"/>
                <w:sz w:val="10"/>
                <w:szCs w:val="10"/>
                <w:color w:val="auto"/>
              </w:rPr>
              <w:t>7.7%</w:t>
            </w:r>
          </w:p>
        </w:tc>
        <w:tc>
          <w:tcPr>
            <w:tcW w:w="520" w:type="dxa"/>
            <w:vAlign w:val="bottom"/>
          </w:tcPr>
          <w:p>
            <w:pPr>
              <w:jc w:val="center"/>
              <w:spacing w:after="0" w:line="114" w:lineRule="exact"/>
              <w:rPr>
                <w:sz w:val="20"/>
                <w:szCs w:val="20"/>
                <w:color w:val="auto"/>
              </w:rPr>
            </w:pPr>
            <w:r>
              <w:rPr>
                <w:rFonts w:ascii="Arial" w:cs="Arial" w:eastAsia="Arial" w:hAnsi="Arial"/>
                <w:sz w:val="10"/>
                <w:szCs w:val="10"/>
                <w:color w:val="auto"/>
                <w:w w:val="91"/>
              </w:rPr>
              <w:t>58.0%</w:t>
            </w:r>
          </w:p>
        </w:tc>
        <w:tc>
          <w:tcPr>
            <w:tcW w:w="440" w:type="dxa"/>
            <w:vAlign w:val="bottom"/>
          </w:tcPr>
          <w:p>
            <w:pPr>
              <w:jc w:val="center"/>
              <w:spacing w:after="0" w:line="114" w:lineRule="exact"/>
              <w:rPr>
                <w:sz w:val="20"/>
                <w:szCs w:val="20"/>
                <w:color w:val="auto"/>
              </w:rPr>
            </w:pPr>
            <w:r>
              <w:rPr>
                <w:rFonts w:ascii="Arial" w:cs="Arial" w:eastAsia="Arial" w:hAnsi="Arial"/>
                <w:sz w:val="10"/>
                <w:szCs w:val="10"/>
                <w:color w:val="auto"/>
                <w:w w:val="98"/>
              </w:rPr>
              <w:t>77.8%</w:t>
            </w:r>
          </w:p>
        </w:tc>
        <w:tc>
          <w:tcPr>
            <w:tcW w:w="400" w:type="dxa"/>
            <w:vAlign w:val="bottom"/>
          </w:tcPr>
          <w:p>
            <w:pPr>
              <w:jc w:val="right"/>
              <w:ind w:right="32"/>
              <w:spacing w:after="0" w:line="114" w:lineRule="exact"/>
              <w:rPr>
                <w:sz w:val="20"/>
                <w:szCs w:val="20"/>
                <w:color w:val="auto"/>
              </w:rPr>
            </w:pPr>
            <w:r>
              <w:rPr>
                <w:rFonts w:ascii="Arial" w:cs="Arial" w:eastAsia="Arial" w:hAnsi="Arial"/>
                <w:sz w:val="10"/>
                <w:szCs w:val="10"/>
                <w:color w:val="auto"/>
              </w:rPr>
              <w:t>8.2%</w:t>
            </w:r>
          </w:p>
        </w:tc>
        <w:tc>
          <w:tcPr>
            <w:tcW w:w="500" w:type="dxa"/>
            <w:vAlign w:val="bottom"/>
          </w:tcPr>
          <w:p>
            <w:pPr>
              <w:jc w:val="center"/>
              <w:spacing w:after="0" w:line="114" w:lineRule="exact"/>
              <w:rPr>
                <w:sz w:val="20"/>
                <w:szCs w:val="20"/>
                <w:color w:val="auto"/>
              </w:rPr>
            </w:pPr>
            <w:r>
              <w:rPr>
                <w:rFonts w:ascii="Arial" w:cs="Arial" w:eastAsia="Arial" w:hAnsi="Arial"/>
                <w:sz w:val="10"/>
                <w:szCs w:val="10"/>
                <w:color w:val="auto"/>
                <w:w w:val="98"/>
              </w:rPr>
              <w:t>57.4%</w:t>
            </w:r>
          </w:p>
        </w:tc>
        <w:tc>
          <w:tcPr>
            <w:tcW w:w="460" w:type="dxa"/>
            <w:vAlign w:val="bottom"/>
          </w:tcPr>
          <w:p>
            <w:pPr>
              <w:jc w:val="center"/>
              <w:spacing w:after="0" w:line="114" w:lineRule="exact"/>
              <w:rPr>
                <w:sz w:val="20"/>
                <w:szCs w:val="20"/>
                <w:color w:val="auto"/>
              </w:rPr>
            </w:pPr>
            <w:r>
              <w:rPr>
                <w:rFonts w:ascii="Arial" w:cs="Arial" w:eastAsia="Arial" w:hAnsi="Arial"/>
                <w:sz w:val="10"/>
                <w:szCs w:val="10"/>
                <w:color w:val="auto"/>
                <w:w w:val="98"/>
              </w:rPr>
              <w:t>76.9%</w:t>
            </w:r>
          </w:p>
        </w:tc>
        <w:tc>
          <w:tcPr>
            <w:tcW w:w="520" w:type="dxa"/>
            <w:vAlign w:val="bottom"/>
          </w:tcPr>
          <w:p>
            <w:pPr>
              <w:jc w:val="right"/>
              <w:ind w:right="152"/>
              <w:spacing w:after="0" w:line="114" w:lineRule="exact"/>
              <w:rPr>
                <w:sz w:val="20"/>
                <w:szCs w:val="20"/>
                <w:color w:val="auto"/>
              </w:rPr>
            </w:pPr>
            <w:r>
              <w:rPr>
                <w:rFonts w:ascii="Arial" w:cs="Arial" w:eastAsia="Arial" w:hAnsi="Arial"/>
                <w:sz w:val="10"/>
                <w:szCs w:val="10"/>
                <w:color w:val="auto"/>
              </w:rPr>
              <w:t>8.2%</w:t>
            </w:r>
          </w:p>
        </w:tc>
        <w:tc>
          <w:tcPr>
            <w:tcW w:w="600" w:type="dxa"/>
            <w:vAlign w:val="bottom"/>
          </w:tcPr>
          <w:p>
            <w:pPr>
              <w:jc w:val="center"/>
              <w:ind w:left="72"/>
              <w:spacing w:after="0" w:line="114" w:lineRule="exact"/>
              <w:rPr>
                <w:sz w:val="20"/>
                <w:szCs w:val="20"/>
                <w:color w:val="auto"/>
              </w:rPr>
            </w:pPr>
            <w:r>
              <w:rPr>
                <w:rFonts w:ascii="Arial" w:cs="Arial" w:eastAsia="Arial" w:hAnsi="Arial"/>
                <w:sz w:val="10"/>
                <w:szCs w:val="10"/>
                <w:color w:val="auto"/>
                <w:w w:val="98"/>
              </w:rPr>
              <w:t>57.5%</w:t>
            </w:r>
          </w:p>
        </w:tc>
        <w:tc>
          <w:tcPr>
            <w:tcW w:w="460" w:type="dxa"/>
            <w:vAlign w:val="bottom"/>
          </w:tcPr>
          <w:p>
            <w:pPr>
              <w:jc w:val="center"/>
              <w:spacing w:after="0" w:line="114" w:lineRule="exact"/>
              <w:rPr>
                <w:sz w:val="20"/>
                <w:szCs w:val="20"/>
                <w:color w:val="auto"/>
              </w:rPr>
            </w:pPr>
            <w:r>
              <w:rPr>
                <w:rFonts w:ascii="Arial" w:cs="Arial" w:eastAsia="Arial" w:hAnsi="Arial"/>
                <w:sz w:val="10"/>
                <w:szCs w:val="10"/>
                <w:color w:val="auto"/>
                <w:w w:val="91"/>
              </w:rPr>
              <w:t>76.9%</w:t>
            </w:r>
          </w:p>
        </w:tc>
        <w:tc>
          <w:tcPr>
            <w:tcW w:w="400" w:type="dxa"/>
            <w:vAlign w:val="bottom"/>
          </w:tcPr>
          <w:p>
            <w:pPr>
              <w:jc w:val="right"/>
              <w:ind w:right="32"/>
              <w:spacing w:after="0" w:line="114" w:lineRule="exact"/>
              <w:rPr>
                <w:sz w:val="20"/>
                <w:szCs w:val="20"/>
                <w:color w:val="auto"/>
              </w:rPr>
            </w:pPr>
            <w:r>
              <w:rPr>
                <w:rFonts w:ascii="Arial" w:cs="Arial" w:eastAsia="Arial" w:hAnsi="Arial"/>
                <w:sz w:val="10"/>
                <w:szCs w:val="10"/>
                <w:color w:val="auto"/>
              </w:rPr>
              <w:t>3.8%</w:t>
            </w:r>
          </w:p>
        </w:tc>
        <w:tc>
          <w:tcPr>
            <w:tcW w:w="500" w:type="dxa"/>
            <w:vAlign w:val="bottom"/>
          </w:tcPr>
          <w:p>
            <w:pPr>
              <w:jc w:val="center"/>
              <w:spacing w:after="0" w:line="114" w:lineRule="exact"/>
              <w:rPr>
                <w:sz w:val="20"/>
                <w:szCs w:val="20"/>
                <w:color w:val="auto"/>
              </w:rPr>
            </w:pPr>
            <w:r>
              <w:rPr>
                <w:rFonts w:ascii="Arial" w:cs="Arial" w:eastAsia="Arial" w:hAnsi="Arial"/>
                <w:sz w:val="10"/>
                <w:szCs w:val="10"/>
                <w:color w:val="auto"/>
                <w:w w:val="98"/>
              </w:rPr>
              <w:t>57.2%</w:t>
            </w:r>
          </w:p>
        </w:tc>
        <w:tc>
          <w:tcPr>
            <w:tcW w:w="460" w:type="dxa"/>
            <w:vAlign w:val="bottom"/>
          </w:tcPr>
          <w:p>
            <w:pPr>
              <w:jc w:val="center"/>
              <w:spacing w:after="0" w:line="114" w:lineRule="exact"/>
              <w:rPr>
                <w:sz w:val="20"/>
                <w:szCs w:val="20"/>
                <w:color w:val="auto"/>
              </w:rPr>
            </w:pPr>
            <w:r>
              <w:rPr>
                <w:rFonts w:ascii="Arial" w:cs="Arial" w:eastAsia="Arial" w:hAnsi="Arial"/>
                <w:sz w:val="10"/>
                <w:szCs w:val="10"/>
                <w:color w:val="auto"/>
                <w:w w:val="91"/>
              </w:rPr>
              <w:t>77.3%</w:t>
            </w:r>
          </w:p>
        </w:tc>
        <w:tc>
          <w:tcPr>
            <w:tcW w:w="320" w:type="dxa"/>
            <w:vAlign w:val="bottom"/>
          </w:tcPr>
          <w:p>
            <w:pPr>
              <w:jc w:val="right"/>
              <w:spacing w:after="0" w:line="114" w:lineRule="exact"/>
              <w:rPr>
                <w:sz w:val="20"/>
                <w:szCs w:val="20"/>
                <w:color w:val="auto"/>
              </w:rPr>
            </w:pPr>
            <w:r>
              <w:rPr>
                <w:rFonts w:ascii="Arial" w:cs="Arial" w:eastAsia="Arial" w:hAnsi="Arial"/>
                <w:sz w:val="10"/>
                <w:szCs w:val="10"/>
                <w:color w:val="auto"/>
              </w:rPr>
              <w:t>4.1%</w:t>
            </w:r>
          </w:p>
        </w:tc>
      </w:tr>
      <w:tr>
        <w:trPr>
          <w:trHeight w:val="121"/>
        </w:trPr>
        <w:tc>
          <w:tcPr>
            <w:tcW w:w="1880" w:type="dxa"/>
            <w:vAlign w:val="bottom"/>
          </w:tcPr>
          <w:p>
            <w:pPr>
              <w:spacing w:after="0"/>
              <w:rPr>
                <w:sz w:val="20"/>
                <w:szCs w:val="20"/>
                <w:color w:val="auto"/>
              </w:rPr>
            </w:pPr>
            <w:r>
              <w:rPr>
                <w:rFonts w:ascii="Arial" w:cs="Arial" w:eastAsia="Arial" w:hAnsi="Arial"/>
                <w:sz w:val="10"/>
                <w:szCs w:val="10"/>
                <w:color w:val="auto"/>
              </w:rPr>
              <w:t>NIM (FC)</w:t>
            </w:r>
          </w:p>
        </w:tc>
        <w:tc>
          <w:tcPr>
            <w:tcW w:w="1920" w:type="dxa"/>
            <w:vAlign w:val="bottom"/>
          </w:tcPr>
          <w:p>
            <w:pPr>
              <w:jc w:val="center"/>
              <w:ind w:left="1372"/>
              <w:spacing w:after="0"/>
              <w:rPr>
                <w:sz w:val="20"/>
                <w:szCs w:val="20"/>
                <w:color w:val="auto"/>
              </w:rPr>
            </w:pPr>
            <w:r>
              <w:rPr>
                <w:rFonts w:ascii="Arial" w:cs="Arial" w:eastAsia="Arial" w:hAnsi="Arial"/>
                <w:sz w:val="10"/>
                <w:szCs w:val="10"/>
                <w:color w:val="auto"/>
                <w:w w:val="91"/>
              </w:rPr>
              <w:t>42.7%</w:t>
            </w:r>
          </w:p>
        </w:tc>
        <w:tc>
          <w:tcPr>
            <w:tcW w:w="440" w:type="dxa"/>
            <w:vAlign w:val="bottom"/>
          </w:tcPr>
          <w:p>
            <w:pPr>
              <w:jc w:val="center"/>
              <w:spacing w:after="0"/>
              <w:rPr>
                <w:sz w:val="20"/>
                <w:szCs w:val="20"/>
                <w:color w:val="auto"/>
              </w:rPr>
            </w:pPr>
            <w:r>
              <w:rPr>
                <w:rFonts w:ascii="Arial" w:cs="Arial" w:eastAsia="Arial" w:hAnsi="Arial"/>
                <w:sz w:val="10"/>
                <w:szCs w:val="10"/>
                <w:color w:val="auto"/>
                <w:w w:val="98"/>
              </w:rPr>
              <w:t>23.6%</w:t>
            </w:r>
          </w:p>
        </w:tc>
        <w:tc>
          <w:tcPr>
            <w:tcW w:w="400" w:type="dxa"/>
            <w:vAlign w:val="bottom"/>
          </w:tcPr>
          <w:p>
            <w:pPr>
              <w:jc w:val="right"/>
              <w:ind w:right="32"/>
              <w:spacing w:after="0"/>
              <w:rPr>
                <w:sz w:val="20"/>
                <w:szCs w:val="20"/>
                <w:color w:val="auto"/>
              </w:rPr>
            </w:pPr>
            <w:r>
              <w:rPr>
                <w:rFonts w:ascii="Arial" w:cs="Arial" w:eastAsia="Arial" w:hAnsi="Arial"/>
                <w:sz w:val="10"/>
                <w:szCs w:val="10"/>
                <w:color w:val="auto"/>
              </w:rPr>
              <w:t>3.2%</w:t>
            </w:r>
          </w:p>
        </w:tc>
        <w:tc>
          <w:tcPr>
            <w:tcW w:w="520" w:type="dxa"/>
            <w:vAlign w:val="bottom"/>
          </w:tcPr>
          <w:p>
            <w:pPr>
              <w:jc w:val="center"/>
              <w:spacing w:after="0"/>
              <w:rPr>
                <w:sz w:val="20"/>
                <w:szCs w:val="20"/>
                <w:color w:val="auto"/>
              </w:rPr>
            </w:pPr>
            <w:r>
              <w:rPr>
                <w:rFonts w:ascii="Arial" w:cs="Arial" w:eastAsia="Arial" w:hAnsi="Arial"/>
                <w:sz w:val="10"/>
                <w:szCs w:val="10"/>
                <w:color w:val="auto"/>
                <w:w w:val="91"/>
              </w:rPr>
              <w:t>42.0%</w:t>
            </w:r>
          </w:p>
        </w:tc>
        <w:tc>
          <w:tcPr>
            <w:tcW w:w="440" w:type="dxa"/>
            <w:vAlign w:val="bottom"/>
          </w:tcPr>
          <w:p>
            <w:pPr>
              <w:jc w:val="center"/>
              <w:spacing w:after="0"/>
              <w:rPr>
                <w:sz w:val="20"/>
                <w:szCs w:val="20"/>
                <w:color w:val="auto"/>
              </w:rPr>
            </w:pPr>
            <w:r>
              <w:rPr>
                <w:rFonts w:ascii="Arial" w:cs="Arial" w:eastAsia="Arial" w:hAnsi="Arial"/>
                <w:sz w:val="10"/>
                <w:szCs w:val="10"/>
                <w:color w:val="auto"/>
                <w:w w:val="98"/>
              </w:rPr>
              <w:t>22.2%</w:t>
            </w:r>
          </w:p>
        </w:tc>
        <w:tc>
          <w:tcPr>
            <w:tcW w:w="400" w:type="dxa"/>
            <w:vAlign w:val="bottom"/>
          </w:tcPr>
          <w:p>
            <w:pPr>
              <w:jc w:val="right"/>
              <w:ind w:right="32"/>
              <w:spacing w:after="0"/>
              <w:rPr>
                <w:sz w:val="20"/>
                <w:szCs w:val="20"/>
                <w:color w:val="auto"/>
              </w:rPr>
            </w:pPr>
            <w:r>
              <w:rPr>
                <w:rFonts w:ascii="Arial" w:cs="Arial" w:eastAsia="Arial" w:hAnsi="Arial"/>
                <w:sz w:val="10"/>
                <w:szCs w:val="10"/>
                <w:color w:val="auto"/>
              </w:rPr>
              <w:t>3.2%</w:t>
            </w:r>
          </w:p>
        </w:tc>
        <w:tc>
          <w:tcPr>
            <w:tcW w:w="500" w:type="dxa"/>
            <w:vAlign w:val="bottom"/>
          </w:tcPr>
          <w:p>
            <w:pPr>
              <w:jc w:val="center"/>
              <w:spacing w:after="0"/>
              <w:rPr>
                <w:sz w:val="20"/>
                <w:szCs w:val="20"/>
                <w:color w:val="auto"/>
              </w:rPr>
            </w:pPr>
            <w:r>
              <w:rPr>
                <w:rFonts w:ascii="Arial" w:cs="Arial" w:eastAsia="Arial" w:hAnsi="Arial"/>
                <w:sz w:val="10"/>
                <w:szCs w:val="10"/>
                <w:color w:val="auto"/>
                <w:w w:val="98"/>
              </w:rPr>
              <w:t>42.6%</w:t>
            </w:r>
          </w:p>
        </w:tc>
        <w:tc>
          <w:tcPr>
            <w:tcW w:w="460" w:type="dxa"/>
            <w:vAlign w:val="bottom"/>
          </w:tcPr>
          <w:p>
            <w:pPr>
              <w:jc w:val="center"/>
              <w:spacing w:after="0"/>
              <w:rPr>
                <w:sz w:val="20"/>
                <w:szCs w:val="20"/>
                <w:color w:val="auto"/>
              </w:rPr>
            </w:pPr>
            <w:r>
              <w:rPr>
                <w:rFonts w:ascii="Arial" w:cs="Arial" w:eastAsia="Arial" w:hAnsi="Arial"/>
                <w:sz w:val="10"/>
                <w:szCs w:val="10"/>
                <w:color w:val="auto"/>
                <w:w w:val="98"/>
              </w:rPr>
              <w:t>23.1%</w:t>
            </w:r>
          </w:p>
        </w:tc>
        <w:tc>
          <w:tcPr>
            <w:tcW w:w="520" w:type="dxa"/>
            <w:vAlign w:val="bottom"/>
          </w:tcPr>
          <w:p>
            <w:pPr>
              <w:jc w:val="right"/>
              <w:ind w:right="152"/>
              <w:spacing w:after="0"/>
              <w:rPr>
                <w:sz w:val="20"/>
                <w:szCs w:val="20"/>
                <w:color w:val="auto"/>
              </w:rPr>
            </w:pPr>
            <w:r>
              <w:rPr>
                <w:rFonts w:ascii="Arial" w:cs="Arial" w:eastAsia="Arial" w:hAnsi="Arial"/>
                <w:sz w:val="10"/>
                <w:szCs w:val="10"/>
                <w:color w:val="auto"/>
              </w:rPr>
              <w:t>3.3%</w:t>
            </w:r>
          </w:p>
        </w:tc>
        <w:tc>
          <w:tcPr>
            <w:tcW w:w="600" w:type="dxa"/>
            <w:vAlign w:val="bottom"/>
          </w:tcPr>
          <w:p>
            <w:pPr>
              <w:jc w:val="center"/>
              <w:ind w:left="72"/>
              <w:spacing w:after="0"/>
              <w:rPr>
                <w:sz w:val="20"/>
                <w:szCs w:val="20"/>
                <w:color w:val="auto"/>
              </w:rPr>
            </w:pPr>
            <w:r>
              <w:rPr>
                <w:rFonts w:ascii="Arial" w:cs="Arial" w:eastAsia="Arial" w:hAnsi="Arial"/>
                <w:sz w:val="10"/>
                <w:szCs w:val="10"/>
                <w:color w:val="auto"/>
                <w:w w:val="98"/>
              </w:rPr>
              <w:t>42.5%</w:t>
            </w:r>
          </w:p>
        </w:tc>
        <w:tc>
          <w:tcPr>
            <w:tcW w:w="460" w:type="dxa"/>
            <w:vAlign w:val="bottom"/>
          </w:tcPr>
          <w:p>
            <w:pPr>
              <w:jc w:val="center"/>
              <w:spacing w:after="0"/>
              <w:rPr>
                <w:sz w:val="20"/>
                <w:szCs w:val="20"/>
                <w:color w:val="auto"/>
              </w:rPr>
            </w:pPr>
            <w:r>
              <w:rPr>
                <w:rFonts w:ascii="Arial" w:cs="Arial" w:eastAsia="Arial" w:hAnsi="Arial"/>
                <w:sz w:val="10"/>
                <w:szCs w:val="10"/>
                <w:color w:val="auto"/>
                <w:w w:val="91"/>
              </w:rPr>
              <w:t>23.1%</w:t>
            </w:r>
          </w:p>
        </w:tc>
        <w:tc>
          <w:tcPr>
            <w:tcW w:w="400" w:type="dxa"/>
            <w:vAlign w:val="bottom"/>
          </w:tcPr>
          <w:p>
            <w:pPr>
              <w:jc w:val="right"/>
              <w:ind w:right="32"/>
              <w:spacing w:after="0"/>
              <w:rPr>
                <w:sz w:val="20"/>
                <w:szCs w:val="20"/>
                <w:color w:val="auto"/>
              </w:rPr>
            </w:pPr>
            <w:r>
              <w:rPr>
                <w:rFonts w:ascii="Arial" w:cs="Arial" w:eastAsia="Arial" w:hAnsi="Arial"/>
                <w:sz w:val="10"/>
                <w:szCs w:val="10"/>
                <w:color w:val="auto"/>
              </w:rPr>
              <w:t>1.6%</w:t>
            </w:r>
          </w:p>
        </w:tc>
        <w:tc>
          <w:tcPr>
            <w:tcW w:w="500" w:type="dxa"/>
            <w:vAlign w:val="bottom"/>
          </w:tcPr>
          <w:p>
            <w:pPr>
              <w:jc w:val="center"/>
              <w:spacing w:after="0"/>
              <w:rPr>
                <w:sz w:val="20"/>
                <w:szCs w:val="20"/>
                <w:color w:val="auto"/>
              </w:rPr>
            </w:pPr>
            <w:r>
              <w:rPr>
                <w:rFonts w:ascii="Arial" w:cs="Arial" w:eastAsia="Arial" w:hAnsi="Arial"/>
                <w:sz w:val="10"/>
                <w:szCs w:val="10"/>
                <w:color w:val="auto"/>
                <w:w w:val="98"/>
              </w:rPr>
              <w:t>42.8%</w:t>
            </w:r>
          </w:p>
        </w:tc>
        <w:tc>
          <w:tcPr>
            <w:tcW w:w="460" w:type="dxa"/>
            <w:vAlign w:val="bottom"/>
          </w:tcPr>
          <w:p>
            <w:pPr>
              <w:jc w:val="center"/>
              <w:spacing w:after="0"/>
              <w:rPr>
                <w:sz w:val="20"/>
                <w:szCs w:val="20"/>
                <w:color w:val="auto"/>
              </w:rPr>
            </w:pPr>
            <w:r>
              <w:rPr>
                <w:rFonts w:ascii="Arial" w:cs="Arial" w:eastAsia="Arial" w:hAnsi="Arial"/>
                <w:sz w:val="10"/>
                <w:szCs w:val="10"/>
                <w:color w:val="auto"/>
                <w:w w:val="91"/>
              </w:rPr>
              <w:t>22.7%</w:t>
            </w:r>
          </w:p>
        </w:tc>
        <w:tc>
          <w:tcPr>
            <w:tcW w:w="320" w:type="dxa"/>
            <w:vAlign w:val="bottom"/>
          </w:tcPr>
          <w:p>
            <w:pPr>
              <w:jc w:val="right"/>
              <w:spacing w:after="0"/>
              <w:rPr>
                <w:sz w:val="20"/>
                <w:szCs w:val="20"/>
                <w:color w:val="auto"/>
              </w:rPr>
            </w:pPr>
            <w:r>
              <w:rPr>
                <w:rFonts w:ascii="Arial" w:cs="Arial" w:eastAsia="Arial" w:hAnsi="Arial"/>
                <w:sz w:val="10"/>
                <w:szCs w:val="10"/>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-218440</wp:posOffset>
            </wp:positionV>
            <wp:extent cx="6590030" cy="2222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590030" cy="22225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0"/>
          <w:szCs w:val="10"/>
          <w:color w:val="auto"/>
        </w:rPr>
        <w:t>(1) Unlike the NIM figure calculated according to the formula in Appendix 12.7, the NIM presented in this table includes “Financial Expense associated with the insurance and reinsurance activity, net”.</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QoQ Analysis</w:t>
      </w:r>
    </w:p>
    <w:p>
      <w:pPr>
        <w:spacing w:after="0" w:line="148" w:lineRule="exact"/>
        <w:rPr>
          <w:sz w:val="20"/>
          <w:szCs w:val="20"/>
          <w:color w:val="auto"/>
        </w:rPr>
      </w:pPr>
    </w:p>
    <w:p>
      <w:pPr>
        <w:jc w:val="both"/>
        <w:ind w:left="120"/>
        <w:spacing w:after="0" w:line="261" w:lineRule="auto"/>
        <w:rPr>
          <w:sz w:val="20"/>
          <w:szCs w:val="20"/>
          <w:color w:val="auto"/>
        </w:rPr>
      </w:pPr>
      <w:r>
        <w:rPr>
          <w:rFonts w:ascii="Arial" w:cs="Arial" w:eastAsia="Arial" w:hAnsi="Arial"/>
          <w:sz w:val="14"/>
          <w:szCs w:val="14"/>
          <w:color w:val="auto"/>
        </w:rPr>
        <w:t xml:space="preserve">QoQ, </w:t>
      </w:r>
      <w:r>
        <w:rPr>
          <w:rFonts w:ascii="Arial" w:cs="Arial" w:eastAsia="Arial" w:hAnsi="Arial"/>
          <w:sz w:val="14"/>
          <w:szCs w:val="14"/>
          <w:b w:val="1"/>
          <w:bCs w:val="1"/>
          <w:color w:val="auto"/>
        </w:rPr>
        <w:t>Net Interest Income (NII)</w:t>
      </w:r>
      <w:r>
        <w:rPr>
          <w:rFonts w:ascii="Arial" w:cs="Arial" w:eastAsia="Arial" w:hAnsi="Arial"/>
          <w:sz w:val="14"/>
          <w:szCs w:val="14"/>
          <w:color w:val="auto"/>
        </w:rPr>
        <w:t xml:space="preserve"> rose 1.2%, driven by an increase in NII in FC while the NII in LC was stable. IEAs in LC reported 57.4% of total IEAS and 76.9% of Net interest income generated in 2Q24.</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Local Currency Dynamics (LC)</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NII </w:t>
      </w:r>
      <w:r>
        <w:rPr>
          <w:rFonts w:ascii="Arial" w:cs="Arial" w:eastAsia="Arial" w:hAnsi="Arial"/>
          <w:sz w:val="14"/>
          <w:szCs w:val="14"/>
          <w:color w:val="auto"/>
        </w:rPr>
        <w:t>in</w:t>
      </w:r>
      <w:r>
        <w:rPr>
          <w:rFonts w:ascii="Arial" w:cs="Arial" w:eastAsia="Arial" w:hAnsi="Arial"/>
          <w:sz w:val="14"/>
          <w:szCs w:val="14"/>
          <w:b w:val="1"/>
          <w:bCs w:val="1"/>
          <w:color w:val="auto"/>
        </w:rPr>
        <w:t xml:space="preserve"> LC </w:t>
      </w:r>
      <w:r>
        <w:rPr>
          <w:rFonts w:ascii="Arial" w:cs="Arial" w:eastAsia="Arial" w:hAnsi="Arial"/>
          <w:sz w:val="14"/>
          <w:szCs w:val="14"/>
          <w:color w:val="auto"/>
        </w:rPr>
        <w:t>was stable (+0.0% QoQ, which reflected the following dynamics:</w:t>
      </w:r>
    </w:p>
    <w:p>
      <w:pPr>
        <w:spacing w:after="0" w:line="150" w:lineRule="exact"/>
        <w:rPr>
          <w:sz w:val="20"/>
          <w:szCs w:val="20"/>
          <w:color w:val="auto"/>
        </w:rPr>
      </w:pPr>
    </w:p>
    <w:p>
      <w:pPr>
        <w:jc w:val="both"/>
        <w:ind w:left="120"/>
        <w:spacing w:after="0" w:line="239" w:lineRule="auto"/>
        <w:rPr>
          <w:sz w:val="20"/>
          <w:szCs w:val="20"/>
          <w:color w:val="auto"/>
        </w:rPr>
      </w:pPr>
      <w:r>
        <w:rPr>
          <w:rFonts w:ascii="Arial" w:cs="Arial" w:eastAsia="Arial" w:hAnsi="Arial"/>
          <w:sz w:val="14"/>
          <w:szCs w:val="14"/>
          <w:color w:val="auto"/>
        </w:rPr>
        <w:t>Average IEA in LC dropped 0.2%, driven primarily by a drop in the balance for available funds and equivalents and secondarily, by a decrease in the balance for loans. The latter fell due to amortizations of government loans (GP). Income fell over the period, driven primarily by a downward adjustment in investment income at Pacifico Seguros in a context marked by lower inflation and secondarily, by the fact that BCRP Certificates of Deposit at BCP were renewed at lower rates. This was partially offset by income from loans, which rose through growth in corporate loan disbursements at BCP. In this scenario, IEA yields in LC fell 4 bps to 10.5%.</w:t>
      </w:r>
    </w:p>
    <w:p>
      <w:pPr>
        <w:spacing w:after="0" w:line="130" w:lineRule="exact"/>
        <w:rPr>
          <w:sz w:val="20"/>
          <w:szCs w:val="20"/>
          <w:color w:val="auto"/>
        </w:rPr>
      </w:pPr>
    </w:p>
    <w:p>
      <w:pPr>
        <w:jc w:val="both"/>
        <w:ind w:left="120"/>
        <w:spacing w:after="0" w:line="258" w:lineRule="auto"/>
        <w:rPr>
          <w:sz w:val="20"/>
          <w:szCs w:val="20"/>
          <w:color w:val="auto"/>
        </w:rPr>
      </w:pPr>
      <w:r>
        <w:rPr>
          <w:rFonts w:ascii="Arial" w:cs="Arial" w:eastAsia="Arial" w:hAnsi="Arial"/>
          <w:sz w:val="14"/>
          <w:szCs w:val="14"/>
          <w:color w:val="auto"/>
        </w:rPr>
        <w:t>On the funding side, the LC balance rose 1.4% QoQ, driven mainly by growth in the average deposit balance and secondarily by an increase in the bond balance. Growth in deposits was concentrated in low-cost deposits, which led interest expenses to fall. The cost of funding in LC fell 14 bps to 2.9% over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611505</wp:posOffset>
            </wp:positionV>
            <wp:extent cx="7164705" cy="133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81915</wp:posOffset>
            </wp:positionV>
            <wp:extent cx="1502410" cy="44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02410" cy="443865"/>
                    </a:xfrm>
                    <a:prstGeom prst="rect">
                      <a:avLst/>
                    </a:prstGeom>
                    <a:noFill/>
                  </pic:spPr>
                </pic:pic>
              </a:graphicData>
            </a:graphic>
          </wp:anchor>
        </w:drawing>
      </w:r>
    </w:p>
    <w:p>
      <w:pPr>
        <w:sectPr>
          <w:pgSz w:w="11900" w:h="16838" w:orient="portrait"/>
          <w:cols w:equalWidth="0" w:num="1">
            <w:col w:w="10500"/>
          </w:cols>
          <w:pgMar w:left="640" w:top="298" w:right="759" w:bottom="1440" w:gutter="0" w:footer="0" w:header="0"/>
          <w:type w:val="continuous"/>
        </w:sectPr>
      </w:pPr>
    </w:p>
    <w:bookmarkStart w:id="28" w:name="page29"/>
    <w:bookmarkEnd w:id="28"/>
    <w:p>
      <w:pPr>
        <w:ind w:left="2380"/>
        <w:spacing w:after="0"/>
        <w:tabs>
          <w:tab w:leader="none" w:pos="2580" w:val="left"/>
          <w:tab w:leader="none" w:pos="7540"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619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4705" cy="561975"/>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04. Net Interest Income (NII)</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Foreign Currency Dynamics (FC)</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NII </w:t>
      </w:r>
      <w:r>
        <w:rPr>
          <w:rFonts w:ascii="Arial" w:cs="Arial" w:eastAsia="Arial" w:hAnsi="Arial"/>
          <w:sz w:val="14"/>
          <w:szCs w:val="14"/>
          <w:color w:val="auto"/>
        </w:rPr>
        <w:t>in</w:t>
      </w:r>
      <w:r>
        <w:rPr>
          <w:rFonts w:ascii="Arial" w:cs="Arial" w:eastAsia="Arial" w:hAnsi="Arial"/>
          <w:sz w:val="14"/>
          <w:szCs w:val="14"/>
          <w:b w:val="1"/>
          <w:bCs w:val="1"/>
          <w:color w:val="auto"/>
        </w:rPr>
        <w:t xml:space="preserve"> FC </w:t>
      </w:r>
      <w:r>
        <w:rPr>
          <w:rFonts w:ascii="Arial" w:cs="Arial" w:eastAsia="Arial" w:hAnsi="Arial"/>
          <w:sz w:val="14"/>
          <w:szCs w:val="14"/>
          <w:color w:val="auto"/>
        </w:rPr>
        <w:t>rose 5.5% QoQ, driven by the following dynamics:</w:t>
      </w:r>
    </w:p>
    <w:p>
      <w:pPr>
        <w:spacing w:after="0" w:line="150" w:lineRule="exact"/>
        <w:rPr>
          <w:sz w:val="20"/>
          <w:szCs w:val="20"/>
          <w:color w:val="auto"/>
        </w:rPr>
      </w:pPr>
    </w:p>
    <w:p>
      <w:pPr>
        <w:jc w:val="both"/>
        <w:ind w:left="120"/>
        <w:spacing w:after="0" w:line="244" w:lineRule="auto"/>
        <w:rPr>
          <w:sz w:val="20"/>
          <w:szCs w:val="20"/>
          <w:color w:val="auto"/>
        </w:rPr>
      </w:pPr>
      <w:r>
        <w:rPr>
          <w:rFonts w:ascii="Arial" w:cs="Arial" w:eastAsia="Arial" w:hAnsi="Arial"/>
          <w:sz w:val="14"/>
          <w:szCs w:val="14"/>
          <w:color w:val="auto"/>
        </w:rPr>
        <w:t>Average IEA in FC increased 2.3%, fueled primarily by loans and secondarily by cash and equivalents. Loan growth was concentrated in short-term corporate loans, which generated a positive volume effect on income from loans. The fact that growth in volumes was concentrated in loans with rates that were comparatively lower than those associated with other assets in the portfolio led the yield on IEAs to drop from 6.3% to 6.2%.</w:t>
      </w:r>
    </w:p>
    <w:p>
      <w:pPr>
        <w:spacing w:after="0" w:line="126" w:lineRule="exact"/>
        <w:rPr>
          <w:sz w:val="20"/>
          <w:szCs w:val="20"/>
          <w:color w:val="auto"/>
        </w:rPr>
      </w:pPr>
    </w:p>
    <w:p>
      <w:pPr>
        <w:jc w:val="both"/>
        <w:ind w:left="120"/>
        <w:spacing w:after="0" w:line="258" w:lineRule="auto"/>
        <w:rPr>
          <w:sz w:val="20"/>
          <w:szCs w:val="20"/>
          <w:color w:val="auto"/>
        </w:rPr>
      </w:pPr>
      <w:r>
        <w:rPr>
          <w:rFonts w:ascii="Arial" w:cs="Arial" w:eastAsia="Arial" w:hAnsi="Arial"/>
          <w:sz w:val="14"/>
          <w:szCs w:val="14"/>
          <w:color w:val="auto"/>
        </w:rPr>
        <w:t>Average funding in FC rose 1.5% QoQ, driven mainly by an increase in deposit balances and secondarily, by an uptick in bonds and notes issued. The drop in deposits was concentrated in time deposits, which led to significantly lower interest expenses for the period. In this context, the cost of funding fell from 2.9% to 2.8%.</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YoY Analysis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YoY, </w:t>
      </w:r>
      <w:r>
        <w:rPr>
          <w:rFonts w:ascii="Arial" w:cs="Arial" w:eastAsia="Arial" w:hAnsi="Arial"/>
          <w:sz w:val="14"/>
          <w:szCs w:val="14"/>
          <w:b w:val="1"/>
          <w:bCs w:val="1"/>
          <w:color w:val="auto"/>
        </w:rPr>
        <w:t>NII</w:t>
      </w:r>
      <w:r>
        <w:rPr>
          <w:rFonts w:ascii="Arial" w:cs="Arial" w:eastAsia="Arial" w:hAnsi="Arial"/>
          <w:sz w:val="14"/>
          <w:szCs w:val="14"/>
          <w:color w:val="auto"/>
        </w:rPr>
        <w:t xml:space="preserve"> increased 8.2%, driven by growth in NII in LC and FC:</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Local Currency Dynamics (LC)</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NII </w:t>
      </w:r>
      <w:r>
        <w:rPr>
          <w:rFonts w:ascii="Arial" w:cs="Arial" w:eastAsia="Arial" w:hAnsi="Arial"/>
          <w:sz w:val="14"/>
          <w:szCs w:val="14"/>
          <w:color w:val="auto"/>
        </w:rPr>
        <w:t>in</w:t>
      </w:r>
      <w:r>
        <w:rPr>
          <w:rFonts w:ascii="Arial" w:cs="Arial" w:eastAsia="Arial" w:hAnsi="Arial"/>
          <w:sz w:val="14"/>
          <w:szCs w:val="14"/>
          <w:b w:val="1"/>
          <w:bCs w:val="1"/>
          <w:color w:val="auto"/>
        </w:rPr>
        <w:t xml:space="preserve"> LC </w:t>
      </w:r>
      <w:r>
        <w:rPr>
          <w:rFonts w:ascii="Arial" w:cs="Arial" w:eastAsia="Arial" w:hAnsi="Arial"/>
          <w:sz w:val="14"/>
          <w:szCs w:val="14"/>
          <w:color w:val="auto"/>
        </w:rPr>
        <w:t>increased 8.9% YoY due to the following dynamics:</w:t>
      </w:r>
    </w:p>
    <w:p>
      <w:pPr>
        <w:spacing w:after="0" w:line="150" w:lineRule="exact"/>
        <w:rPr>
          <w:sz w:val="20"/>
          <w:szCs w:val="20"/>
          <w:color w:val="auto"/>
        </w:rPr>
      </w:pPr>
    </w:p>
    <w:p>
      <w:pPr>
        <w:jc w:val="both"/>
        <w:ind w:left="120"/>
        <w:spacing w:after="0" w:line="272" w:lineRule="auto"/>
        <w:rPr>
          <w:sz w:val="20"/>
          <w:szCs w:val="20"/>
          <w:color w:val="auto"/>
        </w:rPr>
      </w:pPr>
      <w:r>
        <w:rPr>
          <w:rFonts w:ascii="Arial" w:cs="Arial" w:eastAsia="Arial" w:hAnsi="Arial"/>
          <w:sz w:val="13"/>
          <w:szCs w:val="13"/>
          <w:color w:val="auto"/>
        </w:rPr>
        <w:t>Average IEA in LC rose 3.2%, driven mainly by growth in the investment balance under a strategy to increase the portfolio’s duration through sovereign bond purchases. This was offset by a drop in loans. Notwithstanding, and excluding the impact of GP amortizations, loans to small businesses at BCP increased, and registered positive pricing effects that reflect the current phase of the credit cycle. In this scenario, income rose 3.0% while the total yield on average IEAs rose from 10.4% to 10.6%.</w:t>
      </w:r>
    </w:p>
    <w:p>
      <w:pPr>
        <w:spacing w:after="0" w:line="109" w:lineRule="exact"/>
        <w:rPr>
          <w:sz w:val="20"/>
          <w:szCs w:val="20"/>
          <w:color w:val="auto"/>
        </w:rPr>
      </w:pPr>
    </w:p>
    <w:p>
      <w:pPr>
        <w:jc w:val="both"/>
        <w:ind w:left="120"/>
        <w:spacing w:after="0" w:line="239" w:lineRule="auto"/>
        <w:rPr>
          <w:sz w:val="20"/>
          <w:szCs w:val="20"/>
          <w:color w:val="auto"/>
        </w:rPr>
      </w:pPr>
      <w:r>
        <w:rPr>
          <w:rFonts w:ascii="Arial" w:cs="Arial" w:eastAsia="Arial" w:hAnsi="Arial"/>
          <w:sz w:val="14"/>
          <w:szCs w:val="14"/>
          <w:color w:val="auto"/>
        </w:rPr>
        <w:t>Average funding in LC dropped 0.3% YoY, fueled by a decrease in the balance for BCRP + Banks. The drop in BCRP instruments was driven by expirations of repo agreements (it is important to note that BCRP held no repo auctions over the period because the market had ample liquidity). The decrease in the funding balance was offset by growth in deposits, which rose mainly through low-cost deposits (via fund inflows from AFP withdrawals). Interest expenses over the period dropped, fueled primarily by growth in low-cost deposits and secondarily, via a decrease in the repo volume. Consequently, the cost of funding in LC fell 51 bps YoY.</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Foreign Currency Dynamics (FC)</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NII </w:t>
      </w:r>
      <w:r>
        <w:rPr>
          <w:rFonts w:ascii="Arial" w:cs="Arial" w:eastAsia="Arial" w:hAnsi="Arial"/>
          <w:sz w:val="14"/>
          <w:szCs w:val="14"/>
          <w:color w:val="auto"/>
        </w:rPr>
        <w:t>in</w:t>
      </w:r>
      <w:r>
        <w:rPr>
          <w:rFonts w:ascii="Arial" w:cs="Arial" w:eastAsia="Arial" w:hAnsi="Arial"/>
          <w:sz w:val="14"/>
          <w:szCs w:val="14"/>
          <w:b w:val="1"/>
          <w:bCs w:val="1"/>
          <w:color w:val="auto"/>
        </w:rPr>
        <w:t xml:space="preserve"> FC </w:t>
      </w:r>
      <w:r>
        <w:rPr>
          <w:rFonts w:ascii="Arial" w:cs="Arial" w:eastAsia="Arial" w:hAnsi="Arial"/>
          <w:sz w:val="14"/>
          <w:szCs w:val="14"/>
          <w:color w:val="auto"/>
        </w:rPr>
        <w:t>rose 6.3% YoY due to the following dynamics:</w:t>
      </w:r>
    </w:p>
    <w:p>
      <w:pPr>
        <w:spacing w:after="0" w:line="150" w:lineRule="exact"/>
        <w:rPr>
          <w:sz w:val="20"/>
          <w:szCs w:val="20"/>
          <w:color w:val="auto"/>
        </w:rPr>
      </w:pPr>
    </w:p>
    <w:p>
      <w:pPr>
        <w:jc w:val="both"/>
        <w:ind w:left="120"/>
        <w:spacing w:after="0" w:line="244" w:lineRule="auto"/>
        <w:rPr>
          <w:sz w:val="20"/>
          <w:szCs w:val="20"/>
          <w:color w:val="auto"/>
        </w:rPr>
      </w:pPr>
      <w:r>
        <w:rPr>
          <w:rFonts w:ascii="Arial" w:cs="Arial" w:eastAsia="Arial" w:hAnsi="Arial"/>
          <w:sz w:val="14"/>
          <w:szCs w:val="14"/>
          <w:color w:val="auto"/>
        </w:rPr>
        <w:t>Average IEA in FC grew 2.7% YoY, driven mainly by loan growth. This increase was fueled by Middle Market loans at BCP, which benefitted from a boost in loans for the fishing sector for the first campaign of the year, and by positive repricing that reflects higher market rates in US Dollars. Renewals of available funds at higher rates also contributed to growth in income, albeit to a lesser extent. In this context, the IEA in FC rose 60 bps YoY.</w:t>
      </w:r>
    </w:p>
    <w:p>
      <w:pPr>
        <w:spacing w:after="0" w:line="126" w:lineRule="exact"/>
        <w:rPr>
          <w:sz w:val="20"/>
          <w:szCs w:val="20"/>
          <w:color w:val="auto"/>
        </w:rPr>
      </w:pPr>
    </w:p>
    <w:p>
      <w:pPr>
        <w:jc w:val="both"/>
        <w:ind w:left="120"/>
        <w:spacing w:after="0" w:line="239" w:lineRule="auto"/>
        <w:rPr>
          <w:sz w:val="20"/>
          <w:szCs w:val="20"/>
          <w:color w:val="auto"/>
        </w:rPr>
      </w:pPr>
      <w:r>
        <w:rPr>
          <w:rFonts w:ascii="Arial" w:cs="Arial" w:eastAsia="Arial" w:hAnsi="Arial"/>
          <w:sz w:val="14"/>
          <w:szCs w:val="14"/>
          <w:color w:val="auto"/>
        </w:rPr>
        <w:t>Average funding in FC grew 5.3% YoY, driven by three factors: (i) growth in deposits, (ii) an increase in bonds and notes issued following an issuance at BCP at the beginning of the year, and (iii) growth in the BCRP and due to banks balance, which reflects an uptick in debt obligations. It is important to note that the first factor was the most relevant in terms of expenses given that the expansion in deposits was concentrated in interest-earning demand deposits and time deposits. The positions assumed through debt obligations and bonds also played equally significant roles in growth in expenses. In this context, the cost of funding in FC rose 42 bps.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YTD Analysis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 1H24, NII increased 8.8%, driven by NII in LC and FC.</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Local Currency Dynamics (LC)</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NII </w:t>
      </w:r>
      <w:r>
        <w:rPr>
          <w:rFonts w:ascii="Arial" w:cs="Arial" w:eastAsia="Arial" w:hAnsi="Arial"/>
          <w:sz w:val="14"/>
          <w:szCs w:val="14"/>
          <w:color w:val="auto"/>
        </w:rPr>
        <w:t>in</w:t>
      </w:r>
      <w:r>
        <w:rPr>
          <w:rFonts w:ascii="Arial" w:cs="Arial" w:eastAsia="Arial" w:hAnsi="Arial"/>
          <w:sz w:val="14"/>
          <w:szCs w:val="14"/>
          <w:b w:val="1"/>
          <w:bCs w:val="1"/>
          <w:color w:val="auto"/>
        </w:rPr>
        <w:t xml:space="preserve"> LC </w:t>
      </w:r>
      <w:r>
        <w:rPr>
          <w:rFonts w:ascii="Arial" w:cs="Arial" w:eastAsia="Arial" w:hAnsi="Arial"/>
          <w:sz w:val="14"/>
          <w:szCs w:val="14"/>
          <w:color w:val="auto"/>
        </w:rPr>
        <w:t>increased 9.4% YTD, due mainly to the following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631825</wp:posOffset>
            </wp:positionV>
            <wp:extent cx="7164705" cy="133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102870</wp:posOffset>
            </wp:positionV>
            <wp:extent cx="1502410" cy="44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5265420</wp:posOffset>
            </wp:positionH>
            <wp:positionV relativeFrom="paragraph">
              <wp:posOffset>240030</wp:posOffset>
            </wp:positionV>
            <wp:extent cx="1685290" cy="306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85290" cy="306705"/>
                    </a:xfrm>
                    <a:prstGeom prst="rect">
                      <a:avLst/>
                    </a:prstGeom>
                    <a:noFill/>
                  </pic:spPr>
                </pic:pic>
              </a:graphicData>
            </a:graphic>
          </wp:anchor>
        </w:drawing>
      </w:r>
    </w:p>
    <w:p>
      <w:pPr>
        <w:sectPr>
          <w:pgSz w:w="11900" w:h="16838" w:orient="portrait"/>
          <w:cols w:equalWidth="0" w:num="1">
            <w:col w:w="10500"/>
          </w:cols>
          <w:pgMar w:left="640" w:top="298" w:right="759" w:bottom="1440" w:gutter="0" w:footer="0" w:header="0"/>
        </w:sectPr>
      </w:pPr>
    </w:p>
    <w:bookmarkStart w:id="29" w:name="page30"/>
    <w:bookmarkEnd w:id="29"/>
    <w:p>
      <w:pPr>
        <w:ind w:left="2380"/>
        <w:spacing w:after="0"/>
        <w:tabs>
          <w:tab w:leader="none" w:pos="2580" w:val="left"/>
          <w:tab w:leader="none" w:pos="7540"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619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4705" cy="561975"/>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04. Net Interest Income (NII)</w:t>
      </w:r>
    </w:p>
    <w:p>
      <w:pPr>
        <w:spacing w:after="0" w:line="246" w:lineRule="exact"/>
        <w:rPr>
          <w:sz w:val="20"/>
          <w:szCs w:val="20"/>
          <w:color w:val="auto"/>
        </w:rPr>
      </w:pPr>
    </w:p>
    <w:p>
      <w:pPr>
        <w:jc w:val="both"/>
        <w:ind w:left="120"/>
        <w:spacing w:after="0" w:line="239" w:lineRule="auto"/>
        <w:rPr>
          <w:sz w:val="20"/>
          <w:szCs w:val="20"/>
          <w:color w:val="auto"/>
        </w:rPr>
      </w:pPr>
      <w:r>
        <w:rPr>
          <w:rFonts w:ascii="Arial" w:cs="Arial" w:eastAsia="Arial" w:hAnsi="Arial"/>
          <w:sz w:val="14"/>
          <w:szCs w:val="14"/>
          <w:color w:val="auto"/>
        </w:rPr>
        <w:t>By the end of 1H24, interest income had grown 5.7% due to an uptick in loans, which was driven by loans in small business segments at BCP (excluding amortizations of GP). It is important to note that these loans have been subjected to pricing adjustments to reflect the current phase of the credit cycle. Investments, via growth in volumes, were a secondary driver in income expansion. Expenses fell 5.3% YTD, fueled primarily by a decrease in expenses for deposits, which was attributable to expansion in low-cost deposits.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Foreign Currency Dynamics (FC)</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NII </w:t>
      </w:r>
      <w:r>
        <w:rPr>
          <w:rFonts w:ascii="Arial" w:cs="Arial" w:eastAsia="Arial" w:hAnsi="Arial"/>
          <w:sz w:val="14"/>
          <w:szCs w:val="14"/>
          <w:color w:val="auto"/>
        </w:rPr>
        <w:t>in FC rose 6.9% YTD due to the following dynamics:</w:t>
      </w:r>
    </w:p>
    <w:p>
      <w:pPr>
        <w:spacing w:after="0" w:line="150" w:lineRule="exact"/>
        <w:rPr>
          <w:sz w:val="20"/>
          <w:szCs w:val="20"/>
          <w:color w:val="auto"/>
        </w:rPr>
      </w:pPr>
    </w:p>
    <w:p>
      <w:pPr>
        <w:jc w:val="both"/>
        <w:ind w:left="120"/>
        <w:spacing w:after="0" w:line="239" w:lineRule="auto"/>
        <w:rPr>
          <w:sz w:val="20"/>
          <w:szCs w:val="20"/>
          <w:color w:val="auto"/>
        </w:rPr>
      </w:pPr>
      <w:r>
        <w:rPr>
          <w:rFonts w:ascii="Arial" w:cs="Arial" w:eastAsia="Arial" w:hAnsi="Arial"/>
          <w:sz w:val="14"/>
          <w:szCs w:val="14"/>
          <w:color w:val="auto"/>
        </w:rPr>
        <w:t>YTD, interest income in FC at of 1H24 registered growth of 14.6%. This expansion was attributable, as was the case YoY, to loan growth, mainly via Middle Market Banking loans at BCP, which were disbursed at repriced rates in US Dollars. Available funds, where growth was spurred by higher market rates, constituted a secondary driver in the uptick in interest income. Interest expenses rose 24.2%, driven mainly by growth in times deposits in FC and to a lesser extent by an increase in debt obligations through BCRP and 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619760</wp:posOffset>
            </wp:positionV>
            <wp:extent cx="7164705" cy="133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90805</wp:posOffset>
            </wp:positionV>
            <wp:extent cx="1502410" cy="44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5265420</wp:posOffset>
            </wp:positionH>
            <wp:positionV relativeFrom="paragraph">
              <wp:posOffset>240665</wp:posOffset>
            </wp:positionV>
            <wp:extent cx="1685290" cy="2940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85290" cy="294005"/>
                    </a:xfrm>
                    <a:prstGeom prst="rect">
                      <a:avLst/>
                    </a:prstGeom>
                    <a:noFill/>
                  </pic:spPr>
                </pic:pic>
              </a:graphicData>
            </a:graphic>
          </wp:anchor>
        </w:drawing>
      </w:r>
    </w:p>
    <w:p>
      <w:pPr>
        <w:sectPr>
          <w:pgSz w:w="11900" w:h="16838" w:orient="portrait"/>
          <w:cols w:equalWidth="0" w:num="1">
            <w:col w:w="10500"/>
          </w:cols>
          <w:pgMar w:left="640" w:top="298" w:right="759" w:bottom="1440" w:gutter="0" w:footer="0" w:header="0"/>
        </w:sectPr>
      </w:pPr>
    </w:p>
    <w:bookmarkStart w:id="30" w:name="page31"/>
    <w:bookmarkEnd w:id="30"/>
    <w:p>
      <w:pPr>
        <w:ind w:left="2260"/>
        <w:spacing w:after="0"/>
        <w:tabs>
          <w:tab w:leader="none" w:pos="2460" w:val="left"/>
          <w:tab w:leader="none" w:pos="7420"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3263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4705" cy="326390"/>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308" w:lineRule="exact"/>
        <w:rPr>
          <w:sz w:val="20"/>
          <w:szCs w:val="20"/>
          <w:color w:val="auto"/>
        </w:rPr>
      </w:pPr>
    </w:p>
    <w:p>
      <w:pPr>
        <w:spacing w:after="0"/>
        <w:rPr>
          <w:sz w:val="20"/>
          <w:szCs w:val="20"/>
          <w:color w:val="auto"/>
        </w:rPr>
      </w:pPr>
      <w:r>
        <w:rPr>
          <w:rFonts w:ascii="Arial" w:cs="Arial" w:eastAsia="Arial" w:hAnsi="Arial"/>
          <w:sz w:val="40"/>
          <w:szCs w:val="40"/>
          <w:b w:val="1"/>
          <w:bCs w:val="1"/>
          <w:color w:val="E93BAC"/>
        </w:rPr>
        <w:t xml:space="preserve">05 </w:t>
      </w:r>
      <w:r>
        <w:rPr>
          <w:rFonts w:ascii="Arial" w:cs="Arial" w:eastAsia="Arial" w:hAnsi="Arial"/>
          <w:sz w:val="24"/>
          <w:szCs w:val="24"/>
          <w:color w:val="E93BAB"/>
        </w:rPr>
        <w:t>Portfolio Quality and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118745</wp:posOffset>
            </wp:positionV>
            <wp:extent cx="6597015" cy="9861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97015" cy="986155"/>
                    </a:xfrm>
                    <a:prstGeom prst="rect">
                      <a:avLst/>
                    </a:prstGeom>
                    <a:noFill/>
                  </pic:spPr>
                </pic:pic>
              </a:graphicData>
            </a:graphic>
          </wp:anchor>
        </w:drawing>
      </w:r>
    </w:p>
    <w:p>
      <w:pPr>
        <w:spacing w:after="0" w:line="236" w:lineRule="exact"/>
        <w:rPr>
          <w:sz w:val="20"/>
          <w:szCs w:val="20"/>
          <w:color w:val="auto"/>
        </w:rPr>
      </w:pPr>
    </w:p>
    <w:p>
      <w:pPr>
        <w:jc w:val="both"/>
        <w:ind w:left="100" w:right="120"/>
        <w:spacing w:after="0" w:line="244" w:lineRule="auto"/>
        <w:rPr>
          <w:sz w:val="20"/>
          <w:szCs w:val="20"/>
          <w:color w:val="auto"/>
        </w:rPr>
      </w:pPr>
      <w:r>
        <w:rPr>
          <w:rFonts w:ascii="Arial" w:cs="Arial" w:eastAsia="Arial" w:hAnsi="Arial"/>
          <w:sz w:val="14"/>
          <w:szCs w:val="14"/>
          <w:color w:val="FFFFFF"/>
        </w:rPr>
        <w:t>The NPL level at Credicorp remains high as the Peruvian Financial System continues to struggle with complex credit cycle, where microfinance institutions are the hardest hit. At BCP Stand-alone, vulnerable clients are concentrated in Individuals and SME-Pyme but the portfolio’s level of diversification helps buffer the business during negative points in the cycle. As a monoliner, Mibanco is more exposed given that its loans are concentrated in microbusinesses.</w:t>
      </w:r>
    </w:p>
    <w:p>
      <w:pPr>
        <w:spacing w:after="0" w:line="126" w:lineRule="exact"/>
        <w:rPr>
          <w:sz w:val="20"/>
          <w:szCs w:val="20"/>
          <w:color w:val="auto"/>
        </w:rPr>
      </w:pPr>
    </w:p>
    <w:p>
      <w:pPr>
        <w:jc w:val="both"/>
        <w:ind w:left="100" w:right="120"/>
        <w:spacing w:after="0" w:line="237" w:lineRule="auto"/>
        <w:rPr>
          <w:sz w:val="20"/>
          <w:szCs w:val="20"/>
          <w:color w:val="auto"/>
        </w:rPr>
      </w:pPr>
      <w:r>
        <w:rPr>
          <w:rFonts w:ascii="Arial" w:cs="Arial" w:eastAsia="Arial" w:hAnsi="Arial"/>
          <w:sz w:val="14"/>
          <w:szCs w:val="14"/>
          <w:color w:val="FFFFFF"/>
        </w:rPr>
        <w:t>QoQ, NPLs increased at Mibanco but registered a slight contraction at BCP. At Mibanco, growth in NPLs was driven by Government Loans (guaranteed) and by the evolution of loans to vulnerable clients, which was negatively impacted by events in 2023. At BCP, the contraction was associated with Government Loans. The NPL ratio dropped 24 bps QoQ and stood at 6.0% at quarter-end. Provisions rose due to a base effect, given that provisions related to the “El Niño” Phenomenon were reversed in 1Q24. If we isolate this effect, provisions rose due to growth in NPLs at Mibanco, which reported a deterioration in payment performance, higher write-offs, and a weakening in the payment capacity of overindebted clients. At BCP, provisions fell, driven mainly by Consumer and Mortgage.</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5.1 Portfolio Quality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Quality of Total Loans (in quarter-end balances)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4200" w:type="dxa"/>
            <w:vAlign w:val="bottom"/>
            <w:tcBorders>
              <w:top w:val="single" w:sz="8" w:color="auto"/>
              <w:left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1"/>
                <w:szCs w:val="11"/>
                <w:b w:val="1"/>
                <w:bCs w:val="1"/>
                <w:color w:val="FFFFFF"/>
              </w:rPr>
              <w:t>Loan Portfolio quality and Delinquency ratios</w:t>
            </w:r>
          </w:p>
        </w:tc>
        <w:tc>
          <w:tcPr>
            <w:tcW w:w="1200" w:type="dxa"/>
            <w:vAlign w:val="bottom"/>
            <w:tcBorders>
              <w:top w:val="single" w:sz="8" w:color="auto"/>
            </w:tcBorders>
            <w:shd w:val="clear" w:color="auto" w:fill="2AD2C9"/>
          </w:tcPr>
          <w:p>
            <w:pPr>
              <w:spacing w:after="0"/>
              <w:rPr>
                <w:sz w:val="11"/>
                <w:szCs w:val="11"/>
                <w:color w:val="auto"/>
              </w:rPr>
            </w:pPr>
          </w:p>
        </w:tc>
        <w:tc>
          <w:tcPr>
            <w:tcW w:w="124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w w:val="94"/>
              </w:rPr>
              <w:t>As of</w:t>
            </w:r>
          </w:p>
        </w:tc>
        <w:tc>
          <w:tcPr>
            <w:tcW w:w="1260" w:type="dxa"/>
            <w:vAlign w:val="bottom"/>
            <w:tcBorders>
              <w:top w:val="single" w:sz="8" w:color="auto"/>
              <w:right w:val="single" w:sz="8" w:color="auto"/>
            </w:tcBorders>
            <w:shd w:val="clear" w:color="auto" w:fill="2AD2C9"/>
          </w:tcPr>
          <w:p>
            <w:pPr>
              <w:spacing w:after="0"/>
              <w:rPr>
                <w:sz w:val="11"/>
                <w:szCs w:val="11"/>
                <w:color w:val="auto"/>
              </w:rPr>
            </w:pPr>
          </w:p>
        </w:tc>
        <w:tc>
          <w:tcPr>
            <w:tcW w:w="880" w:type="dxa"/>
            <w:vAlign w:val="bottom"/>
            <w:tcBorders>
              <w:top w:val="single" w:sz="8" w:color="auto"/>
            </w:tcBorders>
            <w:shd w:val="clear" w:color="auto" w:fill="2AD2C9"/>
          </w:tcPr>
          <w:p>
            <w:pPr>
              <w:spacing w:after="0"/>
              <w:rPr>
                <w:sz w:val="11"/>
                <w:szCs w:val="11"/>
                <w:color w:val="auto"/>
              </w:rPr>
            </w:pPr>
          </w:p>
        </w:tc>
        <w:tc>
          <w:tcPr>
            <w:tcW w:w="1600" w:type="dxa"/>
            <w:vAlign w:val="bottom"/>
            <w:tcBorders>
              <w:top w:val="single" w:sz="8" w:color="auto"/>
              <w:right w:val="single" w:sz="8" w:color="auto"/>
            </w:tcBorders>
            <w:shd w:val="clear" w:color="auto" w:fill="2AD2C9"/>
          </w:tcPr>
          <w:p>
            <w:pPr>
              <w:ind w:left="80"/>
              <w:spacing w:after="0"/>
              <w:rPr>
                <w:sz w:val="20"/>
                <w:szCs w:val="20"/>
                <w:color w:val="auto"/>
              </w:rPr>
            </w:pPr>
            <w:r>
              <w:rPr>
                <w:rFonts w:ascii="Arial" w:cs="Arial" w:eastAsia="Arial" w:hAnsi="Arial"/>
                <w:sz w:val="11"/>
                <w:szCs w:val="11"/>
                <w:b w:val="1"/>
                <w:bCs w:val="1"/>
                <w:color w:val="FFFFFF"/>
              </w:rPr>
              <w:t>% change</w:t>
            </w:r>
          </w:p>
        </w:tc>
      </w:tr>
      <w:tr>
        <w:trPr>
          <w:trHeight w:val="123"/>
        </w:trPr>
        <w:tc>
          <w:tcPr>
            <w:tcW w:w="4200" w:type="dxa"/>
            <w:vAlign w:val="bottom"/>
            <w:tcBorders>
              <w:left w:val="single" w:sz="8" w:color="auto"/>
              <w:bottom w:val="single" w:sz="8" w:color="auto"/>
              <w:right w:val="single" w:sz="8" w:color="auto"/>
            </w:tcBorders>
            <w:shd w:val="clear" w:color="auto" w:fill="2AD2C9"/>
          </w:tcPr>
          <w:p>
            <w:pPr>
              <w:ind w:left="40"/>
              <w:spacing w:after="0" w:line="124" w:lineRule="exact"/>
              <w:rPr>
                <w:sz w:val="20"/>
                <w:szCs w:val="20"/>
                <w:color w:val="auto"/>
              </w:rPr>
            </w:pPr>
            <w:r>
              <w:rPr>
                <w:rFonts w:ascii="Arial" w:cs="Arial" w:eastAsia="Arial" w:hAnsi="Arial"/>
                <w:sz w:val="11"/>
                <w:szCs w:val="11"/>
                <w:b w:val="1"/>
                <w:bCs w:val="1"/>
                <w:color w:val="FFFFFF"/>
              </w:rPr>
              <w:t>S/ 000</w:t>
            </w:r>
          </w:p>
        </w:tc>
        <w:tc>
          <w:tcPr>
            <w:tcW w:w="1200" w:type="dxa"/>
            <w:vAlign w:val="bottom"/>
            <w:tcBorders>
              <w:bottom w:val="single" w:sz="8" w:color="auto"/>
            </w:tcBorders>
            <w:shd w:val="clear" w:color="auto" w:fill="2AD2C9"/>
          </w:tcPr>
          <w:p>
            <w:pPr>
              <w:ind w:left="420"/>
              <w:spacing w:after="0" w:line="124" w:lineRule="exact"/>
              <w:rPr>
                <w:sz w:val="20"/>
                <w:szCs w:val="20"/>
                <w:color w:val="auto"/>
              </w:rPr>
            </w:pPr>
            <w:r>
              <w:rPr>
                <w:rFonts w:ascii="Arial" w:cs="Arial" w:eastAsia="Arial" w:hAnsi="Arial"/>
                <w:sz w:val="11"/>
                <w:szCs w:val="11"/>
                <w:b w:val="1"/>
                <w:bCs w:val="1"/>
                <w:color w:val="FFFFFF"/>
              </w:rPr>
              <w:t>Jun 23</w:t>
            </w:r>
          </w:p>
        </w:tc>
        <w:tc>
          <w:tcPr>
            <w:tcW w:w="1240" w:type="dxa"/>
            <w:vAlign w:val="bottom"/>
            <w:tcBorders>
              <w:bottom w:val="single" w:sz="8" w:color="auto"/>
            </w:tcBorders>
            <w:shd w:val="clear" w:color="auto" w:fill="2AD2C9"/>
          </w:tcPr>
          <w:p>
            <w:pPr>
              <w:jc w:val="center"/>
              <w:spacing w:after="0" w:line="124" w:lineRule="exact"/>
              <w:rPr>
                <w:sz w:val="20"/>
                <w:szCs w:val="20"/>
                <w:color w:val="auto"/>
              </w:rPr>
            </w:pPr>
            <w:r>
              <w:rPr>
                <w:rFonts w:ascii="Arial" w:cs="Arial" w:eastAsia="Arial" w:hAnsi="Arial"/>
                <w:sz w:val="11"/>
                <w:szCs w:val="11"/>
                <w:b w:val="1"/>
                <w:bCs w:val="1"/>
                <w:color w:val="FFFFFF"/>
              </w:rPr>
              <w:t>Mar 24</w:t>
            </w:r>
          </w:p>
        </w:tc>
        <w:tc>
          <w:tcPr>
            <w:tcW w:w="1260" w:type="dxa"/>
            <w:vAlign w:val="bottom"/>
            <w:tcBorders>
              <w:bottom w:val="single" w:sz="8" w:color="auto"/>
              <w:right w:val="single" w:sz="8" w:color="auto"/>
            </w:tcBorders>
            <w:shd w:val="clear" w:color="auto" w:fill="2AD2C9"/>
          </w:tcPr>
          <w:p>
            <w:pPr>
              <w:ind w:left="440"/>
              <w:spacing w:after="0" w:line="124" w:lineRule="exact"/>
              <w:rPr>
                <w:sz w:val="20"/>
                <w:szCs w:val="20"/>
                <w:color w:val="auto"/>
              </w:rPr>
            </w:pPr>
            <w:r>
              <w:rPr>
                <w:rFonts w:ascii="Arial" w:cs="Arial" w:eastAsia="Arial" w:hAnsi="Arial"/>
                <w:sz w:val="11"/>
                <w:szCs w:val="11"/>
                <w:b w:val="1"/>
                <w:bCs w:val="1"/>
                <w:color w:val="FFFFFF"/>
              </w:rPr>
              <w:t>Jun 24</w:t>
            </w:r>
          </w:p>
        </w:tc>
        <w:tc>
          <w:tcPr>
            <w:tcW w:w="880" w:type="dxa"/>
            <w:vAlign w:val="bottom"/>
            <w:tcBorders>
              <w:bottom w:val="single" w:sz="8" w:color="auto"/>
            </w:tcBorders>
            <w:shd w:val="clear" w:color="auto" w:fill="2AD2C9"/>
          </w:tcPr>
          <w:p>
            <w:pPr>
              <w:jc w:val="center"/>
              <w:ind w:left="265"/>
              <w:spacing w:after="0" w:line="124" w:lineRule="exact"/>
              <w:rPr>
                <w:sz w:val="20"/>
                <w:szCs w:val="20"/>
                <w:color w:val="auto"/>
              </w:rPr>
            </w:pPr>
            <w:r>
              <w:rPr>
                <w:rFonts w:ascii="Arial" w:cs="Arial" w:eastAsia="Arial" w:hAnsi="Arial"/>
                <w:sz w:val="11"/>
                <w:szCs w:val="11"/>
                <w:b w:val="1"/>
                <w:bCs w:val="1"/>
                <w:color w:val="FFFFFF"/>
              </w:rPr>
              <w:t>QoQ</w:t>
            </w:r>
          </w:p>
        </w:tc>
        <w:tc>
          <w:tcPr>
            <w:tcW w:w="1600" w:type="dxa"/>
            <w:vAlign w:val="bottom"/>
            <w:tcBorders>
              <w:bottom w:val="single" w:sz="8" w:color="auto"/>
              <w:right w:val="single" w:sz="8" w:color="auto"/>
            </w:tcBorders>
            <w:shd w:val="clear" w:color="auto" w:fill="2AD2C9"/>
          </w:tcPr>
          <w:p>
            <w:pPr>
              <w:jc w:val="center"/>
              <w:ind w:left="265"/>
              <w:spacing w:after="0" w:line="124" w:lineRule="exact"/>
              <w:rPr>
                <w:sz w:val="20"/>
                <w:szCs w:val="20"/>
                <w:color w:val="auto"/>
              </w:rPr>
            </w:pPr>
            <w:r>
              <w:rPr>
                <w:rFonts w:ascii="Arial" w:cs="Arial" w:eastAsia="Arial" w:hAnsi="Arial"/>
                <w:sz w:val="11"/>
                <w:szCs w:val="11"/>
                <w:b w:val="1"/>
                <w:bCs w:val="1"/>
                <w:color w:val="FFFFFF"/>
                <w:w w:val="93"/>
              </w:rPr>
              <w:t>YoY</w:t>
            </w:r>
          </w:p>
        </w:tc>
      </w:tr>
      <w:tr>
        <w:trPr>
          <w:trHeight w:val="114"/>
        </w:trPr>
        <w:tc>
          <w:tcPr>
            <w:tcW w:w="4200" w:type="dxa"/>
            <w:vAlign w:val="bottom"/>
            <w:tcBorders>
              <w:left w:val="single" w:sz="8" w:color="auto"/>
              <w:bottom w:val="single" w:sz="8" w:color="auto"/>
              <w:right w:val="single" w:sz="8" w:color="auto"/>
            </w:tcBorders>
          </w:tcPr>
          <w:p>
            <w:pPr>
              <w:ind w:left="40"/>
              <w:spacing w:after="0" w:line="114" w:lineRule="exact"/>
              <w:rPr>
                <w:sz w:val="20"/>
                <w:szCs w:val="20"/>
                <w:color w:val="auto"/>
              </w:rPr>
            </w:pPr>
            <w:r>
              <w:rPr>
                <w:rFonts w:ascii="Arial" w:cs="Arial" w:eastAsia="Arial" w:hAnsi="Arial"/>
                <w:sz w:val="11"/>
                <w:szCs w:val="11"/>
                <w:b w:val="1"/>
                <w:bCs w:val="1"/>
                <w:color w:val="auto"/>
              </w:rPr>
              <w:t>Total loans (Quarter-end balance)</w:t>
            </w:r>
          </w:p>
        </w:tc>
        <w:tc>
          <w:tcPr>
            <w:tcW w:w="12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142,845,549</w:t>
            </w:r>
          </w:p>
        </w:tc>
        <w:tc>
          <w:tcPr>
            <w:tcW w:w="12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w w:val="98"/>
              </w:rPr>
              <w:t>140,798,083</w:t>
            </w:r>
          </w:p>
        </w:tc>
        <w:tc>
          <w:tcPr>
            <w:tcW w:w="126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w w:val="98"/>
              </w:rPr>
              <w:t>146,946,546</w:t>
            </w:r>
          </w:p>
        </w:tc>
        <w:tc>
          <w:tcPr>
            <w:tcW w:w="880" w:type="dxa"/>
            <w:vAlign w:val="bottom"/>
            <w:tcBorders>
              <w:bottom w:val="single" w:sz="8" w:color="auto"/>
            </w:tcBorders>
          </w:tcPr>
          <w:p>
            <w:pPr>
              <w:jc w:val="center"/>
              <w:ind w:left="265"/>
              <w:spacing w:after="0" w:line="114" w:lineRule="exact"/>
              <w:rPr>
                <w:sz w:val="20"/>
                <w:szCs w:val="20"/>
                <w:color w:val="auto"/>
              </w:rPr>
            </w:pPr>
            <w:r>
              <w:rPr>
                <w:rFonts w:ascii="Arial" w:cs="Arial" w:eastAsia="Arial" w:hAnsi="Arial"/>
                <w:sz w:val="11"/>
                <w:szCs w:val="11"/>
                <w:b w:val="1"/>
                <w:bCs w:val="1"/>
                <w:color w:val="auto"/>
                <w:w w:val="95"/>
              </w:rPr>
              <w:t>4.4%</w:t>
            </w:r>
          </w:p>
        </w:tc>
        <w:tc>
          <w:tcPr>
            <w:tcW w:w="1600" w:type="dxa"/>
            <w:vAlign w:val="bottom"/>
            <w:tcBorders>
              <w:bottom w:val="single" w:sz="8" w:color="auto"/>
              <w:right w:val="single" w:sz="8" w:color="auto"/>
            </w:tcBorders>
          </w:tcPr>
          <w:p>
            <w:pPr>
              <w:jc w:val="center"/>
              <w:ind w:left="265"/>
              <w:spacing w:after="0" w:line="114" w:lineRule="exact"/>
              <w:rPr>
                <w:sz w:val="20"/>
                <w:szCs w:val="20"/>
                <w:color w:val="auto"/>
              </w:rPr>
            </w:pPr>
            <w:r>
              <w:rPr>
                <w:rFonts w:ascii="Arial" w:cs="Arial" w:eastAsia="Arial" w:hAnsi="Arial"/>
                <w:sz w:val="11"/>
                <w:szCs w:val="11"/>
                <w:b w:val="1"/>
                <w:bCs w:val="1"/>
                <w:color w:val="auto"/>
                <w:w w:val="95"/>
              </w:rPr>
              <w:t>2.9%</w:t>
            </w:r>
          </w:p>
        </w:tc>
      </w:tr>
      <w:tr>
        <w:trPr>
          <w:trHeight w:val="114"/>
        </w:trPr>
        <w:tc>
          <w:tcPr>
            <w:tcW w:w="4200" w:type="dxa"/>
            <w:vAlign w:val="bottom"/>
            <w:tcBorders>
              <w:left w:val="single" w:sz="8" w:color="auto"/>
              <w:bottom w:val="single" w:sz="8" w:color="auto"/>
              <w:right w:val="single" w:sz="8" w:color="auto"/>
            </w:tcBorders>
          </w:tcPr>
          <w:p>
            <w:pPr>
              <w:ind w:left="40"/>
              <w:spacing w:after="0" w:line="114" w:lineRule="exact"/>
              <w:rPr>
                <w:sz w:val="20"/>
                <w:szCs w:val="20"/>
                <w:color w:val="auto"/>
              </w:rPr>
            </w:pPr>
            <w:r>
              <w:rPr>
                <w:rFonts w:ascii="Arial" w:cs="Arial" w:eastAsia="Arial" w:hAnsi="Arial"/>
                <w:sz w:val="11"/>
                <w:szCs w:val="11"/>
                <w:color w:val="auto"/>
              </w:rPr>
              <w:t>Write-offs</w:t>
            </w:r>
          </w:p>
        </w:tc>
        <w:tc>
          <w:tcPr>
            <w:tcW w:w="12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color w:val="auto"/>
              </w:rPr>
              <w:t>682,154</w:t>
            </w:r>
          </w:p>
        </w:tc>
        <w:tc>
          <w:tcPr>
            <w:tcW w:w="12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color w:val="auto"/>
              </w:rPr>
              <w:t>950,433</w:t>
            </w:r>
          </w:p>
        </w:tc>
        <w:tc>
          <w:tcPr>
            <w:tcW w:w="126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color w:val="auto"/>
              </w:rPr>
              <w:t>994,556</w:t>
            </w:r>
          </w:p>
        </w:tc>
        <w:tc>
          <w:tcPr>
            <w:tcW w:w="880" w:type="dxa"/>
            <w:vAlign w:val="bottom"/>
            <w:tcBorders>
              <w:bottom w:val="single" w:sz="8" w:color="auto"/>
            </w:tcBorders>
          </w:tcPr>
          <w:p>
            <w:pPr>
              <w:jc w:val="center"/>
              <w:ind w:left="265"/>
              <w:spacing w:after="0" w:line="114" w:lineRule="exact"/>
              <w:rPr>
                <w:sz w:val="20"/>
                <w:szCs w:val="20"/>
                <w:color w:val="auto"/>
              </w:rPr>
            </w:pPr>
            <w:r>
              <w:rPr>
                <w:rFonts w:ascii="Arial" w:cs="Arial" w:eastAsia="Arial" w:hAnsi="Arial"/>
                <w:sz w:val="11"/>
                <w:szCs w:val="11"/>
                <w:color w:val="auto"/>
                <w:w w:val="95"/>
              </w:rPr>
              <w:t>4.6%</w:t>
            </w:r>
          </w:p>
        </w:tc>
        <w:tc>
          <w:tcPr>
            <w:tcW w:w="1600" w:type="dxa"/>
            <w:vAlign w:val="bottom"/>
            <w:tcBorders>
              <w:bottom w:val="single" w:sz="8" w:color="auto"/>
              <w:right w:val="single" w:sz="8" w:color="auto"/>
            </w:tcBorders>
          </w:tcPr>
          <w:p>
            <w:pPr>
              <w:jc w:val="center"/>
              <w:ind w:left="265"/>
              <w:spacing w:after="0" w:line="114" w:lineRule="exact"/>
              <w:rPr>
                <w:sz w:val="20"/>
                <w:szCs w:val="20"/>
                <w:color w:val="auto"/>
              </w:rPr>
            </w:pPr>
            <w:r>
              <w:rPr>
                <w:rFonts w:ascii="Arial" w:cs="Arial" w:eastAsia="Arial" w:hAnsi="Arial"/>
                <w:sz w:val="11"/>
                <w:szCs w:val="11"/>
                <w:color w:val="auto"/>
              </w:rPr>
              <w:t>45.8%</w:t>
            </w:r>
          </w:p>
        </w:tc>
      </w:tr>
      <w:tr>
        <w:trPr>
          <w:trHeight w:val="107"/>
        </w:trPr>
        <w:tc>
          <w:tcPr>
            <w:tcW w:w="4200" w:type="dxa"/>
            <w:vAlign w:val="bottom"/>
            <w:tcBorders>
              <w:left w:val="single" w:sz="8" w:color="auto"/>
              <w:right w:val="single" w:sz="8" w:color="auto"/>
            </w:tcBorders>
          </w:tcPr>
          <w:p>
            <w:pPr>
              <w:ind w:left="40"/>
              <w:spacing w:after="0" w:line="107" w:lineRule="exact"/>
              <w:rPr>
                <w:sz w:val="20"/>
                <w:szCs w:val="20"/>
                <w:color w:val="auto"/>
              </w:rPr>
            </w:pPr>
            <w:r>
              <w:rPr>
                <w:rFonts w:ascii="Arial" w:cs="Arial" w:eastAsia="Arial" w:hAnsi="Arial"/>
                <w:sz w:val="11"/>
                <w:szCs w:val="11"/>
                <w:color w:val="auto"/>
              </w:rPr>
              <w:t>Internal overdue loans (IOLs)</w:t>
            </w:r>
          </w:p>
        </w:tc>
        <w:tc>
          <w:tcPr>
            <w:tcW w:w="1200" w:type="dxa"/>
            <w:vAlign w:val="bottom"/>
          </w:tcPr>
          <w:p>
            <w:pPr>
              <w:jc w:val="center"/>
              <w:spacing w:after="0" w:line="107" w:lineRule="exact"/>
              <w:rPr>
                <w:sz w:val="20"/>
                <w:szCs w:val="20"/>
                <w:color w:val="auto"/>
              </w:rPr>
            </w:pPr>
            <w:r>
              <w:rPr>
                <w:rFonts w:ascii="Arial" w:cs="Arial" w:eastAsia="Arial" w:hAnsi="Arial"/>
                <w:sz w:val="11"/>
                <w:szCs w:val="11"/>
                <w:color w:val="auto"/>
              </w:rPr>
              <w:t>5,979,395</w:t>
            </w:r>
          </w:p>
        </w:tc>
        <w:tc>
          <w:tcPr>
            <w:tcW w:w="1240" w:type="dxa"/>
            <w:vAlign w:val="bottom"/>
          </w:tcPr>
          <w:p>
            <w:pPr>
              <w:jc w:val="center"/>
              <w:spacing w:after="0" w:line="107" w:lineRule="exact"/>
              <w:rPr>
                <w:sz w:val="20"/>
                <w:szCs w:val="20"/>
                <w:color w:val="auto"/>
              </w:rPr>
            </w:pPr>
            <w:r>
              <w:rPr>
                <w:rFonts w:ascii="Arial" w:cs="Arial" w:eastAsia="Arial" w:hAnsi="Arial"/>
                <w:sz w:val="11"/>
                <w:szCs w:val="11"/>
                <w:color w:val="auto"/>
                <w:w w:val="97"/>
              </w:rPr>
              <w:t>6,205,024</w:t>
            </w:r>
          </w:p>
        </w:tc>
        <w:tc>
          <w:tcPr>
            <w:tcW w:w="126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1"/>
                <w:szCs w:val="11"/>
                <w:color w:val="auto"/>
                <w:w w:val="97"/>
              </w:rPr>
              <w:t>6,230,761</w:t>
            </w:r>
          </w:p>
        </w:tc>
        <w:tc>
          <w:tcPr>
            <w:tcW w:w="880" w:type="dxa"/>
            <w:vAlign w:val="bottom"/>
          </w:tcPr>
          <w:p>
            <w:pPr>
              <w:jc w:val="center"/>
              <w:ind w:left="265"/>
              <w:spacing w:after="0" w:line="107" w:lineRule="exact"/>
              <w:rPr>
                <w:sz w:val="20"/>
                <w:szCs w:val="20"/>
                <w:color w:val="auto"/>
              </w:rPr>
            </w:pPr>
            <w:r>
              <w:rPr>
                <w:rFonts w:ascii="Arial" w:cs="Arial" w:eastAsia="Arial" w:hAnsi="Arial"/>
                <w:sz w:val="11"/>
                <w:szCs w:val="11"/>
                <w:color w:val="auto"/>
                <w:w w:val="95"/>
              </w:rPr>
              <w:t>0.4%</w:t>
            </w:r>
          </w:p>
        </w:tc>
        <w:tc>
          <w:tcPr>
            <w:tcW w:w="1600" w:type="dxa"/>
            <w:vAlign w:val="bottom"/>
            <w:tcBorders>
              <w:right w:val="single" w:sz="8" w:color="auto"/>
            </w:tcBorders>
          </w:tcPr>
          <w:p>
            <w:pPr>
              <w:jc w:val="center"/>
              <w:ind w:left="265"/>
              <w:spacing w:after="0" w:line="107" w:lineRule="exact"/>
              <w:rPr>
                <w:sz w:val="20"/>
                <w:szCs w:val="20"/>
                <w:color w:val="auto"/>
              </w:rPr>
            </w:pPr>
            <w:r>
              <w:rPr>
                <w:rFonts w:ascii="Arial" w:cs="Arial" w:eastAsia="Arial" w:hAnsi="Arial"/>
                <w:sz w:val="11"/>
                <w:szCs w:val="11"/>
                <w:color w:val="auto"/>
                <w:w w:val="95"/>
              </w:rPr>
              <w:t>4.2%</w:t>
            </w:r>
          </w:p>
        </w:tc>
      </w:tr>
      <w:tr>
        <w:trPr>
          <w:trHeight w:val="123"/>
        </w:trPr>
        <w:tc>
          <w:tcPr>
            <w:tcW w:w="4200" w:type="dxa"/>
            <w:vAlign w:val="bottom"/>
            <w:tcBorders>
              <w:left w:val="single" w:sz="8" w:color="auto"/>
              <w:right w:val="single" w:sz="8" w:color="auto"/>
            </w:tcBorders>
          </w:tcPr>
          <w:p>
            <w:pPr>
              <w:ind w:left="40"/>
              <w:spacing w:after="0" w:line="124" w:lineRule="exact"/>
              <w:rPr>
                <w:sz w:val="20"/>
                <w:szCs w:val="20"/>
                <w:color w:val="auto"/>
              </w:rPr>
            </w:pPr>
            <w:r>
              <w:rPr>
                <w:rFonts w:ascii="Arial" w:cs="Arial" w:eastAsia="Arial" w:hAnsi="Arial"/>
                <w:sz w:val="11"/>
                <w:szCs w:val="11"/>
                <w:color w:val="auto"/>
              </w:rPr>
              <w:t>Internal overdue loans over 90-days</w:t>
            </w:r>
          </w:p>
        </w:tc>
        <w:tc>
          <w:tcPr>
            <w:tcW w:w="1200" w:type="dxa"/>
            <w:vAlign w:val="bottom"/>
          </w:tcPr>
          <w:p>
            <w:pPr>
              <w:jc w:val="center"/>
              <w:spacing w:after="0" w:line="124" w:lineRule="exact"/>
              <w:rPr>
                <w:sz w:val="20"/>
                <w:szCs w:val="20"/>
                <w:color w:val="auto"/>
              </w:rPr>
            </w:pPr>
            <w:r>
              <w:rPr>
                <w:rFonts w:ascii="Arial" w:cs="Arial" w:eastAsia="Arial" w:hAnsi="Arial"/>
                <w:sz w:val="11"/>
                <w:szCs w:val="11"/>
                <w:color w:val="auto"/>
              </w:rPr>
              <w:t>4,562,341</w:t>
            </w:r>
          </w:p>
        </w:tc>
        <w:tc>
          <w:tcPr>
            <w:tcW w:w="1240" w:type="dxa"/>
            <w:vAlign w:val="bottom"/>
          </w:tcPr>
          <w:p>
            <w:pPr>
              <w:jc w:val="center"/>
              <w:spacing w:after="0" w:line="124" w:lineRule="exact"/>
              <w:rPr>
                <w:sz w:val="20"/>
                <w:szCs w:val="20"/>
                <w:color w:val="auto"/>
              </w:rPr>
            </w:pPr>
            <w:r>
              <w:rPr>
                <w:rFonts w:ascii="Arial" w:cs="Arial" w:eastAsia="Arial" w:hAnsi="Arial"/>
                <w:sz w:val="11"/>
                <w:szCs w:val="11"/>
                <w:color w:val="auto"/>
                <w:w w:val="97"/>
              </w:rPr>
              <w:t>4,702,733</w:t>
            </w:r>
          </w:p>
        </w:tc>
        <w:tc>
          <w:tcPr>
            <w:tcW w:w="12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4,760,837</w:t>
            </w:r>
          </w:p>
        </w:tc>
        <w:tc>
          <w:tcPr>
            <w:tcW w:w="880" w:type="dxa"/>
            <w:vAlign w:val="bottom"/>
          </w:tcPr>
          <w:p>
            <w:pPr>
              <w:jc w:val="center"/>
              <w:ind w:left="265"/>
              <w:spacing w:after="0" w:line="124" w:lineRule="exact"/>
              <w:rPr>
                <w:sz w:val="20"/>
                <w:szCs w:val="20"/>
                <w:color w:val="auto"/>
              </w:rPr>
            </w:pPr>
            <w:r>
              <w:rPr>
                <w:rFonts w:ascii="Arial" w:cs="Arial" w:eastAsia="Arial" w:hAnsi="Arial"/>
                <w:sz w:val="11"/>
                <w:szCs w:val="11"/>
                <w:color w:val="auto"/>
                <w:w w:val="95"/>
              </w:rPr>
              <w:t>1.2%</w:t>
            </w:r>
          </w:p>
        </w:tc>
        <w:tc>
          <w:tcPr>
            <w:tcW w:w="1600" w:type="dxa"/>
            <w:vAlign w:val="bottom"/>
            <w:tcBorders>
              <w:right w:val="single" w:sz="8" w:color="auto"/>
            </w:tcBorders>
          </w:tcPr>
          <w:p>
            <w:pPr>
              <w:jc w:val="center"/>
              <w:ind w:left="265"/>
              <w:spacing w:after="0" w:line="124" w:lineRule="exact"/>
              <w:rPr>
                <w:sz w:val="20"/>
                <w:szCs w:val="20"/>
                <w:color w:val="auto"/>
              </w:rPr>
            </w:pPr>
            <w:r>
              <w:rPr>
                <w:rFonts w:ascii="Arial" w:cs="Arial" w:eastAsia="Arial" w:hAnsi="Arial"/>
                <w:sz w:val="11"/>
                <w:szCs w:val="11"/>
                <w:color w:val="auto"/>
                <w:w w:val="95"/>
              </w:rPr>
              <w:t>4.4%</w:t>
            </w:r>
          </w:p>
        </w:tc>
      </w:tr>
      <w:tr>
        <w:trPr>
          <w:trHeight w:val="123"/>
        </w:trPr>
        <w:tc>
          <w:tcPr>
            <w:tcW w:w="4200" w:type="dxa"/>
            <w:vAlign w:val="bottom"/>
            <w:tcBorders>
              <w:left w:val="single" w:sz="8" w:color="auto"/>
              <w:right w:val="single" w:sz="8" w:color="auto"/>
            </w:tcBorders>
          </w:tcPr>
          <w:p>
            <w:pPr>
              <w:ind w:left="40"/>
              <w:spacing w:after="0" w:line="124" w:lineRule="exact"/>
              <w:rPr>
                <w:sz w:val="20"/>
                <w:szCs w:val="20"/>
                <w:color w:val="auto"/>
              </w:rPr>
            </w:pPr>
            <w:r>
              <w:rPr>
                <w:rFonts w:ascii="Arial" w:cs="Arial" w:eastAsia="Arial" w:hAnsi="Arial"/>
                <w:sz w:val="11"/>
                <w:szCs w:val="11"/>
                <w:color w:val="auto"/>
              </w:rPr>
              <w:t>Refinanced loans</w:t>
            </w:r>
          </w:p>
        </w:tc>
        <w:tc>
          <w:tcPr>
            <w:tcW w:w="1200" w:type="dxa"/>
            <w:vAlign w:val="bottom"/>
          </w:tcPr>
          <w:p>
            <w:pPr>
              <w:jc w:val="center"/>
              <w:spacing w:after="0" w:line="124" w:lineRule="exact"/>
              <w:rPr>
                <w:sz w:val="20"/>
                <w:szCs w:val="20"/>
                <w:color w:val="auto"/>
              </w:rPr>
            </w:pPr>
            <w:r>
              <w:rPr>
                <w:rFonts w:ascii="Arial" w:cs="Arial" w:eastAsia="Arial" w:hAnsi="Arial"/>
                <w:sz w:val="11"/>
                <w:szCs w:val="11"/>
                <w:color w:val="auto"/>
              </w:rPr>
              <w:t>2,084,124</w:t>
            </w:r>
          </w:p>
        </w:tc>
        <w:tc>
          <w:tcPr>
            <w:tcW w:w="1240" w:type="dxa"/>
            <w:vAlign w:val="bottom"/>
          </w:tcPr>
          <w:p>
            <w:pPr>
              <w:jc w:val="center"/>
              <w:spacing w:after="0" w:line="124" w:lineRule="exact"/>
              <w:rPr>
                <w:sz w:val="20"/>
                <w:szCs w:val="20"/>
                <w:color w:val="auto"/>
              </w:rPr>
            </w:pPr>
            <w:r>
              <w:rPr>
                <w:rFonts w:ascii="Arial" w:cs="Arial" w:eastAsia="Arial" w:hAnsi="Arial"/>
                <w:sz w:val="11"/>
                <w:szCs w:val="11"/>
                <w:color w:val="auto"/>
                <w:w w:val="97"/>
              </w:rPr>
              <w:t>2,557,749</w:t>
            </w:r>
          </w:p>
        </w:tc>
        <w:tc>
          <w:tcPr>
            <w:tcW w:w="12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2,555,135</w:t>
            </w:r>
          </w:p>
        </w:tc>
        <w:tc>
          <w:tcPr>
            <w:tcW w:w="880" w:type="dxa"/>
            <w:vAlign w:val="bottom"/>
          </w:tcPr>
          <w:p>
            <w:pPr>
              <w:jc w:val="center"/>
              <w:ind w:left="265"/>
              <w:spacing w:after="0" w:line="124" w:lineRule="exact"/>
              <w:rPr>
                <w:sz w:val="20"/>
                <w:szCs w:val="20"/>
                <w:color w:val="auto"/>
              </w:rPr>
            </w:pPr>
            <w:r>
              <w:rPr>
                <w:rFonts w:ascii="Arial" w:cs="Arial" w:eastAsia="Arial" w:hAnsi="Arial"/>
                <w:sz w:val="11"/>
                <w:szCs w:val="11"/>
                <w:color w:val="auto"/>
                <w:w w:val="97"/>
              </w:rPr>
              <w:t>-0.1%</w:t>
            </w:r>
          </w:p>
        </w:tc>
        <w:tc>
          <w:tcPr>
            <w:tcW w:w="1600" w:type="dxa"/>
            <w:vAlign w:val="bottom"/>
            <w:tcBorders>
              <w:right w:val="single" w:sz="8" w:color="auto"/>
            </w:tcBorders>
          </w:tcPr>
          <w:p>
            <w:pPr>
              <w:jc w:val="center"/>
              <w:ind w:left="265"/>
              <w:spacing w:after="0" w:line="124" w:lineRule="exact"/>
              <w:rPr>
                <w:sz w:val="20"/>
                <w:szCs w:val="20"/>
                <w:color w:val="auto"/>
              </w:rPr>
            </w:pPr>
            <w:r>
              <w:rPr>
                <w:rFonts w:ascii="Arial" w:cs="Arial" w:eastAsia="Arial" w:hAnsi="Arial"/>
                <w:sz w:val="11"/>
                <w:szCs w:val="11"/>
                <w:color w:val="auto"/>
              </w:rPr>
              <w:t>22.6%</w:t>
            </w:r>
          </w:p>
        </w:tc>
      </w:tr>
      <w:tr>
        <w:trPr>
          <w:trHeight w:val="130"/>
        </w:trPr>
        <w:tc>
          <w:tcPr>
            <w:tcW w:w="4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color w:val="auto"/>
              </w:rPr>
              <w:t>Non-performing loans (NPLs)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8,063,519</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8,762,773</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8,785,896</w:t>
            </w:r>
          </w:p>
        </w:tc>
        <w:tc>
          <w:tcPr>
            <w:tcW w:w="880" w:type="dxa"/>
            <w:vAlign w:val="bottom"/>
            <w:tcBorders>
              <w:bottom w:val="single" w:sz="8" w:color="auto"/>
            </w:tcBorders>
          </w:tcPr>
          <w:p>
            <w:pPr>
              <w:jc w:val="center"/>
              <w:ind w:left="265"/>
              <w:spacing w:after="0"/>
              <w:rPr>
                <w:sz w:val="20"/>
                <w:szCs w:val="20"/>
                <w:color w:val="auto"/>
              </w:rPr>
            </w:pPr>
            <w:r>
              <w:rPr>
                <w:rFonts w:ascii="Arial" w:cs="Arial" w:eastAsia="Arial" w:hAnsi="Arial"/>
                <w:sz w:val="11"/>
                <w:szCs w:val="11"/>
                <w:color w:val="auto"/>
                <w:w w:val="95"/>
              </w:rPr>
              <w:t>0.3%</w:t>
            </w:r>
          </w:p>
        </w:tc>
        <w:tc>
          <w:tcPr>
            <w:tcW w:w="1600" w:type="dxa"/>
            <w:vAlign w:val="bottom"/>
            <w:tcBorders>
              <w:bottom w:val="single" w:sz="8" w:color="auto"/>
              <w:right w:val="single" w:sz="8" w:color="auto"/>
            </w:tcBorders>
          </w:tcPr>
          <w:p>
            <w:pPr>
              <w:jc w:val="center"/>
              <w:ind w:left="265"/>
              <w:spacing w:after="0"/>
              <w:rPr>
                <w:sz w:val="20"/>
                <w:szCs w:val="20"/>
                <w:color w:val="auto"/>
              </w:rPr>
            </w:pPr>
            <w:r>
              <w:rPr>
                <w:rFonts w:ascii="Arial" w:cs="Arial" w:eastAsia="Arial" w:hAnsi="Arial"/>
                <w:sz w:val="11"/>
                <w:szCs w:val="11"/>
                <w:color w:val="auto"/>
                <w:w w:val="95"/>
              </w:rPr>
              <w:t>9.0%</w:t>
            </w:r>
          </w:p>
        </w:tc>
      </w:tr>
      <w:tr>
        <w:trPr>
          <w:trHeight w:val="107"/>
        </w:trPr>
        <w:tc>
          <w:tcPr>
            <w:tcW w:w="4200" w:type="dxa"/>
            <w:vAlign w:val="bottom"/>
            <w:tcBorders>
              <w:left w:val="single" w:sz="8" w:color="auto"/>
              <w:right w:val="single" w:sz="8" w:color="auto"/>
            </w:tcBorders>
          </w:tcPr>
          <w:p>
            <w:pPr>
              <w:ind w:left="40"/>
              <w:spacing w:after="0" w:line="107" w:lineRule="exact"/>
              <w:rPr>
                <w:sz w:val="20"/>
                <w:szCs w:val="20"/>
                <w:color w:val="auto"/>
              </w:rPr>
            </w:pPr>
            <w:r>
              <w:rPr>
                <w:rFonts w:ascii="Arial" w:cs="Arial" w:eastAsia="Arial" w:hAnsi="Arial"/>
                <w:sz w:val="11"/>
                <w:szCs w:val="11"/>
                <w:b w:val="1"/>
                <w:bCs w:val="1"/>
                <w:color w:val="auto"/>
              </w:rPr>
              <w:t>IOL ratio</w:t>
            </w:r>
          </w:p>
        </w:tc>
        <w:tc>
          <w:tcPr>
            <w:tcW w:w="120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rPr>
              <w:t>4.2%</w:t>
            </w:r>
          </w:p>
        </w:tc>
        <w:tc>
          <w:tcPr>
            <w:tcW w:w="1240" w:type="dxa"/>
            <w:vAlign w:val="bottom"/>
          </w:tcPr>
          <w:p>
            <w:pPr>
              <w:jc w:val="center"/>
              <w:spacing w:after="0" w:line="107" w:lineRule="exact"/>
              <w:rPr>
                <w:sz w:val="20"/>
                <w:szCs w:val="20"/>
                <w:color w:val="auto"/>
              </w:rPr>
            </w:pPr>
            <w:r>
              <w:rPr>
                <w:rFonts w:ascii="Arial" w:cs="Arial" w:eastAsia="Arial" w:hAnsi="Arial"/>
                <w:sz w:val="11"/>
                <w:szCs w:val="11"/>
                <w:b w:val="1"/>
                <w:bCs w:val="1"/>
                <w:color w:val="auto"/>
                <w:w w:val="95"/>
              </w:rPr>
              <w:t>4.4%</w:t>
            </w:r>
          </w:p>
        </w:tc>
        <w:tc>
          <w:tcPr>
            <w:tcW w:w="126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1"/>
                <w:szCs w:val="11"/>
                <w:b w:val="1"/>
                <w:bCs w:val="1"/>
                <w:color w:val="auto"/>
                <w:w w:val="95"/>
              </w:rPr>
              <w:t>4.2%</w:t>
            </w:r>
          </w:p>
        </w:tc>
        <w:tc>
          <w:tcPr>
            <w:tcW w:w="880" w:type="dxa"/>
            <w:vAlign w:val="bottom"/>
          </w:tcPr>
          <w:p>
            <w:pPr>
              <w:jc w:val="center"/>
              <w:ind w:left="265"/>
              <w:spacing w:after="0" w:line="107" w:lineRule="exact"/>
              <w:rPr>
                <w:sz w:val="20"/>
                <w:szCs w:val="20"/>
                <w:color w:val="auto"/>
              </w:rPr>
            </w:pPr>
            <w:r>
              <w:rPr>
                <w:rFonts w:ascii="Arial" w:cs="Arial" w:eastAsia="Arial" w:hAnsi="Arial"/>
                <w:sz w:val="11"/>
                <w:szCs w:val="11"/>
                <w:b w:val="1"/>
                <w:bCs w:val="1"/>
                <w:color w:val="auto"/>
              </w:rPr>
              <w:t>-17 bps</w:t>
            </w:r>
          </w:p>
        </w:tc>
        <w:tc>
          <w:tcPr>
            <w:tcW w:w="1600" w:type="dxa"/>
            <w:vAlign w:val="bottom"/>
            <w:tcBorders>
              <w:right w:val="single" w:sz="8" w:color="auto"/>
            </w:tcBorders>
          </w:tcPr>
          <w:p>
            <w:pPr>
              <w:jc w:val="center"/>
              <w:ind w:left="265"/>
              <w:spacing w:after="0" w:line="107" w:lineRule="exact"/>
              <w:rPr>
                <w:sz w:val="20"/>
                <w:szCs w:val="20"/>
                <w:color w:val="auto"/>
              </w:rPr>
            </w:pPr>
            <w:r>
              <w:rPr>
                <w:rFonts w:ascii="Arial" w:cs="Arial" w:eastAsia="Arial" w:hAnsi="Arial"/>
                <w:sz w:val="11"/>
                <w:szCs w:val="11"/>
                <w:b w:val="1"/>
                <w:bCs w:val="1"/>
                <w:color w:val="auto"/>
                <w:w w:val="97"/>
              </w:rPr>
              <w:t>5 bps</w:t>
            </w:r>
          </w:p>
        </w:tc>
      </w:tr>
      <w:tr>
        <w:trPr>
          <w:trHeight w:val="123"/>
        </w:trPr>
        <w:tc>
          <w:tcPr>
            <w:tcW w:w="4200" w:type="dxa"/>
            <w:vAlign w:val="bottom"/>
            <w:tcBorders>
              <w:left w:val="single" w:sz="8" w:color="auto"/>
              <w:right w:val="single" w:sz="8" w:color="auto"/>
            </w:tcBorders>
          </w:tcPr>
          <w:p>
            <w:pPr>
              <w:ind w:left="40"/>
              <w:spacing w:after="0" w:line="124" w:lineRule="exact"/>
              <w:rPr>
                <w:sz w:val="20"/>
                <w:szCs w:val="20"/>
                <w:color w:val="auto"/>
              </w:rPr>
            </w:pPr>
            <w:r>
              <w:rPr>
                <w:rFonts w:ascii="Arial" w:cs="Arial" w:eastAsia="Arial" w:hAnsi="Arial"/>
                <w:sz w:val="11"/>
                <w:szCs w:val="11"/>
                <w:b w:val="1"/>
                <w:bCs w:val="1"/>
                <w:color w:val="auto"/>
              </w:rPr>
              <w:t>IOL over 90-days ratio</w:t>
            </w:r>
          </w:p>
        </w:tc>
        <w:tc>
          <w:tcPr>
            <w:tcW w:w="12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3.2%</w:t>
            </w:r>
          </w:p>
        </w:tc>
        <w:tc>
          <w:tcPr>
            <w:tcW w:w="12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5"/>
              </w:rPr>
              <w:t>3.3%</w:t>
            </w:r>
          </w:p>
        </w:tc>
        <w:tc>
          <w:tcPr>
            <w:tcW w:w="12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5"/>
              </w:rPr>
              <w:t>3.2%</w:t>
            </w:r>
          </w:p>
        </w:tc>
        <w:tc>
          <w:tcPr>
            <w:tcW w:w="880" w:type="dxa"/>
            <w:vAlign w:val="bottom"/>
          </w:tcPr>
          <w:p>
            <w:pPr>
              <w:jc w:val="center"/>
              <w:ind w:left="265"/>
              <w:spacing w:after="0" w:line="124" w:lineRule="exact"/>
              <w:rPr>
                <w:sz w:val="20"/>
                <w:szCs w:val="20"/>
                <w:color w:val="auto"/>
              </w:rPr>
            </w:pPr>
            <w:r>
              <w:rPr>
                <w:rFonts w:ascii="Arial" w:cs="Arial" w:eastAsia="Arial" w:hAnsi="Arial"/>
                <w:sz w:val="11"/>
                <w:szCs w:val="11"/>
                <w:b w:val="1"/>
                <w:bCs w:val="1"/>
                <w:color w:val="auto"/>
              </w:rPr>
              <w:t>-10 bps</w:t>
            </w:r>
          </w:p>
        </w:tc>
        <w:tc>
          <w:tcPr>
            <w:tcW w:w="1600" w:type="dxa"/>
            <w:vAlign w:val="bottom"/>
            <w:tcBorders>
              <w:right w:val="single" w:sz="8" w:color="auto"/>
            </w:tcBorders>
          </w:tcPr>
          <w:p>
            <w:pPr>
              <w:jc w:val="center"/>
              <w:ind w:left="265"/>
              <w:spacing w:after="0" w:line="124" w:lineRule="exact"/>
              <w:rPr>
                <w:sz w:val="20"/>
                <w:szCs w:val="20"/>
                <w:color w:val="auto"/>
              </w:rPr>
            </w:pPr>
            <w:r>
              <w:rPr>
                <w:rFonts w:ascii="Arial" w:cs="Arial" w:eastAsia="Arial" w:hAnsi="Arial"/>
                <w:sz w:val="11"/>
                <w:szCs w:val="11"/>
                <w:b w:val="1"/>
                <w:bCs w:val="1"/>
                <w:color w:val="auto"/>
                <w:w w:val="97"/>
              </w:rPr>
              <w:t>5 bps</w:t>
            </w:r>
          </w:p>
        </w:tc>
      </w:tr>
      <w:tr>
        <w:trPr>
          <w:trHeight w:val="130"/>
        </w:trPr>
        <w:tc>
          <w:tcPr>
            <w:tcW w:w="4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NPL ratio</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5.6%</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6.2%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6.0%</w:t>
            </w:r>
          </w:p>
        </w:tc>
        <w:tc>
          <w:tcPr>
            <w:tcW w:w="880" w:type="dxa"/>
            <w:vAlign w:val="bottom"/>
            <w:tcBorders>
              <w:bottom w:val="single" w:sz="8" w:color="auto"/>
            </w:tcBorders>
          </w:tcPr>
          <w:p>
            <w:pPr>
              <w:jc w:val="center"/>
              <w:ind w:left="265"/>
              <w:spacing w:after="0"/>
              <w:rPr>
                <w:sz w:val="20"/>
                <w:szCs w:val="20"/>
                <w:color w:val="auto"/>
              </w:rPr>
            </w:pPr>
            <w:r>
              <w:rPr>
                <w:rFonts w:ascii="Arial" w:cs="Arial" w:eastAsia="Arial" w:hAnsi="Arial"/>
                <w:sz w:val="11"/>
                <w:szCs w:val="11"/>
                <w:b w:val="1"/>
                <w:bCs w:val="1"/>
                <w:color w:val="auto"/>
              </w:rPr>
              <w:t>-24 bps</w:t>
            </w:r>
          </w:p>
        </w:tc>
        <w:tc>
          <w:tcPr>
            <w:tcW w:w="1600" w:type="dxa"/>
            <w:vAlign w:val="bottom"/>
            <w:tcBorders>
              <w:bottom w:val="single" w:sz="8" w:color="auto"/>
              <w:right w:val="single" w:sz="8" w:color="auto"/>
            </w:tcBorders>
          </w:tcPr>
          <w:p>
            <w:pPr>
              <w:jc w:val="center"/>
              <w:ind w:left="265"/>
              <w:spacing w:after="0"/>
              <w:rPr>
                <w:sz w:val="20"/>
                <w:szCs w:val="20"/>
                <w:color w:val="auto"/>
              </w:rPr>
            </w:pPr>
            <w:r>
              <w:rPr>
                <w:rFonts w:ascii="Arial" w:cs="Arial" w:eastAsia="Arial" w:hAnsi="Arial"/>
                <w:sz w:val="11"/>
                <w:szCs w:val="11"/>
                <w:b w:val="1"/>
                <w:bCs w:val="1"/>
                <w:color w:val="auto"/>
              </w:rPr>
              <w:t>34 bps</w:t>
            </w:r>
          </w:p>
        </w:tc>
      </w:tr>
    </w:tbl>
    <w:p>
      <w:pPr>
        <w:spacing w:after="0" w:line="140" w:lineRule="exact"/>
        <w:rPr>
          <w:sz w:val="20"/>
          <w:szCs w:val="20"/>
          <w:color w:val="auto"/>
        </w:rPr>
      </w:pPr>
    </w:p>
    <w:p>
      <w:pPr>
        <w:jc w:val="both"/>
        <w:spacing w:after="0" w:line="270" w:lineRule="auto"/>
        <w:rPr>
          <w:sz w:val="20"/>
          <w:szCs w:val="20"/>
          <w:color w:val="auto"/>
        </w:rPr>
      </w:pPr>
      <w:r>
        <w:rPr>
          <w:rFonts w:ascii="Arial" w:cs="Arial" w:eastAsia="Arial" w:hAnsi="Arial"/>
          <w:sz w:val="14"/>
          <w:szCs w:val="14"/>
          <w:b w:val="1"/>
          <w:bCs w:val="1"/>
          <w:color w:val="auto"/>
        </w:rPr>
        <w:t xml:space="preserve">QoQ, </w:t>
      </w:r>
      <w:r>
        <w:rPr>
          <w:rFonts w:ascii="Arial" w:cs="Arial" w:eastAsia="Arial" w:hAnsi="Arial"/>
          <w:sz w:val="14"/>
          <w:szCs w:val="14"/>
          <w:color w:val="auto"/>
        </w:rPr>
        <w:t>NPLs rose 0.3%, led mainly by growth at</w:t>
      </w:r>
      <w:r>
        <w:rPr>
          <w:rFonts w:ascii="Arial" w:cs="Arial" w:eastAsia="Arial" w:hAnsi="Arial"/>
          <w:sz w:val="14"/>
          <w:szCs w:val="14"/>
          <w:b w:val="1"/>
          <w:bCs w:val="1"/>
          <w:color w:val="auto"/>
        </w:rPr>
        <w:t xml:space="preserve"> Mibanco </w:t>
      </w:r>
      <w:r>
        <w:rPr>
          <w:rFonts w:ascii="Arial" w:cs="Arial" w:eastAsia="Arial" w:hAnsi="Arial"/>
          <w:sz w:val="14"/>
          <w:szCs w:val="14"/>
          <w:color w:val="auto"/>
        </w:rPr>
        <w:t>and partially offset by the evolution at</w:t>
      </w:r>
      <w:r>
        <w:rPr>
          <w:rFonts w:ascii="Arial" w:cs="Arial" w:eastAsia="Arial" w:hAnsi="Arial"/>
          <w:sz w:val="14"/>
          <w:szCs w:val="14"/>
          <w:b w:val="1"/>
          <w:bCs w:val="1"/>
          <w:color w:val="auto"/>
        </w:rPr>
        <w:t xml:space="preserve"> BCP Stand-alone</w:t>
      </w:r>
      <w:r>
        <w:rPr>
          <w:rFonts w:ascii="Arial" w:cs="Arial" w:eastAsia="Arial" w:hAnsi="Arial"/>
          <w:sz w:val="14"/>
          <w:szCs w:val="14"/>
          <w:color w:val="auto"/>
        </w:rPr>
        <w:t>. Write-offs increased and remained high at 4.6%, and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were concentrated primarily in </w:t>
      </w:r>
      <w:r>
        <w:rPr>
          <w:rFonts w:ascii="Arial" w:cs="Arial" w:eastAsia="Arial" w:hAnsi="Arial"/>
          <w:sz w:val="14"/>
          <w:szCs w:val="14"/>
          <w:b w:val="1"/>
          <w:bCs w:val="1"/>
          <w:color w:val="auto"/>
        </w:rPr>
        <w:t>SME-Pyme</w:t>
      </w:r>
      <w:r>
        <w:rPr>
          <w:rFonts w:ascii="Arial" w:cs="Arial" w:eastAsia="Arial" w:hAnsi="Arial"/>
          <w:sz w:val="14"/>
          <w:szCs w:val="14"/>
          <w:color w:val="auto"/>
        </w:rPr>
        <w:t xml:space="preserve">, </w:t>
      </w:r>
      <w:r>
        <w:rPr>
          <w:rFonts w:ascii="Arial" w:cs="Arial" w:eastAsia="Arial" w:hAnsi="Arial"/>
          <w:sz w:val="14"/>
          <w:szCs w:val="14"/>
          <w:b w:val="1"/>
          <w:bCs w:val="1"/>
          <w:color w:val="auto"/>
        </w:rPr>
        <w:t>Consumer</w:t>
      </w:r>
      <w:r>
        <w:rPr>
          <w:rFonts w:ascii="Arial" w:cs="Arial" w:eastAsia="Arial" w:hAnsi="Arial"/>
          <w:sz w:val="14"/>
          <w:szCs w:val="14"/>
          <w:color w:val="auto"/>
        </w:rPr>
        <w:t xml:space="preserve"> and </w:t>
      </w:r>
      <w:r>
        <w:rPr>
          <w:rFonts w:ascii="Arial" w:cs="Arial" w:eastAsia="Arial" w:hAnsi="Arial"/>
          <w:sz w:val="14"/>
          <w:szCs w:val="14"/>
          <w:b w:val="1"/>
          <w:bCs w:val="1"/>
          <w:color w:val="auto"/>
        </w:rPr>
        <w:t>Credit Card</w:t>
      </w:r>
      <w:r>
        <w:rPr>
          <w:rFonts w:ascii="Arial" w:cs="Arial" w:eastAsia="Arial" w:hAnsi="Arial"/>
          <w:sz w:val="14"/>
          <w:szCs w:val="14"/>
          <w:color w:val="auto"/>
        </w:rPr>
        <w:t>, where write-offs of higher- risk overdue loans continue.</w:t>
      </w:r>
    </w:p>
    <w:p>
      <w:pPr>
        <w:spacing w:after="0" w:line="101" w:lineRule="exact"/>
        <w:rPr>
          <w:sz w:val="20"/>
          <w:szCs w:val="20"/>
          <w:color w:val="auto"/>
        </w:rPr>
      </w:pPr>
    </w:p>
    <w:p>
      <w:pPr>
        <w:jc w:val="both"/>
        <w:spacing w:after="0" w:line="235" w:lineRule="auto"/>
        <w:rPr>
          <w:sz w:val="20"/>
          <w:szCs w:val="20"/>
          <w:color w:val="auto"/>
        </w:rPr>
      </w:pPr>
      <w:r>
        <w:rPr>
          <w:rFonts w:ascii="Arial" w:cs="Arial" w:eastAsia="Arial" w:hAnsi="Arial"/>
          <w:sz w:val="14"/>
          <w:szCs w:val="14"/>
          <w:b w:val="1"/>
          <w:bCs w:val="1"/>
          <w:color w:val="auto"/>
        </w:rPr>
        <w:t xml:space="preserve">QoQ, </w:t>
      </w:r>
      <w:r>
        <w:rPr>
          <w:rFonts w:ascii="Arial" w:cs="Arial" w:eastAsia="Arial" w:hAnsi="Arial"/>
          <w:sz w:val="14"/>
          <w:szCs w:val="14"/>
          <w:color w:val="auto"/>
        </w:rPr>
        <w:t>NPLs increased at</w:t>
      </w:r>
      <w:r>
        <w:rPr>
          <w:rFonts w:ascii="Arial" w:cs="Arial" w:eastAsia="Arial" w:hAnsi="Arial"/>
          <w:sz w:val="14"/>
          <w:szCs w:val="14"/>
          <w:b w:val="1"/>
          <w:bCs w:val="1"/>
          <w:color w:val="auto"/>
        </w:rPr>
        <w:t xml:space="preserve"> Mibanco, </w:t>
      </w:r>
      <w:r>
        <w:rPr>
          <w:rFonts w:ascii="Arial" w:cs="Arial" w:eastAsia="Arial" w:hAnsi="Arial"/>
          <w:sz w:val="14"/>
          <w:szCs w:val="14"/>
          <w:color w:val="auto"/>
        </w:rPr>
        <w:t>fueled primarily by growth in delinquency in government program loans, which have high coverage levels and are being executed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through honoring processes, and by an uptick in delinquency in high-ticket loans among vulnerable clients affected by successive economic and climate impacts that intensified in 1Q23, in line with the scenario seen across the microfinance system. At </w:t>
      </w:r>
      <w:r>
        <w:rPr>
          <w:rFonts w:ascii="Arial" w:cs="Arial" w:eastAsia="Arial" w:hAnsi="Arial"/>
          <w:sz w:val="14"/>
          <w:szCs w:val="14"/>
          <w:b w:val="1"/>
          <w:bCs w:val="1"/>
          <w:color w:val="auto"/>
        </w:rPr>
        <w:t>BCP Stand-alone</w:t>
      </w:r>
      <w:r>
        <w:rPr>
          <w:rFonts w:ascii="Arial" w:cs="Arial" w:eastAsia="Arial" w:hAnsi="Arial"/>
          <w:sz w:val="14"/>
          <w:szCs w:val="14"/>
          <w:color w:val="auto"/>
        </w:rPr>
        <w:t xml:space="preserve">, the drop in NPLs was driven mainly by </w:t>
      </w:r>
      <w:r>
        <w:rPr>
          <w:rFonts w:ascii="Arial" w:cs="Arial" w:eastAsia="Arial" w:hAnsi="Arial"/>
          <w:sz w:val="14"/>
          <w:szCs w:val="14"/>
          <w:b w:val="1"/>
          <w:bCs w:val="1"/>
          <w:color w:val="auto"/>
        </w:rPr>
        <w:t>SME-Pyme</w:t>
      </w:r>
      <w:r>
        <w:rPr>
          <w:rFonts w:ascii="Arial" w:cs="Arial" w:eastAsia="Arial" w:hAnsi="Arial"/>
          <w:sz w:val="14"/>
          <w:szCs w:val="14"/>
          <w:color w:val="auto"/>
        </w:rPr>
        <w:t xml:space="preserve">, which registered growth in honoring of Reactive guarantees. If we exclude this effect, NPLs rise slightly but begin to show signs of stabilizing thanks to efforts to contain rising delinquency. The decrease in NPLs was partially offset by (i) </w:t>
      </w:r>
      <w:r>
        <w:rPr>
          <w:rFonts w:ascii="Arial" w:cs="Arial" w:eastAsia="Arial" w:hAnsi="Arial"/>
          <w:sz w:val="14"/>
          <w:szCs w:val="14"/>
          <w:b w:val="1"/>
          <w:bCs w:val="1"/>
          <w:color w:val="auto"/>
        </w:rPr>
        <w:t>Credit Cards</w:t>
      </w:r>
      <w:r>
        <w:rPr>
          <w:rFonts w:ascii="Arial" w:cs="Arial" w:eastAsia="Arial" w:hAnsi="Arial"/>
          <w:sz w:val="14"/>
          <w:szCs w:val="14"/>
          <w:color w:val="auto"/>
        </w:rPr>
        <w:t xml:space="preserve">, which registered growth in overdue loans to vulnerable clients who are highly indebted and lack stable income. This deterioration was concentrated in vintages originated in the first semester of 2023; and (ii) </w:t>
      </w:r>
      <w:r>
        <w:rPr>
          <w:rFonts w:ascii="Arial" w:cs="Arial" w:eastAsia="Arial" w:hAnsi="Arial"/>
          <w:sz w:val="14"/>
          <w:szCs w:val="14"/>
          <w:b w:val="1"/>
          <w:bCs w:val="1"/>
          <w:color w:val="auto"/>
        </w:rPr>
        <w:t>Mortgage,</w:t>
      </w:r>
      <w:r>
        <w:rPr>
          <w:rFonts w:ascii="Arial" w:cs="Arial" w:eastAsia="Arial" w:hAnsi="Arial"/>
          <w:sz w:val="14"/>
          <w:szCs w:val="14"/>
          <w:color w:val="auto"/>
        </w:rPr>
        <w:t xml:space="preserve"> which reported growth in NPLs via clients that had already registered delinquency for consumer products.</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b w:val="1"/>
          <w:bCs w:val="1"/>
          <w:color w:val="auto"/>
        </w:rPr>
        <w:t>YoY</w:t>
      </w:r>
      <w:r>
        <w:rPr>
          <w:rFonts w:ascii="Arial" w:cs="Arial" w:eastAsia="Arial" w:hAnsi="Arial"/>
          <w:sz w:val="14"/>
          <w:szCs w:val="14"/>
          <w:color w:val="auto"/>
        </w:rPr>
        <w:t>, NPLs rose 9.0%, led primarily by</w:t>
      </w:r>
      <w:r>
        <w:rPr>
          <w:rFonts w:ascii="Arial" w:cs="Arial" w:eastAsia="Arial" w:hAnsi="Arial"/>
          <w:sz w:val="14"/>
          <w:szCs w:val="14"/>
          <w:b w:val="1"/>
          <w:bCs w:val="1"/>
          <w:color w:val="auto"/>
        </w:rPr>
        <w:t xml:space="preserve"> BCP Stand-alone </w:t>
      </w:r>
      <w:r>
        <w:rPr>
          <w:rFonts w:ascii="Arial" w:cs="Arial" w:eastAsia="Arial" w:hAnsi="Arial"/>
          <w:sz w:val="14"/>
          <w:szCs w:val="14"/>
          <w:color w:val="auto"/>
        </w:rPr>
        <w:t>and</w:t>
      </w:r>
      <w:r>
        <w:rPr>
          <w:rFonts w:ascii="Arial" w:cs="Arial" w:eastAsia="Arial" w:hAnsi="Arial"/>
          <w:sz w:val="14"/>
          <w:szCs w:val="14"/>
          <w:b w:val="1"/>
          <w:bCs w:val="1"/>
          <w:color w:val="auto"/>
        </w:rPr>
        <w:t xml:space="preserve"> Mibanco</w:t>
      </w:r>
      <w:r>
        <w:rPr>
          <w:rFonts w:ascii="Arial" w:cs="Arial" w:eastAsia="Arial" w:hAnsi="Arial"/>
          <w:sz w:val="14"/>
          <w:szCs w:val="14"/>
          <w:color w:val="auto"/>
        </w:rPr>
        <w:t>. Growth in write-offs (+45.8%) was driven by</w:t>
      </w:r>
      <w:r>
        <w:rPr>
          <w:rFonts w:ascii="Arial" w:cs="Arial" w:eastAsia="Arial" w:hAnsi="Arial"/>
          <w:sz w:val="14"/>
          <w:szCs w:val="14"/>
          <w:b w:val="1"/>
          <w:bCs w:val="1"/>
          <w:color w:val="auto"/>
        </w:rPr>
        <w:t xml:space="preserve"> SME-Pyme </w:t>
      </w:r>
      <w:r>
        <w:rPr>
          <w:rFonts w:ascii="Arial" w:cs="Arial" w:eastAsia="Arial" w:hAnsi="Arial"/>
          <w:sz w:val="14"/>
          <w:szCs w:val="14"/>
          <w:color w:val="auto"/>
        </w:rPr>
        <w:t>and</w:t>
      </w:r>
      <w:r>
        <w:rPr>
          <w:rFonts w:ascii="Arial" w:cs="Arial" w:eastAsia="Arial" w:hAnsi="Arial"/>
          <w:sz w:val="14"/>
          <w:szCs w:val="14"/>
          <w:b w:val="1"/>
          <w:bCs w:val="1"/>
          <w:color w:val="auto"/>
        </w:rPr>
        <w:t xml:space="preserve"> Credit Cards, </w:t>
      </w:r>
      <w:r>
        <w:rPr>
          <w:rFonts w:ascii="Arial" w:cs="Arial" w:eastAsia="Arial" w:hAnsi="Arial"/>
          <w:sz w:val="14"/>
          <w:szCs w:val="14"/>
          <w:color w:val="auto"/>
        </w:rPr>
        <w:t>which were impacted</w:t>
      </w:r>
      <w:r>
        <w:rPr>
          <w:rFonts w:ascii="Arial" w:cs="Arial" w:eastAsia="Arial" w:hAnsi="Arial"/>
          <w:sz w:val="14"/>
          <w:szCs w:val="14"/>
          <w:b w:val="1"/>
          <w:bCs w:val="1"/>
          <w:color w:val="auto"/>
        </w:rPr>
        <w:t xml:space="preserve"> </w:t>
      </w:r>
      <w:r>
        <w:rPr>
          <w:rFonts w:ascii="Arial" w:cs="Arial" w:eastAsia="Arial" w:hAnsi="Arial"/>
          <w:sz w:val="14"/>
          <w:szCs w:val="14"/>
          <w:color w:val="auto"/>
        </w:rPr>
        <w:t>by an increase in write-offs of overdue loans in highest risk segments.</w:t>
      </w:r>
    </w:p>
    <w:p>
      <w:pPr>
        <w:spacing w:after="0" w:line="113" w:lineRule="exact"/>
        <w:rPr>
          <w:sz w:val="20"/>
          <w:szCs w:val="20"/>
          <w:color w:val="auto"/>
        </w:rPr>
      </w:pPr>
    </w:p>
    <w:p>
      <w:pPr>
        <w:jc w:val="both"/>
        <w:spacing w:after="0" w:line="236" w:lineRule="auto"/>
        <w:rPr>
          <w:sz w:val="20"/>
          <w:szCs w:val="20"/>
          <w:color w:val="auto"/>
        </w:rPr>
      </w:pPr>
      <w:r>
        <w:rPr>
          <w:rFonts w:ascii="Arial" w:cs="Arial" w:eastAsia="Arial" w:hAnsi="Arial"/>
          <w:sz w:val="14"/>
          <w:szCs w:val="14"/>
          <w:b w:val="1"/>
          <w:bCs w:val="1"/>
          <w:color w:val="auto"/>
        </w:rPr>
        <w:t xml:space="preserve">YoY, </w:t>
      </w:r>
      <w:r>
        <w:rPr>
          <w:rFonts w:ascii="Arial" w:cs="Arial" w:eastAsia="Arial" w:hAnsi="Arial"/>
          <w:sz w:val="14"/>
          <w:szCs w:val="14"/>
          <w:color w:val="auto"/>
        </w:rPr>
        <w:t>growth in NPLs at</w:t>
      </w:r>
      <w:r>
        <w:rPr>
          <w:rFonts w:ascii="Arial" w:cs="Arial" w:eastAsia="Arial" w:hAnsi="Arial"/>
          <w:sz w:val="14"/>
          <w:szCs w:val="14"/>
          <w:b w:val="1"/>
          <w:bCs w:val="1"/>
          <w:color w:val="auto"/>
        </w:rPr>
        <w:t xml:space="preserve"> BCP Stand-alone </w:t>
      </w:r>
      <w:r>
        <w:rPr>
          <w:rFonts w:ascii="Arial" w:cs="Arial" w:eastAsia="Arial" w:hAnsi="Arial"/>
          <w:sz w:val="14"/>
          <w:szCs w:val="14"/>
          <w:color w:val="auto"/>
        </w:rPr>
        <w:t>was attributable to: (i)</w:t>
      </w:r>
      <w:r>
        <w:rPr>
          <w:rFonts w:ascii="Arial" w:cs="Arial" w:eastAsia="Arial" w:hAnsi="Arial"/>
          <w:sz w:val="14"/>
          <w:szCs w:val="14"/>
          <w:b w:val="1"/>
          <w:bCs w:val="1"/>
          <w:color w:val="auto"/>
        </w:rPr>
        <w:t xml:space="preserve"> Consumer, </w:t>
      </w:r>
      <w:r>
        <w:rPr>
          <w:rFonts w:ascii="Arial" w:cs="Arial" w:eastAsia="Arial" w:hAnsi="Arial"/>
          <w:sz w:val="14"/>
          <w:szCs w:val="14"/>
          <w:color w:val="auto"/>
        </w:rPr>
        <w:t>due to growth in refinancing to support clients in the most vulnerable sub-segments who are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highly leveraged and lack stable employment, and to a lesser extent due to an expansion in overdue loans from old vintages; (ii) </w:t>
      </w:r>
      <w:r>
        <w:rPr>
          <w:rFonts w:ascii="Arial" w:cs="Arial" w:eastAsia="Arial" w:hAnsi="Arial"/>
          <w:sz w:val="14"/>
          <w:szCs w:val="14"/>
          <w:b w:val="1"/>
          <w:bCs w:val="1"/>
          <w:color w:val="auto"/>
        </w:rPr>
        <w:t>Wholesale Banking,</w:t>
      </w:r>
      <w:r>
        <w:rPr>
          <w:rFonts w:ascii="Arial" w:cs="Arial" w:eastAsia="Arial" w:hAnsi="Arial"/>
          <w:sz w:val="14"/>
          <w:szCs w:val="14"/>
          <w:color w:val="auto"/>
        </w:rPr>
        <w:t xml:space="preserve"> due to refinancing for two specific corporate clients; (iii) </w:t>
      </w:r>
      <w:r>
        <w:rPr>
          <w:rFonts w:ascii="Arial" w:cs="Arial" w:eastAsia="Arial" w:hAnsi="Arial"/>
          <w:sz w:val="14"/>
          <w:szCs w:val="14"/>
          <w:b w:val="1"/>
          <w:bCs w:val="1"/>
          <w:color w:val="auto"/>
        </w:rPr>
        <w:t>Mortgage,</w:t>
      </w:r>
      <w:r>
        <w:rPr>
          <w:rFonts w:ascii="Arial" w:cs="Arial" w:eastAsia="Arial" w:hAnsi="Arial"/>
          <w:sz w:val="14"/>
          <w:szCs w:val="14"/>
          <w:color w:val="auto"/>
        </w:rPr>
        <w:t xml:space="preserve"> due primarily to the same drivers in play </w:t>
      </w:r>
      <w:r>
        <w:rPr>
          <w:rFonts w:ascii="Arial" w:cs="Arial" w:eastAsia="Arial" w:hAnsi="Arial"/>
          <w:sz w:val="14"/>
          <w:szCs w:val="14"/>
          <w:b w:val="1"/>
          <w:bCs w:val="1"/>
          <w:color w:val="auto"/>
        </w:rPr>
        <w:t>QoQ</w:t>
      </w:r>
      <w:r>
        <w:rPr>
          <w:rFonts w:ascii="Arial" w:cs="Arial" w:eastAsia="Arial" w:hAnsi="Arial"/>
          <w:sz w:val="14"/>
          <w:szCs w:val="14"/>
          <w:color w:val="auto"/>
        </w:rPr>
        <w:t xml:space="preserve"> and secondarily to refinancing granted in 3Q23; and (iv) </w:t>
      </w:r>
      <w:r>
        <w:rPr>
          <w:rFonts w:ascii="Arial" w:cs="Arial" w:eastAsia="Arial" w:hAnsi="Arial"/>
          <w:sz w:val="14"/>
          <w:szCs w:val="14"/>
          <w:b w:val="1"/>
          <w:bCs w:val="1"/>
          <w:color w:val="auto"/>
        </w:rPr>
        <w:t>Credit Cards</w:t>
      </w:r>
      <w:r>
        <w:rPr>
          <w:rFonts w:ascii="Arial" w:cs="Arial" w:eastAsia="Arial" w:hAnsi="Arial"/>
          <w:sz w:val="14"/>
          <w:szCs w:val="14"/>
          <w:color w:val="auto"/>
        </w:rPr>
        <w:t xml:space="preserve">, fueled by the same dynamics seen </w:t>
      </w:r>
      <w:r>
        <w:rPr>
          <w:rFonts w:ascii="Arial" w:cs="Arial" w:eastAsia="Arial" w:hAnsi="Arial"/>
          <w:sz w:val="14"/>
          <w:szCs w:val="14"/>
          <w:b w:val="1"/>
          <w:bCs w:val="1"/>
          <w:color w:val="auto"/>
        </w:rPr>
        <w:t>QoQ</w:t>
      </w:r>
      <w:r>
        <w:rPr>
          <w:rFonts w:ascii="Arial" w:cs="Arial" w:eastAsia="Arial" w:hAnsi="Arial"/>
          <w:sz w:val="14"/>
          <w:szCs w:val="14"/>
          <w:color w:val="auto"/>
        </w:rPr>
        <w:t xml:space="preserve">. This evolution was partially offset by </w:t>
      </w:r>
      <w:r>
        <w:rPr>
          <w:rFonts w:ascii="Arial" w:cs="Arial" w:eastAsia="Arial" w:hAnsi="Arial"/>
          <w:sz w:val="14"/>
          <w:szCs w:val="14"/>
          <w:b w:val="1"/>
          <w:bCs w:val="1"/>
          <w:color w:val="auto"/>
        </w:rPr>
        <w:t>SME-Pyme</w:t>
      </w:r>
      <w:r>
        <w:rPr>
          <w:rFonts w:ascii="Arial" w:cs="Arial" w:eastAsia="Arial" w:hAnsi="Arial"/>
          <w:sz w:val="14"/>
          <w:szCs w:val="14"/>
          <w:color w:val="auto"/>
        </w:rPr>
        <w:t xml:space="preserve">, which registered an uptick in honoring of guarantees for Reactiva loans. If we exclude this effect, NPLs in </w:t>
      </w:r>
      <w:r>
        <w:rPr>
          <w:rFonts w:ascii="Arial" w:cs="Arial" w:eastAsia="Arial" w:hAnsi="Arial"/>
          <w:sz w:val="14"/>
          <w:szCs w:val="14"/>
          <w:b w:val="1"/>
          <w:bCs w:val="1"/>
          <w:color w:val="auto"/>
        </w:rPr>
        <w:t>SME-Pyme</w:t>
      </w:r>
      <w:r>
        <w:rPr>
          <w:rFonts w:ascii="Arial" w:cs="Arial" w:eastAsia="Arial" w:hAnsi="Arial"/>
          <w:sz w:val="14"/>
          <w:szCs w:val="14"/>
          <w:color w:val="auto"/>
        </w:rPr>
        <w:t xml:space="preserve"> rose primarily through an increase in judicial loans to clients with loans that had been reprogrammed during the pandemic (these loans are backed by ample guarantees) and through an increase in refinancing to contain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621030</wp:posOffset>
            </wp:positionV>
            <wp:extent cx="7164705" cy="133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92075</wp:posOffset>
            </wp:positionV>
            <wp:extent cx="1502410" cy="44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5149850</wp:posOffset>
            </wp:positionH>
            <wp:positionV relativeFrom="paragraph">
              <wp:posOffset>222250</wp:posOffset>
            </wp:positionV>
            <wp:extent cx="1724025" cy="3136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24025" cy="313690"/>
                    </a:xfrm>
                    <a:prstGeom prst="rect">
                      <a:avLst/>
                    </a:prstGeom>
                    <a:noFill/>
                  </pic:spPr>
                </pic:pic>
              </a:graphicData>
            </a:graphic>
          </wp:anchor>
        </w:drawing>
      </w:r>
    </w:p>
    <w:p>
      <w:pPr>
        <w:sectPr>
          <w:pgSz w:w="11900" w:h="16838" w:orient="portrait"/>
          <w:cols w:equalWidth="0" w:num="1">
            <w:col w:w="10380"/>
          </w:cols>
          <w:pgMar w:left="760" w:top="287" w:right="759" w:bottom="1440" w:gutter="0" w:footer="0" w:header="0"/>
        </w:sectPr>
      </w:pPr>
    </w:p>
    <w:bookmarkStart w:id="31" w:name="page32"/>
    <w:bookmarkEnd w:id="31"/>
    <w:p>
      <w:pPr>
        <w:ind w:left="2380"/>
        <w:spacing w:after="0"/>
        <w:tabs>
          <w:tab w:leader="none" w:pos="2580" w:val="left"/>
          <w:tab w:leader="none" w:pos="7540"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48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4705" cy="548640"/>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05. Portfolio Quality and Provisions</w:t>
      </w:r>
    </w:p>
    <w:p>
      <w:pPr>
        <w:spacing w:after="0" w:line="244" w:lineRule="exact"/>
        <w:rPr>
          <w:sz w:val="20"/>
          <w:szCs w:val="20"/>
          <w:color w:val="auto"/>
        </w:rPr>
      </w:pPr>
    </w:p>
    <w:p>
      <w:pPr>
        <w:ind w:left="120"/>
        <w:spacing w:after="0" w:line="270" w:lineRule="auto"/>
        <w:rPr>
          <w:sz w:val="20"/>
          <w:szCs w:val="20"/>
          <w:color w:val="auto"/>
        </w:rPr>
      </w:pPr>
      <w:r>
        <w:rPr>
          <w:rFonts w:ascii="Arial" w:cs="Arial" w:eastAsia="Arial" w:hAnsi="Arial"/>
          <w:sz w:val="14"/>
          <w:szCs w:val="14"/>
          <w:color w:val="auto"/>
        </w:rPr>
        <w:t xml:space="preserve">rising delinquency. The aforementioned was partially offset by an increase in write-offs. At </w:t>
      </w:r>
      <w:r>
        <w:rPr>
          <w:rFonts w:ascii="Arial" w:cs="Arial" w:eastAsia="Arial" w:hAnsi="Arial"/>
          <w:sz w:val="14"/>
          <w:szCs w:val="14"/>
          <w:b w:val="1"/>
          <w:bCs w:val="1"/>
          <w:color w:val="auto"/>
        </w:rPr>
        <w:t>Mibanco,</w:t>
      </w:r>
      <w:r>
        <w:rPr>
          <w:rFonts w:ascii="Arial" w:cs="Arial" w:eastAsia="Arial" w:hAnsi="Arial"/>
          <w:sz w:val="14"/>
          <w:szCs w:val="14"/>
          <w:color w:val="auto"/>
        </w:rPr>
        <w:t xml:space="preserve"> the uptick in NPLs was driven by the same factors responsible for the </w:t>
      </w:r>
      <w:r>
        <w:rPr>
          <w:rFonts w:ascii="Arial" w:cs="Arial" w:eastAsia="Arial" w:hAnsi="Arial"/>
          <w:sz w:val="14"/>
          <w:szCs w:val="14"/>
          <w:b w:val="1"/>
          <w:bCs w:val="1"/>
          <w:color w:val="auto"/>
        </w:rPr>
        <w:t xml:space="preserve">QoQ </w:t>
      </w:r>
      <w:r>
        <w:rPr>
          <w:rFonts w:ascii="Arial" w:cs="Arial" w:eastAsia="Arial" w:hAnsi="Arial"/>
          <w:sz w:val="14"/>
          <w:szCs w:val="14"/>
          <w:color w:val="auto"/>
        </w:rPr>
        <w:t>result.</w:t>
      </w:r>
    </w:p>
    <w:p>
      <w:pPr>
        <w:spacing w:after="0" w:line="101" w:lineRule="exact"/>
        <w:rPr>
          <w:sz w:val="20"/>
          <w:szCs w:val="20"/>
          <w:color w:val="auto"/>
        </w:rPr>
      </w:pPr>
    </w:p>
    <w:p>
      <w:pPr>
        <w:ind w:left="1820"/>
        <w:spacing w:after="0"/>
        <w:rPr>
          <w:sz w:val="20"/>
          <w:szCs w:val="20"/>
          <w:color w:val="auto"/>
        </w:rPr>
      </w:pPr>
      <w:r>
        <w:rPr>
          <w:rFonts w:ascii="Arial" w:cs="Arial" w:eastAsia="Arial" w:hAnsi="Arial"/>
          <w:sz w:val="14"/>
          <w:szCs w:val="14"/>
          <w:b w:val="1"/>
          <w:bCs w:val="1"/>
          <w:color w:val="auto"/>
        </w:rPr>
        <w:t>NPL Ratio for Total Loans</w:t>
      </w:r>
    </w:p>
    <w:p>
      <w:pPr>
        <w:spacing w:after="0" w:line="7" w:lineRule="exact"/>
        <w:rPr>
          <w:sz w:val="20"/>
          <w:szCs w:val="20"/>
          <w:color w:val="auto"/>
        </w:rPr>
      </w:pPr>
    </w:p>
    <w:p>
      <w:pPr>
        <w:jc w:val="both"/>
        <w:ind w:left="5420"/>
        <w:spacing w:after="0" w:line="236" w:lineRule="auto"/>
        <w:rPr>
          <w:sz w:val="20"/>
          <w:szCs w:val="20"/>
          <w:color w:val="auto"/>
        </w:rPr>
      </w:pPr>
      <w:r>
        <w:rPr>
          <w:rFonts w:ascii="Arial" w:cs="Arial" w:eastAsia="Arial" w:hAnsi="Arial"/>
          <w:sz w:val="14"/>
          <w:szCs w:val="14"/>
          <w:color w:val="auto"/>
        </w:rPr>
        <w:t xml:space="preserve">Credicorp’s NPL ratio dropped 24 bps </w:t>
      </w:r>
      <w:r>
        <w:rPr>
          <w:rFonts w:ascii="Arial" w:cs="Arial" w:eastAsia="Arial" w:hAnsi="Arial"/>
          <w:sz w:val="14"/>
          <w:szCs w:val="14"/>
          <w:b w:val="1"/>
          <w:bCs w:val="1"/>
          <w:color w:val="auto"/>
        </w:rPr>
        <w:t>QoQ</w:t>
      </w:r>
      <w:r>
        <w:rPr>
          <w:rFonts w:ascii="Arial" w:cs="Arial" w:eastAsia="Arial" w:hAnsi="Arial"/>
          <w:sz w:val="14"/>
          <w:szCs w:val="14"/>
          <w:color w:val="auto"/>
        </w:rPr>
        <w:t xml:space="preserve"> to stand at 6.0%. This decrease was driven by loans growth and partially offset by the overdue loan dynamics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-300355</wp:posOffset>
            </wp:positionV>
            <wp:extent cx="2455545" cy="12477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55545" cy="1247775"/>
                    </a:xfrm>
                    <a:prstGeom prst="rect">
                      <a:avLst/>
                    </a:prstGeom>
                    <a:noFill/>
                  </pic:spPr>
                </pic:pic>
              </a:graphicData>
            </a:graphic>
          </wp:anchor>
        </w:drawing>
      </w:r>
    </w:p>
    <w:p>
      <w:pPr>
        <w:spacing w:after="0" w:line="108"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If we analyze the QoQ evolution of the NPL Ratio by subsidiary we see:</w:t>
      </w:r>
    </w:p>
    <w:p>
      <w:pPr>
        <w:spacing w:after="0" w:line="148" w:lineRule="exact"/>
        <w:rPr>
          <w:sz w:val="20"/>
          <w:szCs w:val="20"/>
          <w:color w:val="auto"/>
        </w:rPr>
      </w:pPr>
    </w:p>
    <w:p>
      <w:pPr>
        <w:jc w:val="both"/>
        <w:ind w:left="54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BCP Stand-alone,</w:t>
      </w:r>
      <w:r>
        <w:rPr>
          <w:rFonts w:ascii="Arial" w:cs="Arial" w:eastAsia="Arial" w:hAnsi="Arial"/>
          <w:sz w:val="14"/>
          <w:szCs w:val="14"/>
          <w:color w:val="auto"/>
        </w:rPr>
        <w:t xml:space="preserve"> where the NPL ratio fell 36 bps. In the case of </w:t>
      </w:r>
      <w:r>
        <w:rPr>
          <w:rFonts w:ascii="Arial" w:cs="Arial" w:eastAsia="Arial" w:hAnsi="Arial"/>
          <w:sz w:val="14"/>
          <w:szCs w:val="14"/>
          <w:b w:val="1"/>
          <w:bCs w:val="1"/>
          <w:color w:val="auto"/>
        </w:rPr>
        <w:t>Wholesale</w:t>
      </w:r>
      <w:r>
        <w:rPr>
          <w:rFonts w:ascii="Arial" w:cs="Arial" w:eastAsia="Arial" w:hAnsi="Arial"/>
          <w:sz w:val="14"/>
          <w:szCs w:val="14"/>
          <w:color w:val="auto"/>
        </w:rPr>
        <w:t xml:space="preserve"> and </w:t>
      </w:r>
      <w:r>
        <w:rPr>
          <w:rFonts w:ascii="Arial" w:cs="Arial" w:eastAsia="Arial" w:hAnsi="Arial"/>
          <w:sz w:val="14"/>
          <w:szCs w:val="14"/>
          <w:b w:val="1"/>
          <w:bCs w:val="1"/>
          <w:color w:val="auto"/>
        </w:rPr>
        <w:t>SME Business</w:t>
      </w:r>
      <w:r>
        <w:rPr>
          <w:rFonts w:ascii="Arial" w:cs="Arial" w:eastAsia="Arial" w:hAnsi="Arial"/>
          <w:sz w:val="14"/>
          <w:szCs w:val="14"/>
          <w:color w:val="auto"/>
        </w:rPr>
        <w:t xml:space="preserve">, an improvement in the NPL ratio was driven mainly by loan growth while in </w:t>
      </w:r>
      <w:r>
        <w:rPr>
          <w:rFonts w:ascii="Arial" w:cs="Arial" w:eastAsia="Arial" w:hAnsi="Arial"/>
          <w:sz w:val="14"/>
          <w:szCs w:val="14"/>
          <w:b w:val="1"/>
          <w:bCs w:val="1"/>
          <w:color w:val="auto"/>
        </w:rPr>
        <w:t>SME-Pyme</w:t>
      </w:r>
      <w:r>
        <w:rPr>
          <w:rFonts w:ascii="Arial" w:cs="Arial" w:eastAsia="Arial" w:hAnsi="Arial"/>
          <w:sz w:val="14"/>
          <w:szCs w:val="14"/>
          <w:color w:val="auto"/>
        </w:rPr>
        <w:t>, the decrease was fueled mainly by a drop in NPL volumes.</w:t>
      </w:r>
    </w:p>
    <w:p>
      <w:pPr>
        <w:spacing w:after="0" w:line="200" w:lineRule="exact"/>
        <w:rPr>
          <w:sz w:val="20"/>
          <w:szCs w:val="20"/>
          <w:color w:val="auto"/>
        </w:rPr>
      </w:pPr>
    </w:p>
    <w:p>
      <w:pPr>
        <w:spacing w:after="0" w:line="349" w:lineRule="exact"/>
        <w:rPr>
          <w:sz w:val="20"/>
          <w:szCs w:val="20"/>
          <w:color w:val="auto"/>
        </w:rPr>
      </w:pPr>
    </w:p>
    <w:p>
      <w:pPr>
        <w:ind w:left="380" w:hanging="265"/>
        <w:spacing w:after="0"/>
        <w:tabs>
          <w:tab w:leader="none" w:pos="380" w:val="left"/>
        </w:tabs>
        <w:numPr>
          <w:ilvl w:val="0"/>
          <w:numId w:val="26"/>
        </w:numPr>
        <w:rPr>
          <w:rFonts w:ascii="Arial" w:cs="Arial" w:eastAsia="Arial" w:hAnsi="Arial"/>
          <w:sz w:val="14"/>
          <w:szCs w:val="14"/>
          <w:color w:val="auto"/>
        </w:rPr>
      </w:pPr>
      <w:r>
        <w:rPr>
          <w:rFonts w:ascii="Arial" w:cs="Arial" w:eastAsia="Arial" w:hAnsi="Arial"/>
          <w:sz w:val="14"/>
          <w:szCs w:val="14"/>
          <w:b w:val="1"/>
          <w:bCs w:val="1"/>
          <w:color w:val="auto"/>
        </w:rPr>
        <w:t>Mibanco</w:t>
      </w:r>
      <w:r>
        <w:rPr>
          <w:rFonts w:ascii="Arial" w:cs="Arial" w:eastAsia="Arial" w:hAnsi="Arial"/>
          <w:sz w:val="14"/>
          <w:szCs w:val="14"/>
          <w:color w:val="auto"/>
        </w:rPr>
        <w:t>, where the NPL Ratio rose 69 bps, triggered primarily by growth in NPL volumes and secondarily by a contraction in loans.</w:t>
      </w:r>
    </w:p>
    <w:p>
      <w:pPr>
        <w:spacing w:after="0" w:line="73"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 xml:space="preserve">NPL Ratio for Total Loans at BCP </w:t>
      </w:r>
      <w:r>
        <w:rPr>
          <w:rFonts w:ascii="Arial" w:cs="Arial" w:eastAsia="Arial" w:hAnsi="Arial"/>
          <w:sz w:val="22"/>
          <w:szCs w:val="22"/>
          <w:b w:val="1"/>
          <w:bCs w:val="1"/>
          <w:color w:val="auto"/>
          <w:vertAlign w:val="superscript"/>
        </w:rPr>
        <w:t>(1)</w:t>
      </w:r>
    </w:p>
    <w:p>
      <w:pPr>
        <w:jc w:val="both"/>
        <w:ind w:left="5420"/>
        <w:spacing w:after="0" w:line="236" w:lineRule="auto"/>
        <w:rPr>
          <w:sz w:val="20"/>
          <w:szCs w:val="20"/>
          <w:color w:val="auto"/>
        </w:rPr>
      </w:pPr>
      <w:r>
        <w:rPr>
          <w:rFonts w:ascii="Arial" w:cs="Arial" w:eastAsia="Arial" w:hAnsi="Arial"/>
          <w:sz w:val="14"/>
          <w:szCs w:val="14"/>
          <w:color w:val="auto"/>
        </w:rPr>
        <w:t xml:space="preserve">Credicorp’s NPL ratio rose 33 bps </w:t>
      </w:r>
      <w:r>
        <w:rPr>
          <w:rFonts w:ascii="Arial" w:cs="Arial" w:eastAsia="Arial" w:hAnsi="Arial"/>
          <w:sz w:val="14"/>
          <w:szCs w:val="14"/>
          <w:b w:val="1"/>
          <w:bCs w:val="1"/>
          <w:color w:val="auto"/>
        </w:rPr>
        <w:t>YoY</w:t>
      </w:r>
      <w:r>
        <w:rPr>
          <w:rFonts w:ascii="Arial" w:cs="Arial" w:eastAsia="Arial" w:hAnsi="Arial"/>
          <w:sz w:val="14"/>
          <w:szCs w:val="14"/>
          <w:color w:val="auto"/>
        </w:rPr>
        <w:t xml:space="preserve"> to stand at 6.0%. This growth was fueled by the same dynamics seen </w:t>
      </w:r>
      <w:r>
        <w:rPr>
          <w:rFonts w:ascii="Arial" w:cs="Arial" w:eastAsia="Arial" w:hAnsi="Arial"/>
          <w:sz w:val="14"/>
          <w:szCs w:val="14"/>
          <w:b w:val="1"/>
          <w:bCs w:val="1"/>
          <w:color w:val="auto"/>
        </w:rPr>
        <w:t>YoY</w:t>
      </w:r>
      <w:r>
        <w:rPr>
          <w:rFonts w:ascii="Arial" w:cs="Arial" w:eastAsia="Arial" w:hAnsi="Arial"/>
          <w:sz w:val="14"/>
          <w:szCs w:val="14"/>
          <w:color w:val="auto"/>
        </w:rPr>
        <w:t xml:space="preserve"> for overdue loans and was partially offset by loan growth over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-300355</wp:posOffset>
            </wp:positionV>
            <wp:extent cx="2403475" cy="13912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03475" cy="1391285"/>
                    </a:xfrm>
                    <a:prstGeom prst="rect">
                      <a:avLst/>
                    </a:prstGeom>
                    <a:noFill/>
                  </pic:spPr>
                </pic:pic>
              </a:graphicData>
            </a:graphic>
          </wp:anchor>
        </w:drawing>
      </w:r>
    </w:p>
    <w:p>
      <w:pPr>
        <w:spacing w:after="0" w:line="108"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If we analyze the YoY evolution of the NPL Portfolio by Subsidiary, we see:</w:t>
      </w:r>
    </w:p>
    <w:p>
      <w:pPr>
        <w:spacing w:after="0" w:line="148" w:lineRule="exact"/>
        <w:rPr>
          <w:sz w:val="20"/>
          <w:szCs w:val="20"/>
          <w:color w:val="auto"/>
        </w:rPr>
      </w:pPr>
    </w:p>
    <w:p>
      <w:pPr>
        <w:jc w:val="both"/>
        <w:ind w:left="54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BCP Stand-alone</w:t>
      </w:r>
      <w:r>
        <w:rPr>
          <w:rFonts w:ascii="Arial" w:cs="Arial" w:eastAsia="Arial" w:hAnsi="Arial"/>
          <w:sz w:val="14"/>
          <w:szCs w:val="14"/>
          <w:color w:val="auto"/>
        </w:rPr>
        <w:t xml:space="preserve">, where the NPL ratio rose 29 pbs. In the case of </w:t>
      </w:r>
      <w:r>
        <w:rPr>
          <w:rFonts w:ascii="Arial" w:cs="Arial" w:eastAsia="Arial" w:hAnsi="Arial"/>
          <w:sz w:val="14"/>
          <w:szCs w:val="14"/>
          <w:b w:val="1"/>
          <w:bCs w:val="1"/>
          <w:color w:val="auto"/>
        </w:rPr>
        <w:t>Individuals</w:t>
      </w:r>
      <w:r>
        <w:rPr>
          <w:rFonts w:ascii="Arial" w:cs="Arial" w:eastAsia="Arial" w:hAnsi="Arial"/>
          <w:sz w:val="14"/>
          <w:szCs w:val="14"/>
          <w:color w:val="auto"/>
        </w:rPr>
        <w:t xml:space="preserve"> and </w:t>
      </w:r>
      <w:r>
        <w:rPr>
          <w:rFonts w:ascii="Arial" w:cs="Arial" w:eastAsia="Arial" w:hAnsi="Arial"/>
          <w:sz w:val="14"/>
          <w:szCs w:val="14"/>
          <w:b w:val="1"/>
          <w:bCs w:val="1"/>
          <w:color w:val="auto"/>
        </w:rPr>
        <w:t>Wholesale</w:t>
      </w:r>
      <w:r>
        <w:rPr>
          <w:rFonts w:ascii="Arial" w:cs="Arial" w:eastAsia="Arial" w:hAnsi="Arial"/>
          <w:sz w:val="14"/>
          <w:szCs w:val="14"/>
          <w:color w:val="auto"/>
        </w:rPr>
        <w:t>, growth was driven by an uptick in NPL volumes.</w:t>
      </w:r>
    </w:p>
    <w:p>
      <w:pPr>
        <w:spacing w:after="0" w:line="1" w:lineRule="exact"/>
        <w:rPr>
          <w:sz w:val="20"/>
          <w:szCs w:val="20"/>
          <w:color w:val="auto"/>
        </w:rPr>
      </w:pPr>
    </w:p>
    <w:p>
      <w:pPr>
        <w:jc w:val="both"/>
        <w:ind w:left="54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Mibanco</w:t>
      </w:r>
      <w:r>
        <w:rPr>
          <w:rFonts w:ascii="Arial" w:cs="Arial" w:eastAsia="Arial" w:hAnsi="Arial"/>
          <w:sz w:val="14"/>
          <w:szCs w:val="14"/>
          <w:color w:val="auto"/>
        </w:rPr>
        <w:t>, where the NPL ratio increases 124 bps, fueled primarily by a contraction in loans and to a lesser extent, by growth in NPL volumes.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5.2  Provisions and Cost of Risk</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Provisions and Cost of Risk for Total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0</wp:posOffset>
            </wp:positionV>
            <wp:extent cx="6597015" cy="417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597015" cy="41783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79"/>
        </w:trPr>
        <w:tc>
          <w:tcPr>
            <w:tcW w:w="4060" w:type="dxa"/>
            <w:vAlign w:val="bottom"/>
            <w:tcBorders>
              <w:top w:val="single" w:sz="8" w:color="auto"/>
            </w:tcBorders>
            <w:shd w:val="clear" w:color="auto" w:fill="2AD2C9"/>
          </w:tcPr>
          <w:p>
            <w:pPr>
              <w:ind w:left="40"/>
              <w:spacing w:after="0" w:line="79" w:lineRule="exact"/>
              <w:rPr>
                <w:sz w:val="20"/>
                <w:szCs w:val="20"/>
                <w:color w:val="auto"/>
              </w:rPr>
            </w:pPr>
            <w:r>
              <w:rPr>
                <w:rFonts w:ascii="Arial" w:cs="Arial" w:eastAsia="Arial" w:hAnsi="Arial"/>
                <w:sz w:val="8"/>
                <w:szCs w:val="8"/>
                <w:b w:val="1"/>
                <w:bCs w:val="1"/>
                <w:color w:val="FFFFFF"/>
              </w:rPr>
              <w:t>Loan Portfolio Provisions</w:t>
            </w:r>
          </w:p>
        </w:tc>
        <w:tc>
          <w:tcPr>
            <w:tcW w:w="800" w:type="dxa"/>
            <w:vAlign w:val="bottom"/>
            <w:tcBorders>
              <w:top w:val="single" w:sz="8" w:color="auto"/>
            </w:tcBorders>
            <w:shd w:val="clear" w:color="auto" w:fill="2AD2C9"/>
          </w:tcPr>
          <w:p>
            <w:pPr>
              <w:spacing w:after="0"/>
              <w:rPr>
                <w:sz w:val="6"/>
                <w:szCs w:val="6"/>
                <w:color w:val="auto"/>
              </w:rPr>
            </w:pPr>
          </w:p>
        </w:tc>
        <w:tc>
          <w:tcPr>
            <w:tcW w:w="760" w:type="dxa"/>
            <w:vAlign w:val="bottom"/>
            <w:tcBorders>
              <w:top w:val="single" w:sz="8" w:color="auto"/>
            </w:tcBorders>
            <w:shd w:val="clear" w:color="auto" w:fill="2AD2C9"/>
          </w:tcPr>
          <w:p>
            <w:pPr>
              <w:ind w:left="220"/>
              <w:spacing w:after="0" w:line="79" w:lineRule="exact"/>
              <w:rPr>
                <w:sz w:val="20"/>
                <w:szCs w:val="20"/>
                <w:color w:val="auto"/>
              </w:rPr>
            </w:pPr>
            <w:r>
              <w:rPr>
                <w:rFonts w:ascii="Arial" w:cs="Arial" w:eastAsia="Arial" w:hAnsi="Arial"/>
                <w:sz w:val="8"/>
                <w:szCs w:val="8"/>
                <w:b w:val="1"/>
                <w:bCs w:val="1"/>
                <w:color w:val="FFFFFF"/>
              </w:rPr>
              <w:t>Quarter</w:t>
            </w:r>
          </w:p>
        </w:tc>
        <w:tc>
          <w:tcPr>
            <w:tcW w:w="840" w:type="dxa"/>
            <w:vAlign w:val="bottom"/>
            <w:tcBorders>
              <w:top w:val="single" w:sz="8" w:color="auto"/>
            </w:tcBorders>
            <w:shd w:val="clear" w:color="auto" w:fill="2AD2C9"/>
          </w:tcPr>
          <w:p>
            <w:pPr>
              <w:spacing w:after="0"/>
              <w:rPr>
                <w:sz w:val="6"/>
                <w:szCs w:val="6"/>
                <w:color w:val="auto"/>
              </w:rPr>
            </w:pPr>
          </w:p>
        </w:tc>
        <w:tc>
          <w:tcPr>
            <w:tcW w:w="520" w:type="dxa"/>
            <w:vAlign w:val="bottom"/>
            <w:tcBorders>
              <w:top w:val="single" w:sz="8" w:color="auto"/>
            </w:tcBorders>
            <w:shd w:val="clear" w:color="auto" w:fill="2AD2C9"/>
          </w:tcPr>
          <w:p>
            <w:pPr>
              <w:spacing w:after="0"/>
              <w:rPr>
                <w:sz w:val="6"/>
                <w:szCs w:val="6"/>
                <w:color w:val="auto"/>
              </w:rPr>
            </w:pPr>
          </w:p>
        </w:tc>
        <w:tc>
          <w:tcPr>
            <w:tcW w:w="960" w:type="dxa"/>
            <w:vAlign w:val="bottom"/>
            <w:tcBorders>
              <w:top w:val="single" w:sz="8" w:color="auto"/>
            </w:tcBorders>
            <w:shd w:val="clear" w:color="auto" w:fill="2AD2C9"/>
          </w:tcPr>
          <w:p>
            <w:pPr>
              <w:spacing w:after="0" w:line="79" w:lineRule="exact"/>
              <w:rPr>
                <w:sz w:val="20"/>
                <w:szCs w:val="20"/>
                <w:color w:val="auto"/>
              </w:rPr>
            </w:pPr>
            <w:r>
              <w:rPr>
                <w:rFonts w:ascii="Arial" w:cs="Arial" w:eastAsia="Arial" w:hAnsi="Arial"/>
                <w:sz w:val="8"/>
                <w:szCs w:val="8"/>
                <w:b w:val="1"/>
                <w:bCs w:val="1"/>
                <w:color w:val="FFFFFF"/>
              </w:rPr>
              <w:t>% change</w:t>
            </w:r>
          </w:p>
        </w:tc>
        <w:tc>
          <w:tcPr>
            <w:tcW w:w="720" w:type="dxa"/>
            <w:vAlign w:val="bottom"/>
            <w:tcBorders>
              <w:top w:val="single" w:sz="8" w:color="auto"/>
            </w:tcBorders>
            <w:shd w:val="clear" w:color="auto" w:fill="2AD2C9"/>
          </w:tcPr>
          <w:p>
            <w:pPr>
              <w:spacing w:after="0"/>
              <w:rPr>
                <w:sz w:val="6"/>
                <w:szCs w:val="6"/>
                <w:color w:val="auto"/>
              </w:rPr>
            </w:pPr>
          </w:p>
        </w:tc>
        <w:tc>
          <w:tcPr>
            <w:tcW w:w="920" w:type="dxa"/>
            <w:vAlign w:val="bottom"/>
            <w:tcBorders>
              <w:top w:val="single" w:sz="8" w:color="auto"/>
            </w:tcBorders>
            <w:shd w:val="clear" w:color="auto" w:fill="2AD2C9"/>
          </w:tcPr>
          <w:p>
            <w:pPr>
              <w:ind w:left="20"/>
              <w:spacing w:after="0" w:line="79" w:lineRule="exact"/>
              <w:rPr>
                <w:sz w:val="20"/>
                <w:szCs w:val="20"/>
                <w:color w:val="auto"/>
              </w:rPr>
            </w:pPr>
            <w:r>
              <w:rPr>
                <w:rFonts w:ascii="Arial" w:cs="Arial" w:eastAsia="Arial" w:hAnsi="Arial"/>
                <w:sz w:val="8"/>
                <w:szCs w:val="8"/>
                <w:b w:val="1"/>
                <w:bCs w:val="1"/>
                <w:color w:val="FFFFFF"/>
              </w:rPr>
              <w:t>Up to</w:t>
            </w:r>
          </w:p>
        </w:tc>
        <w:tc>
          <w:tcPr>
            <w:tcW w:w="800" w:type="dxa"/>
            <w:vAlign w:val="bottom"/>
            <w:tcBorders>
              <w:top w:val="single" w:sz="8" w:color="auto"/>
            </w:tcBorders>
            <w:shd w:val="clear" w:color="auto" w:fill="2AD2C9"/>
          </w:tcPr>
          <w:p>
            <w:pPr>
              <w:jc w:val="center"/>
              <w:spacing w:after="0" w:line="79" w:lineRule="exact"/>
              <w:rPr>
                <w:sz w:val="20"/>
                <w:szCs w:val="20"/>
                <w:color w:val="auto"/>
              </w:rPr>
            </w:pPr>
            <w:r>
              <w:rPr>
                <w:rFonts w:ascii="Arial" w:cs="Arial" w:eastAsia="Arial" w:hAnsi="Arial"/>
                <w:sz w:val="8"/>
                <w:szCs w:val="8"/>
                <w:b w:val="1"/>
                <w:bCs w:val="1"/>
                <w:color w:val="FFFFFF"/>
              </w:rPr>
              <w:t>% change</w:t>
            </w:r>
          </w:p>
        </w:tc>
      </w:tr>
      <w:tr>
        <w:trPr>
          <w:trHeight w:val="117"/>
        </w:trPr>
        <w:tc>
          <w:tcPr>
            <w:tcW w:w="4060" w:type="dxa"/>
            <w:vAlign w:val="bottom"/>
            <w:tcBorders>
              <w:bottom w:val="single" w:sz="8" w:color="auto"/>
            </w:tcBorders>
            <w:shd w:val="clear" w:color="auto" w:fill="2AD2C9"/>
          </w:tcPr>
          <w:p>
            <w:pPr>
              <w:ind w:left="40"/>
              <w:spacing w:after="0"/>
              <w:rPr>
                <w:sz w:val="20"/>
                <w:szCs w:val="20"/>
                <w:color w:val="auto"/>
              </w:rPr>
            </w:pPr>
            <w:r>
              <w:rPr>
                <w:rFonts w:ascii="Arial" w:cs="Arial" w:eastAsia="Arial" w:hAnsi="Arial"/>
                <w:sz w:val="10"/>
                <w:szCs w:val="10"/>
                <w:b w:val="1"/>
                <w:bCs w:val="1"/>
                <w:color w:val="FFFFFF"/>
              </w:rPr>
              <w:t>S/ 000</w:t>
            </w:r>
          </w:p>
        </w:tc>
        <w:tc>
          <w:tcPr>
            <w:tcW w:w="8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7"/>
              </w:rPr>
              <w:t>2Q23</w:t>
            </w:r>
          </w:p>
        </w:tc>
        <w:tc>
          <w:tcPr>
            <w:tcW w:w="7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7"/>
              </w:rPr>
              <w:t>1Q24</w:t>
            </w:r>
          </w:p>
        </w:tc>
        <w:tc>
          <w:tcPr>
            <w:tcW w:w="8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7"/>
              </w:rPr>
              <w:t>2Q24</w:t>
            </w:r>
          </w:p>
        </w:tc>
        <w:tc>
          <w:tcPr>
            <w:tcW w:w="520" w:type="dxa"/>
            <w:vAlign w:val="bottom"/>
            <w:tcBorders>
              <w:bottom w:val="single" w:sz="8" w:color="auto"/>
            </w:tcBorders>
            <w:shd w:val="clear" w:color="auto" w:fill="2AD2C9"/>
          </w:tcPr>
          <w:p>
            <w:pPr>
              <w:jc w:val="center"/>
              <w:ind w:left="153"/>
              <w:spacing w:after="0"/>
              <w:rPr>
                <w:sz w:val="20"/>
                <w:szCs w:val="20"/>
                <w:color w:val="auto"/>
              </w:rPr>
            </w:pPr>
            <w:r>
              <w:rPr>
                <w:rFonts w:ascii="Arial" w:cs="Arial" w:eastAsia="Arial" w:hAnsi="Arial"/>
                <w:sz w:val="10"/>
                <w:szCs w:val="10"/>
                <w:b w:val="1"/>
                <w:bCs w:val="1"/>
                <w:color w:val="FFFFFF"/>
                <w:w w:val="92"/>
              </w:rPr>
              <w:t>QoQ</w:t>
            </w:r>
          </w:p>
        </w:tc>
        <w:tc>
          <w:tcPr>
            <w:tcW w:w="960" w:type="dxa"/>
            <w:vAlign w:val="bottom"/>
            <w:tcBorders>
              <w:bottom w:val="single" w:sz="8" w:color="auto"/>
            </w:tcBorders>
            <w:shd w:val="clear" w:color="auto" w:fill="2AD2C9"/>
          </w:tcPr>
          <w:p>
            <w:pPr>
              <w:jc w:val="center"/>
              <w:ind w:left="254"/>
              <w:spacing w:after="0"/>
              <w:rPr>
                <w:sz w:val="20"/>
                <w:szCs w:val="20"/>
                <w:color w:val="auto"/>
              </w:rPr>
            </w:pPr>
            <w:r>
              <w:rPr>
                <w:rFonts w:ascii="Arial" w:cs="Arial" w:eastAsia="Arial" w:hAnsi="Arial"/>
                <w:sz w:val="10"/>
                <w:szCs w:val="10"/>
                <w:b w:val="1"/>
                <w:bCs w:val="1"/>
                <w:color w:val="FFFFFF"/>
                <w:w w:val="92"/>
              </w:rPr>
              <w:t>YoY</w:t>
            </w:r>
          </w:p>
        </w:tc>
        <w:tc>
          <w:tcPr>
            <w:tcW w:w="720" w:type="dxa"/>
            <w:vAlign w:val="bottom"/>
            <w:tcBorders>
              <w:bottom w:val="single" w:sz="8" w:color="auto"/>
            </w:tcBorders>
            <w:shd w:val="clear" w:color="auto" w:fill="2AD2C9"/>
          </w:tcPr>
          <w:p>
            <w:pPr>
              <w:jc w:val="center"/>
              <w:ind w:left="153"/>
              <w:spacing w:after="0"/>
              <w:rPr>
                <w:sz w:val="20"/>
                <w:szCs w:val="20"/>
                <w:color w:val="auto"/>
              </w:rPr>
            </w:pPr>
            <w:r>
              <w:rPr>
                <w:rFonts w:ascii="Arial" w:cs="Arial" w:eastAsia="Arial" w:hAnsi="Arial"/>
                <w:sz w:val="10"/>
                <w:szCs w:val="10"/>
                <w:b w:val="1"/>
                <w:bCs w:val="1"/>
                <w:color w:val="FFFFFF"/>
              </w:rPr>
              <w:t>1H23</w:t>
            </w:r>
          </w:p>
        </w:tc>
        <w:tc>
          <w:tcPr>
            <w:tcW w:w="920" w:type="dxa"/>
            <w:vAlign w:val="bottom"/>
            <w:tcBorders>
              <w:bottom w:val="single" w:sz="8" w:color="auto"/>
            </w:tcBorders>
            <w:shd w:val="clear" w:color="auto" w:fill="2AD2C9"/>
          </w:tcPr>
          <w:p>
            <w:pPr>
              <w:jc w:val="center"/>
              <w:ind w:left="94"/>
              <w:spacing w:after="0"/>
              <w:rPr>
                <w:sz w:val="20"/>
                <w:szCs w:val="20"/>
                <w:color w:val="auto"/>
              </w:rPr>
            </w:pPr>
            <w:r>
              <w:rPr>
                <w:rFonts w:ascii="Arial" w:cs="Arial" w:eastAsia="Arial" w:hAnsi="Arial"/>
                <w:sz w:val="10"/>
                <w:szCs w:val="10"/>
                <w:b w:val="1"/>
                <w:bCs w:val="1"/>
                <w:color w:val="FFFFFF"/>
                <w:w w:val="91"/>
              </w:rPr>
              <w:t>1H24</w:t>
            </w:r>
          </w:p>
        </w:tc>
        <w:tc>
          <w:tcPr>
            <w:tcW w:w="8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6"/>
              </w:rPr>
              <w:t>1H24 / 1H23</w:t>
            </w:r>
          </w:p>
        </w:tc>
      </w:tr>
      <w:tr>
        <w:trPr>
          <w:trHeight w:val="81"/>
        </w:trPr>
        <w:tc>
          <w:tcPr>
            <w:tcW w:w="4060" w:type="dxa"/>
            <w:vAlign w:val="bottom"/>
          </w:tcPr>
          <w:p>
            <w:pPr>
              <w:ind w:left="40"/>
              <w:spacing w:after="0" w:line="81" w:lineRule="exact"/>
              <w:rPr>
                <w:sz w:val="20"/>
                <w:szCs w:val="20"/>
                <w:color w:val="auto"/>
              </w:rPr>
            </w:pPr>
            <w:r>
              <w:rPr>
                <w:rFonts w:ascii="Arial" w:cs="Arial" w:eastAsia="Arial" w:hAnsi="Arial"/>
                <w:sz w:val="8"/>
                <w:szCs w:val="8"/>
                <w:color w:val="auto"/>
              </w:rPr>
              <w:t>Gross provision for credit losses on loan portfolio</w:t>
            </w:r>
          </w:p>
        </w:tc>
        <w:tc>
          <w:tcPr>
            <w:tcW w:w="800" w:type="dxa"/>
            <w:vAlign w:val="bottom"/>
          </w:tcPr>
          <w:p>
            <w:pPr>
              <w:jc w:val="center"/>
              <w:spacing w:after="0" w:line="81" w:lineRule="exact"/>
              <w:rPr>
                <w:sz w:val="20"/>
                <w:szCs w:val="20"/>
                <w:color w:val="auto"/>
              </w:rPr>
            </w:pPr>
            <w:r>
              <w:rPr>
                <w:rFonts w:ascii="Arial" w:cs="Arial" w:eastAsia="Arial" w:hAnsi="Arial"/>
                <w:sz w:val="8"/>
                <w:szCs w:val="8"/>
                <w:color w:val="auto"/>
              </w:rPr>
              <w:t>(886,123)</w:t>
            </w:r>
          </w:p>
        </w:tc>
        <w:tc>
          <w:tcPr>
            <w:tcW w:w="760" w:type="dxa"/>
            <w:vAlign w:val="bottom"/>
          </w:tcPr>
          <w:p>
            <w:pPr>
              <w:jc w:val="center"/>
              <w:spacing w:after="0" w:line="81" w:lineRule="exact"/>
              <w:rPr>
                <w:sz w:val="20"/>
                <w:szCs w:val="20"/>
                <w:color w:val="auto"/>
              </w:rPr>
            </w:pPr>
            <w:r>
              <w:rPr>
                <w:rFonts w:ascii="Arial" w:cs="Arial" w:eastAsia="Arial" w:hAnsi="Arial"/>
                <w:sz w:val="8"/>
                <w:szCs w:val="8"/>
                <w:color w:val="auto"/>
              </w:rPr>
              <w:t>(910,189)</w:t>
            </w:r>
          </w:p>
        </w:tc>
        <w:tc>
          <w:tcPr>
            <w:tcW w:w="840" w:type="dxa"/>
            <w:vAlign w:val="bottom"/>
          </w:tcPr>
          <w:p>
            <w:pPr>
              <w:jc w:val="center"/>
              <w:spacing w:after="0" w:line="81" w:lineRule="exact"/>
              <w:rPr>
                <w:sz w:val="20"/>
                <w:szCs w:val="20"/>
                <w:color w:val="auto"/>
              </w:rPr>
            </w:pPr>
            <w:r>
              <w:rPr>
                <w:rFonts w:ascii="Arial" w:cs="Arial" w:eastAsia="Arial" w:hAnsi="Arial"/>
                <w:sz w:val="8"/>
                <w:szCs w:val="8"/>
                <w:color w:val="auto"/>
              </w:rPr>
              <w:t>(1,193,548)</w:t>
            </w:r>
          </w:p>
        </w:tc>
        <w:tc>
          <w:tcPr>
            <w:tcW w:w="520" w:type="dxa"/>
            <w:vAlign w:val="bottom"/>
          </w:tcPr>
          <w:p>
            <w:pPr>
              <w:jc w:val="center"/>
              <w:ind w:left="153"/>
              <w:spacing w:after="0" w:line="81" w:lineRule="exact"/>
              <w:rPr>
                <w:sz w:val="20"/>
                <w:szCs w:val="20"/>
                <w:color w:val="auto"/>
              </w:rPr>
            </w:pPr>
            <w:r>
              <w:rPr>
                <w:rFonts w:ascii="Arial" w:cs="Arial" w:eastAsia="Arial" w:hAnsi="Arial"/>
                <w:sz w:val="8"/>
                <w:szCs w:val="8"/>
                <w:color w:val="auto"/>
              </w:rPr>
              <w:t>31.1%</w:t>
            </w:r>
          </w:p>
        </w:tc>
        <w:tc>
          <w:tcPr>
            <w:tcW w:w="960" w:type="dxa"/>
            <w:vAlign w:val="bottom"/>
          </w:tcPr>
          <w:p>
            <w:pPr>
              <w:jc w:val="center"/>
              <w:ind w:left="234"/>
              <w:spacing w:after="0" w:line="81" w:lineRule="exact"/>
              <w:rPr>
                <w:sz w:val="20"/>
                <w:szCs w:val="20"/>
                <w:color w:val="auto"/>
              </w:rPr>
            </w:pPr>
            <w:r>
              <w:rPr>
                <w:rFonts w:ascii="Arial" w:cs="Arial" w:eastAsia="Arial" w:hAnsi="Arial"/>
                <w:sz w:val="8"/>
                <w:szCs w:val="8"/>
                <w:color w:val="auto"/>
              </w:rPr>
              <w:t>34.7%</w:t>
            </w:r>
          </w:p>
        </w:tc>
        <w:tc>
          <w:tcPr>
            <w:tcW w:w="720" w:type="dxa"/>
            <w:vAlign w:val="bottom"/>
          </w:tcPr>
          <w:p>
            <w:pPr>
              <w:jc w:val="center"/>
              <w:ind w:left="153"/>
              <w:spacing w:after="0" w:line="81" w:lineRule="exact"/>
              <w:rPr>
                <w:sz w:val="20"/>
                <w:szCs w:val="20"/>
                <w:color w:val="auto"/>
              </w:rPr>
            </w:pPr>
            <w:r>
              <w:rPr>
                <w:rFonts w:ascii="Arial" w:cs="Arial" w:eastAsia="Arial" w:hAnsi="Arial"/>
                <w:sz w:val="8"/>
                <w:szCs w:val="8"/>
                <w:color w:val="auto"/>
              </w:rPr>
              <w:t>(1,688,230)</w:t>
            </w:r>
          </w:p>
        </w:tc>
        <w:tc>
          <w:tcPr>
            <w:tcW w:w="920" w:type="dxa"/>
            <w:vAlign w:val="bottom"/>
          </w:tcPr>
          <w:p>
            <w:pPr>
              <w:jc w:val="center"/>
              <w:ind w:left="94"/>
              <w:spacing w:after="0" w:line="81" w:lineRule="exact"/>
              <w:rPr>
                <w:sz w:val="20"/>
                <w:szCs w:val="20"/>
                <w:color w:val="auto"/>
              </w:rPr>
            </w:pPr>
            <w:r>
              <w:rPr>
                <w:rFonts w:ascii="Arial" w:cs="Arial" w:eastAsia="Arial" w:hAnsi="Arial"/>
                <w:sz w:val="8"/>
                <w:szCs w:val="8"/>
                <w:color w:val="auto"/>
              </w:rPr>
              <w:t>(2,103,737)</w:t>
            </w:r>
          </w:p>
        </w:tc>
        <w:tc>
          <w:tcPr>
            <w:tcW w:w="800" w:type="dxa"/>
            <w:vAlign w:val="bottom"/>
          </w:tcPr>
          <w:p>
            <w:pPr>
              <w:jc w:val="center"/>
              <w:spacing w:after="0" w:line="81" w:lineRule="exact"/>
              <w:rPr>
                <w:sz w:val="20"/>
                <w:szCs w:val="20"/>
                <w:color w:val="auto"/>
              </w:rPr>
            </w:pPr>
            <w:r>
              <w:rPr>
                <w:rFonts w:ascii="Arial" w:cs="Arial" w:eastAsia="Arial" w:hAnsi="Arial"/>
                <w:sz w:val="8"/>
                <w:szCs w:val="8"/>
                <w:color w:val="auto"/>
              </w:rPr>
              <w:t>24.6%</w:t>
            </w:r>
          </w:p>
        </w:tc>
      </w:tr>
      <w:tr>
        <w:trPr>
          <w:trHeight w:val="101"/>
        </w:trPr>
        <w:tc>
          <w:tcPr>
            <w:tcW w:w="4060" w:type="dxa"/>
            <w:vAlign w:val="bottom"/>
          </w:tcPr>
          <w:p>
            <w:pPr>
              <w:ind w:left="40"/>
              <w:spacing w:after="0" w:line="101" w:lineRule="exact"/>
              <w:rPr>
                <w:sz w:val="20"/>
                <w:szCs w:val="20"/>
                <w:color w:val="auto"/>
              </w:rPr>
            </w:pPr>
            <w:r>
              <w:rPr>
                <w:rFonts w:ascii="Arial" w:cs="Arial" w:eastAsia="Arial" w:hAnsi="Arial"/>
                <w:sz w:val="10"/>
                <w:szCs w:val="10"/>
                <w:color w:val="auto"/>
              </w:rPr>
              <w:t>Recoveries of written-off loans</w:t>
            </w:r>
          </w:p>
        </w:tc>
        <w:tc>
          <w:tcPr>
            <w:tcW w:w="800" w:type="dxa"/>
            <w:vAlign w:val="bottom"/>
          </w:tcPr>
          <w:p>
            <w:pPr>
              <w:jc w:val="center"/>
              <w:spacing w:after="0" w:line="101" w:lineRule="exact"/>
              <w:rPr>
                <w:sz w:val="20"/>
                <w:szCs w:val="20"/>
                <w:color w:val="auto"/>
              </w:rPr>
            </w:pPr>
            <w:r>
              <w:rPr>
                <w:rFonts w:ascii="Arial" w:cs="Arial" w:eastAsia="Arial" w:hAnsi="Arial"/>
                <w:sz w:val="10"/>
                <w:szCs w:val="10"/>
                <w:color w:val="auto"/>
                <w:w w:val="97"/>
              </w:rPr>
              <w:t>81,872</w:t>
            </w:r>
          </w:p>
        </w:tc>
        <w:tc>
          <w:tcPr>
            <w:tcW w:w="760" w:type="dxa"/>
            <w:vAlign w:val="bottom"/>
          </w:tcPr>
          <w:p>
            <w:pPr>
              <w:jc w:val="center"/>
              <w:spacing w:after="0" w:line="101" w:lineRule="exact"/>
              <w:rPr>
                <w:sz w:val="20"/>
                <w:szCs w:val="20"/>
                <w:color w:val="auto"/>
              </w:rPr>
            </w:pPr>
            <w:r>
              <w:rPr>
                <w:rFonts w:ascii="Arial" w:cs="Arial" w:eastAsia="Arial" w:hAnsi="Arial"/>
                <w:sz w:val="10"/>
                <w:szCs w:val="10"/>
                <w:color w:val="auto"/>
                <w:w w:val="91"/>
              </w:rPr>
              <w:t>95,490</w:t>
            </w:r>
          </w:p>
        </w:tc>
        <w:tc>
          <w:tcPr>
            <w:tcW w:w="840" w:type="dxa"/>
            <w:vAlign w:val="bottom"/>
          </w:tcPr>
          <w:p>
            <w:pPr>
              <w:jc w:val="center"/>
              <w:spacing w:after="0" w:line="101" w:lineRule="exact"/>
              <w:rPr>
                <w:sz w:val="20"/>
                <w:szCs w:val="20"/>
                <w:color w:val="auto"/>
              </w:rPr>
            </w:pPr>
            <w:r>
              <w:rPr>
                <w:rFonts w:ascii="Arial" w:cs="Arial" w:eastAsia="Arial" w:hAnsi="Arial"/>
                <w:sz w:val="10"/>
                <w:szCs w:val="10"/>
                <w:color w:val="auto"/>
                <w:w w:val="99"/>
              </w:rPr>
              <w:t>100,177</w:t>
            </w:r>
          </w:p>
        </w:tc>
        <w:tc>
          <w:tcPr>
            <w:tcW w:w="520" w:type="dxa"/>
            <w:vAlign w:val="bottom"/>
          </w:tcPr>
          <w:p>
            <w:pPr>
              <w:jc w:val="center"/>
              <w:ind w:left="133"/>
              <w:spacing w:after="0" w:line="101" w:lineRule="exact"/>
              <w:rPr>
                <w:sz w:val="20"/>
                <w:szCs w:val="20"/>
                <w:color w:val="auto"/>
              </w:rPr>
            </w:pPr>
            <w:r>
              <w:rPr>
                <w:rFonts w:ascii="Arial" w:cs="Arial" w:eastAsia="Arial" w:hAnsi="Arial"/>
                <w:sz w:val="10"/>
                <w:szCs w:val="10"/>
                <w:color w:val="auto"/>
                <w:w w:val="96"/>
              </w:rPr>
              <w:t>4.9%</w:t>
            </w:r>
          </w:p>
        </w:tc>
        <w:tc>
          <w:tcPr>
            <w:tcW w:w="960" w:type="dxa"/>
            <w:vAlign w:val="bottom"/>
          </w:tcPr>
          <w:p>
            <w:pPr>
              <w:jc w:val="center"/>
              <w:ind w:left="234"/>
              <w:spacing w:after="0" w:line="101" w:lineRule="exact"/>
              <w:rPr>
                <w:sz w:val="20"/>
                <w:szCs w:val="20"/>
                <w:color w:val="auto"/>
              </w:rPr>
            </w:pPr>
            <w:r>
              <w:rPr>
                <w:rFonts w:ascii="Arial" w:cs="Arial" w:eastAsia="Arial" w:hAnsi="Arial"/>
                <w:sz w:val="10"/>
                <w:szCs w:val="10"/>
                <w:color w:val="auto"/>
                <w:w w:val="98"/>
              </w:rPr>
              <w:t>22.4%</w:t>
            </w:r>
          </w:p>
        </w:tc>
        <w:tc>
          <w:tcPr>
            <w:tcW w:w="720" w:type="dxa"/>
            <w:vAlign w:val="bottom"/>
          </w:tcPr>
          <w:p>
            <w:pPr>
              <w:jc w:val="center"/>
              <w:ind w:left="153"/>
              <w:spacing w:after="0" w:line="101" w:lineRule="exact"/>
              <w:rPr>
                <w:sz w:val="20"/>
                <w:szCs w:val="20"/>
                <w:color w:val="auto"/>
              </w:rPr>
            </w:pPr>
            <w:r>
              <w:rPr>
                <w:rFonts w:ascii="Arial" w:cs="Arial" w:eastAsia="Arial" w:hAnsi="Arial"/>
                <w:sz w:val="10"/>
                <w:szCs w:val="10"/>
                <w:color w:val="auto"/>
                <w:w w:val="99"/>
              </w:rPr>
              <w:t>156,981</w:t>
            </w:r>
          </w:p>
        </w:tc>
        <w:tc>
          <w:tcPr>
            <w:tcW w:w="920" w:type="dxa"/>
            <w:vAlign w:val="bottom"/>
          </w:tcPr>
          <w:p>
            <w:pPr>
              <w:jc w:val="center"/>
              <w:ind w:left="94"/>
              <w:spacing w:after="0" w:line="101" w:lineRule="exact"/>
              <w:rPr>
                <w:sz w:val="20"/>
                <w:szCs w:val="20"/>
                <w:color w:val="auto"/>
              </w:rPr>
            </w:pPr>
            <w:r>
              <w:rPr>
                <w:rFonts w:ascii="Arial" w:cs="Arial" w:eastAsia="Arial" w:hAnsi="Arial"/>
                <w:sz w:val="10"/>
                <w:szCs w:val="10"/>
                <w:color w:val="auto"/>
                <w:w w:val="93"/>
              </w:rPr>
              <w:t>195,667</w:t>
            </w:r>
          </w:p>
        </w:tc>
        <w:tc>
          <w:tcPr>
            <w:tcW w:w="800" w:type="dxa"/>
            <w:vAlign w:val="bottom"/>
          </w:tcPr>
          <w:p>
            <w:pPr>
              <w:jc w:val="center"/>
              <w:spacing w:after="0" w:line="101" w:lineRule="exact"/>
              <w:rPr>
                <w:sz w:val="20"/>
                <w:szCs w:val="20"/>
                <w:color w:val="auto"/>
              </w:rPr>
            </w:pPr>
            <w:r>
              <w:rPr>
                <w:rFonts w:ascii="Arial" w:cs="Arial" w:eastAsia="Arial" w:hAnsi="Arial"/>
                <w:sz w:val="10"/>
                <w:szCs w:val="10"/>
                <w:color w:val="auto"/>
                <w:w w:val="98"/>
              </w:rPr>
              <w:t>24.6%</w:t>
            </w:r>
          </w:p>
        </w:tc>
      </w:tr>
      <w:tr>
        <w:trPr>
          <w:trHeight w:val="117"/>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rPr>
              <w:t>Provision for credit losses on loan portfolio, net of recoveries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(804,251)</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(814,699)</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(1,093,371)</w:t>
            </w:r>
          </w:p>
        </w:tc>
        <w:tc>
          <w:tcPr>
            <w:tcW w:w="520" w:type="dxa"/>
            <w:vAlign w:val="bottom"/>
            <w:tcBorders>
              <w:bottom w:val="single" w:sz="8" w:color="auto"/>
            </w:tcBorders>
          </w:tcPr>
          <w:p>
            <w:pPr>
              <w:jc w:val="center"/>
              <w:ind w:left="153"/>
              <w:spacing w:after="0"/>
              <w:rPr>
                <w:sz w:val="20"/>
                <w:szCs w:val="20"/>
                <w:color w:val="auto"/>
              </w:rPr>
            </w:pPr>
            <w:r>
              <w:rPr>
                <w:rFonts w:ascii="Arial" w:cs="Arial" w:eastAsia="Arial" w:hAnsi="Arial"/>
                <w:sz w:val="10"/>
                <w:szCs w:val="10"/>
                <w:b w:val="1"/>
                <w:bCs w:val="1"/>
                <w:color w:val="auto"/>
                <w:w w:val="98"/>
              </w:rPr>
              <w:t>34.2%</w:t>
            </w:r>
          </w:p>
        </w:tc>
        <w:tc>
          <w:tcPr>
            <w:tcW w:w="960" w:type="dxa"/>
            <w:vAlign w:val="bottom"/>
            <w:tcBorders>
              <w:bottom w:val="single" w:sz="8" w:color="auto"/>
            </w:tcBorders>
          </w:tcPr>
          <w:p>
            <w:pPr>
              <w:jc w:val="center"/>
              <w:ind w:left="234"/>
              <w:spacing w:after="0"/>
              <w:rPr>
                <w:sz w:val="20"/>
                <w:szCs w:val="20"/>
                <w:color w:val="auto"/>
              </w:rPr>
            </w:pPr>
            <w:r>
              <w:rPr>
                <w:rFonts w:ascii="Arial" w:cs="Arial" w:eastAsia="Arial" w:hAnsi="Arial"/>
                <w:sz w:val="10"/>
                <w:szCs w:val="10"/>
                <w:b w:val="1"/>
                <w:bCs w:val="1"/>
                <w:color w:val="auto"/>
                <w:w w:val="98"/>
              </w:rPr>
              <w:t>35.9%</w:t>
            </w:r>
          </w:p>
        </w:tc>
        <w:tc>
          <w:tcPr>
            <w:tcW w:w="720" w:type="dxa"/>
            <w:vAlign w:val="bottom"/>
            <w:tcBorders>
              <w:bottom w:val="single" w:sz="8" w:color="auto"/>
            </w:tcBorders>
          </w:tcPr>
          <w:p>
            <w:pPr>
              <w:jc w:val="center"/>
              <w:ind w:left="153"/>
              <w:spacing w:after="0"/>
              <w:rPr>
                <w:sz w:val="20"/>
                <w:szCs w:val="20"/>
                <w:color w:val="auto"/>
              </w:rPr>
            </w:pPr>
            <w:r>
              <w:rPr>
                <w:rFonts w:ascii="Arial" w:cs="Arial" w:eastAsia="Arial" w:hAnsi="Arial"/>
                <w:sz w:val="10"/>
                <w:szCs w:val="10"/>
                <w:b w:val="1"/>
                <w:bCs w:val="1"/>
                <w:color w:val="auto"/>
                <w:w w:val="93"/>
              </w:rPr>
              <w:t>(1,531,249)</w:t>
            </w:r>
          </w:p>
        </w:tc>
        <w:tc>
          <w:tcPr>
            <w:tcW w:w="920" w:type="dxa"/>
            <w:vAlign w:val="bottom"/>
            <w:tcBorders>
              <w:bottom w:val="single" w:sz="8" w:color="auto"/>
            </w:tcBorders>
          </w:tcPr>
          <w:p>
            <w:pPr>
              <w:jc w:val="center"/>
              <w:ind w:left="94"/>
              <w:spacing w:after="0"/>
              <w:rPr>
                <w:sz w:val="20"/>
                <w:szCs w:val="20"/>
                <w:color w:val="auto"/>
              </w:rPr>
            </w:pPr>
            <w:r>
              <w:rPr>
                <w:rFonts w:ascii="Arial" w:cs="Arial" w:eastAsia="Arial" w:hAnsi="Arial"/>
                <w:sz w:val="10"/>
                <w:szCs w:val="10"/>
                <w:b w:val="1"/>
                <w:bCs w:val="1"/>
                <w:color w:val="auto"/>
                <w:w w:val="97"/>
              </w:rPr>
              <w:t>(1,908,070)</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24.6%</w:t>
            </w:r>
          </w:p>
        </w:tc>
      </w:tr>
      <w:tr>
        <w:trPr>
          <w:trHeight w:val="99"/>
        </w:trPr>
        <w:tc>
          <w:tcPr>
            <w:tcW w:w="4060" w:type="dxa"/>
            <w:vAlign w:val="bottom"/>
          </w:tcPr>
          <w:p>
            <w:pPr>
              <w:ind w:left="40"/>
              <w:spacing w:after="0" w:line="99" w:lineRule="exact"/>
              <w:rPr>
                <w:sz w:val="20"/>
                <w:szCs w:val="20"/>
                <w:color w:val="auto"/>
              </w:rPr>
            </w:pPr>
            <w:r>
              <w:rPr>
                <w:rFonts w:ascii="Arial" w:cs="Arial" w:eastAsia="Arial" w:hAnsi="Arial"/>
                <w:sz w:val="10"/>
                <w:szCs w:val="10"/>
                <w:color w:val="auto"/>
              </w:rPr>
              <w:t>Cost of risk (1)</w:t>
            </w:r>
          </w:p>
        </w:tc>
        <w:tc>
          <w:tcPr>
            <w:tcW w:w="800" w:type="dxa"/>
            <w:vAlign w:val="bottom"/>
          </w:tcPr>
          <w:p>
            <w:pPr>
              <w:jc w:val="center"/>
              <w:spacing w:after="0" w:line="99" w:lineRule="exact"/>
              <w:rPr>
                <w:sz w:val="20"/>
                <w:szCs w:val="20"/>
                <w:color w:val="auto"/>
              </w:rPr>
            </w:pPr>
            <w:r>
              <w:rPr>
                <w:rFonts w:ascii="Arial" w:cs="Arial" w:eastAsia="Arial" w:hAnsi="Arial"/>
                <w:sz w:val="10"/>
                <w:szCs w:val="10"/>
                <w:color w:val="auto"/>
                <w:w w:val="96"/>
              </w:rPr>
              <w:t>2.2%</w:t>
            </w:r>
          </w:p>
        </w:tc>
        <w:tc>
          <w:tcPr>
            <w:tcW w:w="760" w:type="dxa"/>
            <w:vAlign w:val="bottom"/>
          </w:tcPr>
          <w:p>
            <w:pPr>
              <w:jc w:val="center"/>
              <w:spacing w:after="0" w:line="99" w:lineRule="exact"/>
              <w:rPr>
                <w:sz w:val="20"/>
                <w:szCs w:val="20"/>
                <w:color w:val="auto"/>
              </w:rPr>
            </w:pPr>
            <w:r>
              <w:rPr>
                <w:rFonts w:ascii="Arial" w:cs="Arial" w:eastAsia="Arial" w:hAnsi="Arial"/>
                <w:sz w:val="10"/>
                <w:szCs w:val="10"/>
                <w:color w:val="auto"/>
                <w:w w:val="96"/>
              </w:rPr>
              <w:t>2.3%</w:t>
            </w:r>
          </w:p>
        </w:tc>
        <w:tc>
          <w:tcPr>
            <w:tcW w:w="840" w:type="dxa"/>
            <w:vAlign w:val="bottom"/>
          </w:tcPr>
          <w:p>
            <w:pPr>
              <w:jc w:val="center"/>
              <w:spacing w:after="0" w:line="99" w:lineRule="exact"/>
              <w:rPr>
                <w:sz w:val="20"/>
                <w:szCs w:val="20"/>
                <w:color w:val="auto"/>
              </w:rPr>
            </w:pPr>
            <w:r>
              <w:rPr>
                <w:rFonts w:ascii="Arial" w:cs="Arial" w:eastAsia="Arial" w:hAnsi="Arial"/>
                <w:sz w:val="10"/>
                <w:szCs w:val="10"/>
                <w:color w:val="auto"/>
                <w:w w:val="96"/>
              </w:rPr>
              <w:t>3.0%</w:t>
            </w:r>
          </w:p>
        </w:tc>
        <w:tc>
          <w:tcPr>
            <w:tcW w:w="520" w:type="dxa"/>
            <w:vAlign w:val="bottom"/>
          </w:tcPr>
          <w:p>
            <w:pPr>
              <w:jc w:val="center"/>
              <w:ind w:left="153"/>
              <w:spacing w:after="0" w:line="99" w:lineRule="exact"/>
              <w:rPr>
                <w:sz w:val="20"/>
                <w:szCs w:val="20"/>
                <w:color w:val="auto"/>
              </w:rPr>
            </w:pPr>
            <w:r>
              <w:rPr>
                <w:rFonts w:ascii="Arial" w:cs="Arial" w:eastAsia="Arial" w:hAnsi="Arial"/>
                <w:sz w:val="10"/>
                <w:szCs w:val="10"/>
                <w:color w:val="auto"/>
                <w:w w:val="93"/>
              </w:rPr>
              <w:t>76 bps</w:t>
            </w:r>
          </w:p>
        </w:tc>
        <w:tc>
          <w:tcPr>
            <w:tcW w:w="960" w:type="dxa"/>
            <w:vAlign w:val="bottom"/>
          </w:tcPr>
          <w:p>
            <w:pPr>
              <w:jc w:val="center"/>
              <w:ind w:left="234"/>
              <w:spacing w:after="0" w:line="99" w:lineRule="exact"/>
              <w:rPr>
                <w:sz w:val="20"/>
                <w:szCs w:val="20"/>
                <w:color w:val="auto"/>
              </w:rPr>
            </w:pPr>
            <w:r>
              <w:rPr>
                <w:rFonts w:ascii="Arial" w:cs="Arial" w:eastAsia="Arial" w:hAnsi="Arial"/>
                <w:sz w:val="10"/>
                <w:szCs w:val="10"/>
                <w:color w:val="auto"/>
                <w:w w:val="93"/>
              </w:rPr>
              <w:t>81 bps</w:t>
            </w:r>
          </w:p>
        </w:tc>
        <w:tc>
          <w:tcPr>
            <w:tcW w:w="720" w:type="dxa"/>
            <w:vAlign w:val="bottom"/>
          </w:tcPr>
          <w:p>
            <w:pPr>
              <w:jc w:val="center"/>
              <w:ind w:left="133"/>
              <w:spacing w:after="0" w:line="99" w:lineRule="exact"/>
              <w:rPr>
                <w:sz w:val="20"/>
                <w:szCs w:val="20"/>
                <w:color w:val="auto"/>
              </w:rPr>
            </w:pPr>
            <w:r>
              <w:rPr>
                <w:rFonts w:ascii="Arial" w:cs="Arial" w:eastAsia="Arial" w:hAnsi="Arial"/>
                <w:sz w:val="10"/>
                <w:szCs w:val="10"/>
                <w:color w:val="auto"/>
                <w:w w:val="96"/>
              </w:rPr>
              <w:t>2.1%</w:t>
            </w:r>
          </w:p>
        </w:tc>
        <w:tc>
          <w:tcPr>
            <w:tcW w:w="920" w:type="dxa"/>
            <w:vAlign w:val="bottom"/>
          </w:tcPr>
          <w:p>
            <w:pPr>
              <w:jc w:val="center"/>
              <w:ind w:left="94"/>
              <w:spacing w:after="0" w:line="99" w:lineRule="exact"/>
              <w:rPr>
                <w:sz w:val="20"/>
                <w:szCs w:val="20"/>
                <w:color w:val="auto"/>
              </w:rPr>
            </w:pPr>
            <w:r>
              <w:rPr>
                <w:rFonts w:ascii="Arial" w:cs="Arial" w:eastAsia="Arial" w:hAnsi="Arial"/>
                <w:sz w:val="10"/>
                <w:szCs w:val="10"/>
                <w:color w:val="auto"/>
                <w:w w:val="96"/>
              </w:rPr>
              <w:t>2.6%</w:t>
            </w:r>
          </w:p>
        </w:tc>
        <w:tc>
          <w:tcPr>
            <w:tcW w:w="800" w:type="dxa"/>
            <w:vAlign w:val="bottom"/>
          </w:tcPr>
          <w:p>
            <w:pPr>
              <w:jc w:val="center"/>
              <w:spacing w:after="0" w:line="99" w:lineRule="exact"/>
              <w:rPr>
                <w:sz w:val="20"/>
                <w:szCs w:val="20"/>
                <w:color w:val="auto"/>
              </w:rPr>
            </w:pPr>
            <w:r>
              <w:rPr>
                <w:rFonts w:ascii="Arial" w:cs="Arial" w:eastAsia="Arial" w:hAnsi="Arial"/>
                <w:sz w:val="10"/>
                <w:szCs w:val="10"/>
                <w:color w:val="auto"/>
                <w:w w:val="93"/>
              </w:rPr>
              <w:t>51 bps</w:t>
            </w:r>
          </w:p>
        </w:tc>
      </w:tr>
    </w:tbl>
    <w:p>
      <w:pPr>
        <w:ind w:left="140"/>
        <w:spacing w:after="0"/>
        <w:rPr>
          <w:sz w:val="20"/>
          <w:szCs w:val="20"/>
          <w:color w:val="auto"/>
        </w:rPr>
      </w:pPr>
      <w:r>
        <w:rPr>
          <w:rFonts w:ascii="Arial" w:cs="Arial" w:eastAsia="Arial" w:hAnsi="Arial"/>
          <w:sz w:val="10"/>
          <w:szCs w:val="10"/>
          <w:color w:val="auto"/>
        </w:rPr>
        <w:t>(1) Provisions for credit losses on loan portfolio, net of annualized recoveries / Average Total Loans. Provisions include the impact of the “El Niño” Phenomenon.</w:t>
      </w:r>
    </w:p>
    <w:p>
      <w:pPr>
        <w:spacing w:after="0" w:line="144" w:lineRule="exact"/>
        <w:rPr>
          <w:sz w:val="20"/>
          <w:szCs w:val="20"/>
          <w:color w:val="auto"/>
        </w:rPr>
      </w:pPr>
    </w:p>
    <w:p>
      <w:pPr>
        <w:jc w:val="both"/>
        <w:ind w:left="120"/>
        <w:spacing w:after="0" w:line="267" w:lineRule="auto"/>
        <w:rPr>
          <w:sz w:val="20"/>
          <w:szCs w:val="20"/>
          <w:color w:val="auto"/>
        </w:rPr>
      </w:pPr>
      <w:r>
        <w:rPr>
          <w:rFonts w:ascii="Arial" w:cs="Arial" w:eastAsia="Arial" w:hAnsi="Arial"/>
          <w:sz w:val="14"/>
          <w:szCs w:val="14"/>
          <w:color w:val="auto"/>
        </w:rPr>
        <w:t xml:space="preserve">This past quarter, provisions rose 34.2%, driven mainly by a reversal of provisions for El Niño Phenomenon in 1Q24 for approximately S/ 250 million. In this context, the Cost of Risk (CofR) stood at 3.0%. Next, we will isolate the impact of this reversion in the analysis quarterly, annual and </w:t>
      </w:r>
      <w:r>
        <w:rPr>
          <w:rFonts w:ascii="Arial" w:cs="Arial" w:eastAsia="Arial" w:hAnsi="Arial"/>
          <w:sz w:val="14"/>
          <w:szCs w:val="14"/>
          <w:b w:val="1"/>
          <w:bCs w:val="1"/>
          <w:color w:val="auto"/>
        </w:rPr>
        <w:t>YTD</w:t>
      </w:r>
      <w:r>
        <w:rPr>
          <w:rFonts w:ascii="Arial" w:cs="Arial" w:eastAsia="Arial" w:hAnsi="Arial"/>
          <w:sz w:val="14"/>
          <w:szCs w:val="14"/>
          <w:color w:val="auto"/>
        </w:rPr>
        <w:t xml:space="preserve"> provision dynamics.</w:t>
      </w:r>
    </w:p>
    <w:p>
      <w:pPr>
        <w:spacing w:after="0" w:line="103" w:lineRule="exact"/>
        <w:rPr>
          <w:sz w:val="20"/>
          <w:szCs w:val="20"/>
          <w:color w:val="auto"/>
        </w:rPr>
      </w:pPr>
    </w:p>
    <w:p>
      <w:pPr>
        <w:jc w:val="both"/>
        <w:ind w:left="120"/>
        <w:spacing w:after="0" w:line="235" w:lineRule="auto"/>
        <w:rPr>
          <w:sz w:val="20"/>
          <w:szCs w:val="20"/>
          <w:color w:val="auto"/>
        </w:rPr>
      </w:pPr>
      <w:r>
        <w:rPr>
          <w:rFonts w:ascii="Arial" w:cs="Arial" w:eastAsia="Arial" w:hAnsi="Arial"/>
          <w:sz w:val="14"/>
          <w:szCs w:val="14"/>
          <w:b w:val="1"/>
          <w:bCs w:val="1"/>
          <w:color w:val="auto"/>
        </w:rPr>
        <w:t>QoQ</w:t>
      </w:r>
      <w:r>
        <w:rPr>
          <w:rFonts w:ascii="Arial" w:cs="Arial" w:eastAsia="Arial" w:hAnsi="Arial"/>
          <w:sz w:val="14"/>
          <w:szCs w:val="14"/>
          <w:color w:val="auto"/>
        </w:rPr>
        <w:t>, provisions increased 2.4%, fueled mainly by</w:t>
      </w:r>
      <w:r>
        <w:rPr>
          <w:rFonts w:ascii="Arial" w:cs="Arial" w:eastAsia="Arial" w:hAnsi="Arial"/>
          <w:sz w:val="14"/>
          <w:szCs w:val="14"/>
          <w:b w:val="1"/>
          <w:bCs w:val="1"/>
          <w:color w:val="auto"/>
        </w:rPr>
        <w:t xml:space="preserve"> Mibanco </w:t>
      </w:r>
      <w:r>
        <w:rPr>
          <w:rFonts w:ascii="Arial" w:cs="Arial" w:eastAsia="Arial" w:hAnsi="Arial"/>
          <w:sz w:val="14"/>
          <w:szCs w:val="14"/>
          <w:color w:val="auto"/>
        </w:rPr>
        <w:t>and partially offset by</w:t>
      </w:r>
      <w:r>
        <w:rPr>
          <w:rFonts w:ascii="Arial" w:cs="Arial" w:eastAsia="Arial" w:hAnsi="Arial"/>
          <w:sz w:val="14"/>
          <w:szCs w:val="14"/>
          <w:b w:val="1"/>
          <w:bCs w:val="1"/>
          <w:color w:val="auto"/>
        </w:rPr>
        <w:t xml:space="preserve"> BCP Stand-alone. </w:t>
      </w:r>
      <w:r>
        <w:rPr>
          <w:rFonts w:ascii="Arial" w:cs="Arial" w:eastAsia="Arial" w:hAnsi="Arial"/>
          <w:sz w:val="14"/>
          <w:szCs w:val="14"/>
          <w:color w:val="auto"/>
        </w:rPr>
        <w:t>At</w:t>
      </w:r>
      <w:r>
        <w:rPr>
          <w:rFonts w:ascii="Arial" w:cs="Arial" w:eastAsia="Arial" w:hAnsi="Arial"/>
          <w:sz w:val="14"/>
          <w:szCs w:val="14"/>
          <w:b w:val="1"/>
          <w:bCs w:val="1"/>
          <w:color w:val="auto"/>
        </w:rPr>
        <w:t xml:space="preserve"> Mibanco, </w:t>
      </w:r>
      <w:r>
        <w:rPr>
          <w:rFonts w:ascii="Arial" w:cs="Arial" w:eastAsia="Arial" w:hAnsi="Arial"/>
          <w:sz w:val="14"/>
          <w:szCs w:val="14"/>
          <w:color w:val="auto"/>
        </w:rPr>
        <w:t>growth in provisions was driven primarily by further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deterioration in payment performance of old vintages concentrated in higher-ticket loans; higher write-offs; and by weakening in the payment capacities of vulnerable clients. At </w:t>
      </w:r>
      <w:r>
        <w:rPr>
          <w:rFonts w:ascii="Arial" w:cs="Arial" w:eastAsia="Arial" w:hAnsi="Arial"/>
          <w:sz w:val="14"/>
          <w:szCs w:val="14"/>
          <w:b w:val="1"/>
          <w:bCs w:val="1"/>
          <w:color w:val="auto"/>
        </w:rPr>
        <w:t>BCP Stand-alone,</w:t>
      </w:r>
      <w:r>
        <w:rPr>
          <w:rFonts w:ascii="Arial" w:cs="Arial" w:eastAsia="Arial" w:hAnsi="Arial"/>
          <w:sz w:val="14"/>
          <w:szCs w:val="14"/>
          <w:color w:val="auto"/>
        </w:rPr>
        <w:t xml:space="preserve"> the drop in provisions was triggered mainly by </w:t>
      </w:r>
      <w:r>
        <w:rPr>
          <w:rFonts w:ascii="Arial" w:cs="Arial" w:eastAsia="Arial" w:hAnsi="Arial"/>
          <w:sz w:val="14"/>
          <w:szCs w:val="14"/>
          <w:b w:val="1"/>
          <w:bCs w:val="1"/>
          <w:color w:val="auto"/>
        </w:rPr>
        <w:t>Consumer,</w:t>
      </w:r>
      <w:r>
        <w:rPr>
          <w:rFonts w:ascii="Arial" w:cs="Arial" w:eastAsia="Arial" w:hAnsi="Arial"/>
          <w:sz w:val="14"/>
          <w:szCs w:val="14"/>
          <w:color w:val="auto"/>
        </w:rPr>
        <w:t xml:space="preserve"> which reported a reduction in refinancing </w:t>
      </w:r>
      <w:r>
        <w:rPr>
          <w:rFonts w:ascii="Arial" w:cs="Arial" w:eastAsia="Arial" w:hAnsi="Arial"/>
          <w:sz w:val="14"/>
          <w:szCs w:val="14"/>
          <w:b w:val="1"/>
          <w:bCs w:val="1"/>
          <w:color w:val="auto"/>
        </w:rPr>
        <w:t>QoQ</w:t>
      </w:r>
      <w:r>
        <w:rPr>
          <w:rFonts w:ascii="Arial" w:cs="Arial" w:eastAsia="Arial" w:hAnsi="Arial"/>
          <w:sz w:val="14"/>
          <w:szCs w:val="14"/>
          <w:color w:val="auto"/>
        </w:rPr>
        <w:t xml:space="preserve">, and by </w:t>
      </w:r>
      <w:r>
        <w:rPr>
          <w:rFonts w:ascii="Arial" w:cs="Arial" w:eastAsia="Arial" w:hAnsi="Arial"/>
          <w:sz w:val="14"/>
          <w:szCs w:val="14"/>
          <w:b w:val="1"/>
          <w:bCs w:val="1"/>
          <w:color w:val="auto"/>
        </w:rPr>
        <w:t>Mortgage</w:t>
      </w:r>
      <w:r>
        <w:rPr>
          <w:rFonts w:ascii="Arial" w:cs="Arial" w:eastAsia="Arial" w:hAnsi="Arial"/>
          <w:sz w:val="14"/>
          <w:szCs w:val="14"/>
          <w:color w:val="auto"/>
        </w:rPr>
        <w:t xml:space="preserve">, which exhibited a strengthening in client payment capacity through a decrease in the level of leverage observed. This evolution was partially offset by </w:t>
      </w:r>
      <w:r>
        <w:rPr>
          <w:rFonts w:ascii="Arial" w:cs="Arial" w:eastAsia="Arial" w:hAnsi="Arial"/>
          <w:sz w:val="14"/>
          <w:szCs w:val="14"/>
          <w:b w:val="1"/>
          <w:bCs w:val="1"/>
          <w:color w:val="auto"/>
        </w:rPr>
        <w:t>Wholesale,</w:t>
      </w:r>
      <w:r>
        <w:rPr>
          <w:rFonts w:ascii="Arial" w:cs="Arial" w:eastAsia="Arial" w:hAnsi="Arial"/>
          <w:sz w:val="14"/>
          <w:szCs w:val="14"/>
          <w:color w:val="auto"/>
        </w:rPr>
        <w:t xml:space="preserve"> due to the base effect generated by the fact that provisions reversals were higher in 1Q24, and by </w:t>
      </w:r>
      <w:r>
        <w:rPr>
          <w:rFonts w:ascii="Arial" w:cs="Arial" w:eastAsia="Arial" w:hAnsi="Arial"/>
          <w:sz w:val="14"/>
          <w:szCs w:val="14"/>
          <w:b w:val="1"/>
          <w:bCs w:val="1"/>
          <w:color w:val="auto"/>
        </w:rPr>
        <w:t>Credit Cards</w:t>
      </w:r>
      <w:r>
        <w:rPr>
          <w:rFonts w:ascii="Arial" w:cs="Arial" w:eastAsia="Arial" w:hAnsi="Arial"/>
          <w:sz w:val="14"/>
          <w:szCs w:val="14"/>
          <w:color w:val="auto"/>
        </w:rPr>
        <w:t xml:space="preserve">, which were impacted by an uptick in deterioration in payment performance, mainly associated with vulnerable clients from vintages dating back more than 2 years. In this scenario and excluding the effect of El Niño provisions, CofR rose 5 bps </w:t>
      </w:r>
      <w:r>
        <w:rPr>
          <w:rFonts w:ascii="Arial" w:cs="Arial" w:eastAsia="Arial" w:hAnsi="Arial"/>
          <w:sz w:val="14"/>
          <w:szCs w:val="14"/>
          <w:b w:val="1"/>
          <w:bCs w:val="1"/>
          <w:color w:val="auto"/>
        </w:rPr>
        <w:t>QoQ</w:t>
      </w:r>
      <w:r>
        <w:rPr>
          <w:rFonts w:ascii="Arial" w:cs="Arial" w:eastAsia="Arial" w:hAnsi="Arial"/>
          <w:sz w:val="14"/>
          <w:szCs w:val="14"/>
          <w:color w:val="auto"/>
        </w:rPr>
        <w:t xml:space="preserve"> to stand at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621665</wp:posOffset>
            </wp:positionV>
            <wp:extent cx="7164705" cy="133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92075</wp:posOffset>
            </wp:positionV>
            <wp:extent cx="1502410" cy="44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222885</wp:posOffset>
            </wp:positionV>
            <wp:extent cx="1724025" cy="3136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724025" cy="313690"/>
                    </a:xfrm>
                    <a:prstGeom prst="rect">
                      <a:avLst/>
                    </a:prstGeom>
                    <a:noFill/>
                  </pic:spPr>
                </pic:pic>
              </a:graphicData>
            </a:graphic>
          </wp:anchor>
        </w:drawing>
      </w:r>
    </w:p>
    <w:p>
      <w:pPr>
        <w:sectPr>
          <w:pgSz w:w="11900" w:h="16838" w:orient="portrait"/>
          <w:cols w:equalWidth="0" w:num="1">
            <w:col w:w="10500"/>
          </w:cols>
          <w:pgMar w:left="640" w:top="287" w:right="759" w:bottom="1440" w:gutter="0" w:footer="0" w:header="0"/>
        </w:sectPr>
      </w:pPr>
    </w:p>
    <w:bookmarkStart w:id="32" w:name="page33"/>
    <w:bookmarkEnd w:id="32"/>
    <w:p>
      <w:pPr>
        <w:jc w:val="both"/>
        <w:ind w:left="2720"/>
        <w:spacing w:after="0"/>
        <w:tabs>
          <w:tab w:leader="none" w:pos="2920" w:val="left"/>
          <w:tab w:leader="none" w:pos="7880"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48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4705" cy="548640"/>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FFFFFF"/>
        </w:rPr>
        <w:t>05. Portfolio Quality and Provisions</w:t>
      </w:r>
    </w:p>
    <w:p>
      <w:pPr>
        <w:spacing w:after="0" w:line="159"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Cost of Risk by Subsidiary</w:t>
      </w:r>
      <w:r>
        <w:rPr>
          <w:rFonts w:ascii="Arial" w:cs="Arial" w:eastAsia="Arial" w:hAnsi="Arial"/>
          <w:sz w:val="22"/>
          <w:szCs w:val="22"/>
          <w:b w:val="1"/>
          <w:bCs w:val="1"/>
          <w:color w:val="auto"/>
          <w:vertAlign w:val="superscript"/>
        </w:rPr>
        <w:t>(1)</w:t>
      </w:r>
    </w:p>
    <w:p>
      <w:pPr>
        <w:jc w:val="both"/>
        <w:ind w:left="460" w:right="5740"/>
        <w:spacing w:after="0" w:line="232" w:lineRule="auto"/>
        <w:rPr>
          <w:sz w:val="20"/>
          <w:szCs w:val="20"/>
          <w:color w:val="auto"/>
        </w:rPr>
      </w:pPr>
      <w:r>
        <w:rPr>
          <w:rFonts w:ascii="Arial" w:cs="Arial" w:eastAsia="Arial" w:hAnsi="Arial"/>
          <w:sz w:val="14"/>
          <w:szCs w:val="14"/>
          <w:b w:val="1"/>
          <w:bCs w:val="1"/>
          <w:color w:val="auto"/>
        </w:rPr>
        <w:t xml:space="preserve">YoY, </w:t>
      </w:r>
      <w:r>
        <w:rPr>
          <w:rFonts w:ascii="Arial" w:cs="Arial" w:eastAsia="Arial" w:hAnsi="Arial"/>
          <w:sz w:val="14"/>
          <w:szCs w:val="14"/>
          <w:color w:val="auto"/>
        </w:rPr>
        <w:t>provisions increased 35.9%, driven by</w:t>
      </w:r>
      <w:r>
        <w:rPr>
          <w:rFonts w:ascii="Arial" w:cs="Arial" w:eastAsia="Arial" w:hAnsi="Arial"/>
          <w:sz w:val="14"/>
          <w:szCs w:val="14"/>
          <w:b w:val="1"/>
          <w:bCs w:val="1"/>
          <w:color w:val="auto"/>
        </w:rPr>
        <w:t xml:space="preserve"> BCP Stand-alone </w:t>
      </w:r>
      <w:r>
        <w:rPr>
          <w:rFonts w:ascii="Arial" w:cs="Arial" w:eastAsia="Arial" w:hAnsi="Arial"/>
          <w:sz w:val="14"/>
          <w:szCs w:val="14"/>
          <w:color w:val="auto"/>
        </w:rPr>
        <w:t>and</w:t>
      </w:r>
      <w:r>
        <w:rPr>
          <w:rFonts w:ascii="Arial" w:cs="Arial" w:eastAsia="Arial" w:hAnsi="Arial"/>
          <w:sz w:val="14"/>
          <w:szCs w:val="14"/>
          <w:b w:val="1"/>
          <w:bCs w:val="1"/>
          <w:color w:val="auto"/>
        </w:rPr>
        <w:t xml:space="preserve"> Mibanco</w:t>
      </w:r>
      <w:r>
        <w:rPr>
          <w:rFonts w:ascii="Arial" w:cs="Arial" w:eastAsia="Arial" w:hAnsi="Arial"/>
          <w:sz w:val="14"/>
          <w:szCs w:val="14"/>
          <w:color w:val="auto"/>
        </w:rPr>
        <w:t>. At</w:t>
      </w:r>
      <w:r>
        <w:rPr>
          <w:rFonts w:ascii="Arial" w:cs="Arial" w:eastAsia="Arial" w:hAnsi="Arial"/>
          <w:sz w:val="14"/>
          <w:szCs w:val="14"/>
          <w:b w:val="1"/>
          <w:bCs w:val="1"/>
          <w:color w:val="auto"/>
        </w:rPr>
        <w:t xml:space="preserve"> BCP Stand-alone, </w:t>
      </w:r>
      <w:r>
        <w:rPr>
          <w:rFonts w:ascii="Arial" w:cs="Arial" w:eastAsia="Arial" w:hAnsi="Arial"/>
          <w:sz w:val="14"/>
          <w:szCs w:val="14"/>
          <w:color w:val="auto"/>
        </w:rPr>
        <w:t>growth was led by (i)</w:t>
      </w:r>
      <w:r>
        <w:rPr>
          <w:rFonts w:ascii="Arial" w:cs="Arial" w:eastAsia="Arial" w:hAnsi="Arial"/>
          <w:sz w:val="14"/>
          <w:szCs w:val="14"/>
          <w:b w:val="1"/>
          <w:bCs w:val="1"/>
          <w:color w:val="auto"/>
        </w:rPr>
        <w:t xml:space="preserve"> SME-Pyme, </w:t>
      </w:r>
      <w:r>
        <w:rPr>
          <w:rFonts w:ascii="Arial" w:cs="Arial" w:eastAsia="Arial" w:hAnsi="Arial"/>
          <w:sz w:val="14"/>
          <w:szCs w:val="14"/>
          <w:color w:val="auto"/>
        </w:rPr>
        <w:t>driven by a weakening in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payment capacity of clients that already presented high leverage and by further deterioration in the payment behavior of old vintages from 4Q22 and 1H23, (ii) </w:t>
      </w:r>
      <w:r>
        <w:rPr>
          <w:rFonts w:ascii="Arial" w:cs="Arial" w:eastAsia="Arial" w:hAnsi="Arial"/>
          <w:sz w:val="14"/>
          <w:szCs w:val="14"/>
          <w:b w:val="1"/>
          <w:bCs w:val="1"/>
          <w:color w:val="auto"/>
        </w:rPr>
        <w:t>Credit Cards</w:t>
      </w:r>
      <w:r>
        <w:rPr>
          <w:rFonts w:ascii="Arial" w:cs="Arial" w:eastAsia="Arial" w:hAnsi="Arial"/>
          <w:sz w:val="14"/>
          <w:szCs w:val="14"/>
          <w:color w:val="auto"/>
        </w:rPr>
        <w:t>, due to the same dynamics as those seen QoQ; and (iii)</w:t>
      </w:r>
      <w:r>
        <w:rPr>
          <w:rFonts w:ascii="Arial" w:cs="Arial" w:eastAsia="Arial" w:hAnsi="Arial"/>
          <w:sz w:val="14"/>
          <w:szCs w:val="14"/>
          <w:b w:val="1"/>
          <w:bCs w:val="1"/>
          <w:color w:val="auto"/>
        </w:rPr>
        <w:t xml:space="preserve"> Mortgage</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due to a weakening in the payment capacities of clients who already registered delinquency in consumer products. Growth in provisions this quarter was partially offset by the drop in provisions in </w:t>
      </w:r>
      <w:r>
        <w:rPr>
          <w:rFonts w:ascii="Arial" w:cs="Arial" w:eastAsia="Arial" w:hAnsi="Arial"/>
          <w:sz w:val="14"/>
          <w:szCs w:val="14"/>
          <w:b w:val="1"/>
          <w:bCs w:val="1"/>
          <w:color w:val="auto"/>
        </w:rPr>
        <w:t>Consumer</w:t>
      </w:r>
      <w:r>
        <w:rPr>
          <w:rFonts w:ascii="Arial" w:cs="Arial" w:eastAsia="Arial" w:hAnsi="Arial"/>
          <w:sz w:val="14"/>
          <w:szCs w:val="14"/>
          <w:color w:val="auto"/>
        </w:rPr>
        <w:t xml:space="preserve">. At </w:t>
      </w:r>
      <w:r>
        <w:rPr>
          <w:rFonts w:ascii="Arial" w:cs="Arial" w:eastAsia="Arial" w:hAnsi="Arial"/>
          <w:sz w:val="14"/>
          <w:szCs w:val="14"/>
          <w:b w:val="1"/>
          <w:bCs w:val="1"/>
          <w:color w:val="auto"/>
        </w:rPr>
        <w:t>Mibanco,</w:t>
      </w:r>
      <w:r>
        <w:rPr>
          <w:rFonts w:ascii="Arial" w:cs="Arial" w:eastAsia="Arial" w:hAnsi="Arial"/>
          <w:sz w:val="14"/>
          <w:szCs w:val="14"/>
          <w:color w:val="auto"/>
        </w:rPr>
        <w:t xml:space="preserve"> the uptick in provisions was driven by the same dynamics in play QoQ. </w:t>
      </w:r>
      <w:r>
        <w:rPr>
          <w:rFonts w:ascii="Arial" w:cs="Arial" w:eastAsia="Arial" w:hAnsi="Arial"/>
          <w:sz w:val="14"/>
          <w:szCs w:val="14"/>
          <w:b w:val="1"/>
          <w:bCs w:val="1"/>
          <w:color w:val="auto"/>
        </w:rPr>
        <w:t>YTD</w:t>
      </w:r>
      <w:r>
        <w:rPr>
          <w:rFonts w:ascii="Arial" w:cs="Arial" w:eastAsia="Arial" w:hAnsi="Arial"/>
          <w:sz w:val="14"/>
          <w:szCs w:val="14"/>
          <w:color w:val="auto"/>
        </w:rPr>
        <w:t xml:space="preserve">, provisions rose 41.1%, fueled primarily by </w:t>
      </w:r>
      <w:r>
        <w:rPr>
          <w:rFonts w:ascii="Arial" w:cs="Arial" w:eastAsia="Arial" w:hAnsi="Arial"/>
          <w:sz w:val="14"/>
          <w:szCs w:val="14"/>
          <w:b w:val="1"/>
          <w:bCs w:val="1"/>
          <w:color w:val="auto"/>
        </w:rPr>
        <w:t>BCP Stand-alone</w:t>
      </w:r>
      <w:r>
        <w:rPr>
          <w:rFonts w:ascii="Arial" w:cs="Arial" w:eastAsia="Arial" w:hAnsi="Arial"/>
          <w:sz w:val="14"/>
          <w:szCs w:val="14"/>
          <w:color w:val="auto"/>
        </w:rPr>
        <w:t xml:space="preserve"> an </w:t>
      </w:r>
      <w:r>
        <w:rPr>
          <w:rFonts w:ascii="Arial" w:cs="Arial" w:eastAsia="Arial" w:hAnsi="Arial"/>
          <w:sz w:val="14"/>
          <w:szCs w:val="14"/>
          <w:b w:val="1"/>
          <w:bCs w:val="1"/>
          <w:color w:val="auto"/>
        </w:rPr>
        <w:t>Mibanco</w:t>
      </w:r>
      <w:r>
        <w:rPr>
          <w:rFonts w:ascii="Arial" w:cs="Arial" w:eastAsia="Arial" w:hAnsi="Arial"/>
          <w:sz w:val="14"/>
          <w:szCs w:val="14"/>
          <w:color w:val="auto"/>
        </w:rPr>
        <w:t xml:space="preserve">. This increase was driven by </w:t>
      </w:r>
      <w:r>
        <w:rPr>
          <w:rFonts w:ascii="Arial" w:cs="Arial" w:eastAsia="Arial" w:hAnsi="Arial"/>
          <w:sz w:val="14"/>
          <w:szCs w:val="14"/>
          <w:b w:val="1"/>
          <w:bCs w:val="1"/>
          <w:color w:val="auto"/>
        </w:rPr>
        <w:t>SME-Pyme</w:t>
      </w:r>
      <w:r>
        <w:rPr>
          <w:rFonts w:ascii="Arial" w:cs="Arial" w:eastAsia="Arial" w:hAnsi="Arial"/>
          <w:sz w:val="14"/>
          <w:szCs w:val="14"/>
          <w:color w:val="auto"/>
        </w:rPr>
        <w:t>,</w:t>
      </w:r>
      <w:r>
        <w:rPr>
          <w:rFonts w:ascii="Arial" w:cs="Arial" w:eastAsia="Arial" w:hAnsi="Arial"/>
          <w:sz w:val="14"/>
          <w:szCs w:val="14"/>
          <w:b w:val="1"/>
          <w:bCs w:val="1"/>
          <w:color w:val="auto"/>
        </w:rPr>
        <w:t xml:space="preserve"> Credit Cards </w:t>
      </w:r>
      <w:r>
        <w:rPr>
          <w:rFonts w:ascii="Arial" w:cs="Arial" w:eastAsia="Arial" w:hAnsi="Arial"/>
          <w:sz w:val="14"/>
          <w:szCs w:val="14"/>
          <w:color w:val="auto"/>
        </w:rPr>
        <w:t>and</w:t>
      </w:r>
      <w:r>
        <w:rPr>
          <w:rFonts w:ascii="Arial" w:cs="Arial" w:eastAsia="Arial" w:hAnsi="Arial"/>
          <w:sz w:val="14"/>
          <w:szCs w:val="14"/>
          <w:b w:val="1"/>
          <w:bCs w:val="1"/>
          <w:color w:val="auto"/>
        </w:rPr>
        <w:t xml:space="preserve"> Mortgage </w:t>
      </w:r>
      <w:r>
        <w:rPr>
          <w:rFonts w:ascii="Arial" w:cs="Arial" w:eastAsia="Arial" w:hAnsi="Arial"/>
          <w:sz w:val="14"/>
          <w:szCs w:val="14"/>
          <w:color w:val="auto"/>
        </w:rPr>
        <w:t>at</w:t>
      </w:r>
      <w:r>
        <w:rPr>
          <w:rFonts w:ascii="Arial" w:cs="Arial" w:eastAsia="Arial" w:hAnsi="Arial"/>
          <w:sz w:val="14"/>
          <w:szCs w:val="14"/>
          <w:b w:val="1"/>
          <w:bCs w:val="1"/>
          <w:color w:val="auto"/>
        </w:rPr>
        <w:t xml:space="preserve"> BCP Stand-alone </w:t>
      </w:r>
      <w:r>
        <w:rPr>
          <w:rFonts w:ascii="Arial" w:cs="Arial" w:eastAsia="Arial" w:hAnsi="Arial"/>
          <w:sz w:val="14"/>
          <w:szCs w:val="14"/>
          <w:color w:val="auto"/>
        </w:rPr>
        <w:t>and by</w:t>
      </w:r>
      <w:r>
        <w:rPr>
          <w:rFonts w:ascii="Arial" w:cs="Arial" w:eastAsia="Arial" w:hAnsi="Arial"/>
          <w:sz w:val="14"/>
          <w:szCs w:val="14"/>
          <w:b w:val="1"/>
          <w:bCs w:val="1"/>
          <w:color w:val="auto"/>
        </w:rPr>
        <w:t xml:space="preserve"> Mibanco</w:t>
      </w:r>
      <w:r>
        <w:rPr>
          <w:rFonts w:ascii="Arial" w:cs="Arial" w:eastAsia="Arial" w:hAnsi="Arial"/>
          <w:sz w:val="14"/>
          <w:szCs w:val="14"/>
          <w:color w:val="auto"/>
        </w:rPr>
        <w:t>, via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same dynamics that drove the </w:t>
      </w:r>
      <w:r>
        <w:rPr>
          <w:rFonts w:ascii="Arial" w:cs="Arial" w:eastAsia="Arial" w:hAnsi="Arial"/>
          <w:sz w:val="14"/>
          <w:szCs w:val="14"/>
          <w:b w:val="1"/>
          <w:bCs w:val="1"/>
          <w:color w:val="auto"/>
        </w:rPr>
        <w:t>YoY</w:t>
      </w:r>
      <w:r>
        <w:rPr>
          <w:rFonts w:ascii="Arial" w:cs="Arial" w:eastAsia="Arial" w:hAnsi="Arial"/>
          <w:sz w:val="14"/>
          <w:szCs w:val="14"/>
          <w:color w:val="auto"/>
        </w:rPr>
        <w:t xml:space="preserve">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4220845</wp:posOffset>
            </wp:positionH>
            <wp:positionV relativeFrom="paragraph">
              <wp:posOffset>-1151890</wp:posOffset>
            </wp:positionV>
            <wp:extent cx="2109470" cy="13652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09470" cy="1365250"/>
                    </a:xfrm>
                    <a:prstGeom prst="rect">
                      <a:avLst/>
                    </a:prstGeom>
                    <a:noFill/>
                  </pic:spPr>
                </pic:pic>
              </a:graphicData>
            </a:graphic>
          </wp:anchor>
        </w:drawing>
      </w:r>
    </w:p>
    <w:p>
      <w:pPr>
        <w:spacing w:after="0" w:line="301" w:lineRule="exact"/>
        <w:rPr>
          <w:sz w:val="20"/>
          <w:szCs w:val="20"/>
          <w:color w:val="auto"/>
        </w:rPr>
      </w:pPr>
    </w:p>
    <w:p>
      <w:pPr>
        <w:ind w:left="5760"/>
        <w:spacing w:after="0"/>
        <w:rPr>
          <w:sz w:val="20"/>
          <w:szCs w:val="20"/>
          <w:color w:val="auto"/>
        </w:rPr>
      </w:pPr>
      <w:r>
        <w:rPr>
          <w:rFonts w:ascii="Arial" w:cs="Arial" w:eastAsia="Arial" w:hAnsi="Arial"/>
          <w:sz w:val="10"/>
          <w:szCs w:val="10"/>
          <w:color w:val="auto"/>
        </w:rPr>
        <w:t>(1) It includes the impact of the “El Niño” Phenomenon”.</w:t>
      </w:r>
    </w:p>
    <w:p>
      <w:pPr>
        <w:ind w:left="460"/>
        <w:spacing w:after="0"/>
        <w:rPr>
          <w:sz w:val="20"/>
          <w:szCs w:val="20"/>
          <w:color w:val="auto"/>
        </w:rPr>
      </w:pPr>
      <w:r>
        <w:rPr>
          <w:rFonts w:ascii="Arial" w:cs="Arial" w:eastAsia="Arial" w:hAnsi="Arial"/>
          <w:sz w:val="14"/>
          <w:szCs w:val="14"/>
          <w:color w:val="auto"/>
        </w:rPr>
        <w:t xml:space="preserve">In this context, the CofR rose 81 bps </w:t>
      </w:r>
      <w:r>
        <w:rPr>
          <w:rFonts w:ascii="Arial" w:cs="Arial" w:eastAsia="Arial" w:hAnsi="Arial"/>
          <w:sz w:val="14"/>
          <w:szCs w:val="14"/>
          <w:b w:val="1"/>
          <w:bCs w:val="1"/>
          <w:color w:val="auto"/>
        </w:rPr>
        <w:t>YoY</w:t>
      </w:r>
      <w:r>
        <w:rPr>
          <w:rFonts w:ascii="Arial" w:cs="Arial" w:eastAsia="Arial" w:hAnsi="Arial"/>
          <w:sz w:val="14"/>
          <w:szCs w:val="14"/>
          <w:color w:val="auto"/>
        </w:rPr>
        <w:t xml:space="preserve"> to stand at 3.0%.</w:t>
      </w:r>
    </w:p>
    <w:p>
      <w:pPr>
        <w:spacing w:after="0" w:line="134" w:lineRule="exact"/>
        <w:rPr>
          <w:sz w:val="20"/>
          <w:szCs w:val="20"/>
          <w:color w:val="auto"/>
        </w:rPr>
      </w:pPr>
    </w:p>
    <w:p>
      <w:pPr>
        <w:ind w:left="1700"/>
        <w:spacing w:after="0"/>
        <w:tabs>
          <w:tab w:leader="none" w:pos="7020" w:val="left"/>
        </w:tabs>
        <w:rPr>
          <w:sz w:val="20"/>
          <w:szCs w:val="20"/>
          <w:color w:val="auto"/>
        </w:rPr>
      </w:pPr>
      <w:r>
        <w:rPr>
          <w:rFonts w:ascii="Arial" w:cs="Arial" w:eastAsia="Arial" w:hAnsi="Arial"/>
          <w:sz w:val="14"/>
          <w:szCs w:val="14"/>
          <w:b w:val="1"/>
          <w:bCs w:val="1"/>
          <w:color w:val="auto"/>
        </w:rPr>
        <w:t>QoQ Underlying Cost of Risk Evolution*</w:t>
      </w:r>
      <w:r>
        <w:rPr>
          <w:sz w:val="20"/>
          <w:szCs w:val="20"/>
          <w:color w:val="auto"/>
        </w:rPr>
        <w:tab/>
      </w:r>
      <w:r>
        <w:rPr>
          <w:rFonts w:ascii="Arial" w:cs="Arial" w:eastAsia="Arial" w:hAnsi="Arial"/>
          <w:sz w:val="13"/>
          <w:szCs w:val="13"/>
          <w:b w:val="1"/>
          <w:bCs w:val="1"/>
          <w:color w:val="auto"/>
        </w:rPr>
        <w:t>YoY Underlying Cost of Risk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850265</wp:posOffset>
            </wp:positionH>
            <wp:positionV relativeFrom="paragraph">
              <wp:posOffset>37465</wp:posOffset>
            </wp:positionV>
            <wp:extent cx="5480050" cy="7575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480050" cy="757555"/>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60"/>
        <w:spacing w:after="0"/>
        <w:rPr>
          <w:sz w:val="20"/>
          <w:szCs w:val="20"/>
          <w:color w:val="auto"/>
        </w:rPr>
      </w:pPr>
      <w:r>
        <w:rPr>
          <w:rFonts w:ascii="Arial" w:cs="Arial" w:eastAsia="Arial" w:hAnsi="Arial"/>
          <w:sz w:val="10"/>
          <w:szCs w:val="10"/>
          <w:color w:val="auto"/>
        </w:rPr>
        <w:t>(*) It excludes the reversals of provisions for “El Niño” Phenomenon.</w:t>
      </w:r>
    </w:p>
    <w:p>
      <w:pPr>
        <w:ind w:left="460"/>
        <w:spacing w:after="0"/>
        <w:rPr>
          <w:sz w:val="20"/>
          <w:szCs w:val="20"/>
          <w:color w:val="auto"/>
        </w:rPr>
      </w:pPr>
      <w:r>
        <w:rPr>
          <w:rFonts w:ascii="Arial" w:cs="Arial" w:eastAsia="Arial" w:hAnsi="Arial"/>
          <w:sz w:val="8"/>
          <w:szCs w:val="8"/>
          <w:color w:val="auto"/>
        </w:rPr>
        <w:t>(1) Others include BCP Bolivia, Mibanco Colombia, ASB and eliminations.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40" w:hanging="138"/>
        <w:spacing w:after="0"/>
        <w:tabs>
          <w:tab w:leader="none" w:pos="140" w:val="left"/>
        </w:tabs>
        <w:numPr>
          <w:ilvl w:val="0"/>
          <w:numId w:val="27"/>
        </w:numPr>
        <w:rPr>
          <w:rFonts w:ascii="Arial" w:cs="Arial" w:eastAsia="Arial" w:hAnsi="Arial"/>
          <w:sz w:val="8"/>
          <w:szCs w:val="8"/>
          <w:color w:val="auto"/>
        </w:rPr>
      </w:pPr>
      <w:r>
        <w:rPr>
          <w:rFonts w:ascii="Arial" w:cs="Arial" w:eastAsia="Arial" w:hAnsi="Arial"/>
          <w:sz w:val="8"/>
          <w:szCs w:val="8"/>
          <w:color w:val="auto"/>
        </w:rPr>
        <w:t>In the YoY view, no reversal of provisions was generated due to the “El Niño” Phenomenon.</w:t>
      </w:r>
    </w:p>
    <w:p>
      <w:pPr>
        <w:spacing w:after="0" w:line="18" w:lineRule="exact"/>
        <w:rPr>
          <w:rFonts w:ascii="Arial" w:cs="Arial" w:eastAsia="Arial" w:hAnsi="Arial"/>
          <w:sz w:val="8"/>
          <w:szCs w:val="8"/>
          <w:color w:val="auto"/>
        </w:rPr>
      </w:pPr>
    </w:p>
    <w:p>
      <w:pPr>
        <w:spacing w:after="0"/>
        <w:rPr>
          <w:rFonts w:ascii="Arial" w:cs="Arial" w:eastAsia="Arial" w:hAnsi="Arial"/>
          <w:sz w:val="8"/>
          <w:szCs w:val="8"/>
          <w:color w:val="auto"/>
        </w:rPr>
      </w:pPr>
      <w:r>
        <w:rPr>
          <w:rFonts w:ascii="Arial" w:cs="Arial" w:eastAsia="Arial" w:hAnsi="Arial"/>
          <w:sz w:val="10"/>
          <w:szCs w:val="10"/>
          <w:color w:val="auto"/>
        </w:rPr>
        <w:t>(1) Others include BCP Bolivia, Mibanco Colombia, ASB and eliminations.</w:t>
      </w:r>
    </w:p>
    <w:p>
      <w:pPr>
        <w:spacing w:after="0" w:line="132" w:lineRule="exact"/>
        <w:rPr>
          <w:sz w:val="20"/>
          <w:szCs w:val="20"/>
          <w:color w:val="auto"/>
        </w:rPr>
      </w:pPr>
    </w:p>
    <w:p>
      <w:pPr>
        <w:sectPr>
          <w:pgSz w:w="11900" w:h="16838" w:orient="portrait"/>
          <w:cols w:equalWidth="0" w:num="2">
            <w:col w:w="5040" w:space="720"/>
            <w:col w:w="5520"/>
          </w:cols>
          <w:pgMar w:left="300" w:top="287" w:right="31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YTD Underlying Cost of Risk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37465</wp:posOffset>
            </wp:positionV>
            <wp:extent cx="2331720" cy="914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331720" cy="91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560"/>
        <w:spacing w:after="0"/>
        <w:rPr>
          <w:sz w:val="20"/>
          <w:szCs w:val="20"/>
          <w:color w:val="auto"/>
        </w:rPr>
      </w:pPr>
      <w:r>
        <w:rPr>
          <w:rFonts w:ascii="Arial" w:cs="Arial" w:eastAsia="Arial" w:hAnsi="Arial"/>
          <w:sz w:val="10"/>
          <w:szCs w:val="10"/>
          <w:color w:val="auto"/>
        </w:rPr>
        <w:t>(*) It excludes the reversals of provisions for “El Niño” Phenomenon.</w:t>
      </w:r>
    </w:p>
    <w:p>
      <w:pPr>
        <w:ind w:left="2560"/>
        <w:spacing w:after="0"/>
        <w:rPr>
          <w:sz w:val="20"/>
          <w:szCs w:val="20"/>
          <w:color w:val="auto"/>
        </w:rPr>
      </w:pPr>
      <w:r>
        <w:rPr>
          <w:rFonts w:ascii="Arial" w:cs="Arial" w:eastAsia="Arial" w:hAnsi="Arial"/>
          <w:sz w:val="10"/>
          <w:szCs w:val="10"/>
          <w:color w:val="auto"/>
        </w:rPr>
        <w:t>(1) Others include BCP Bolivia, Mibanco Colombia, ASB and eliminations.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Coverage Ratio of NPLs (in Quarter-end balances)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480" w:type="dxa"/>
            <w:vAlign w:val="bottom"/>
            <w:tcBorders>
              <w:right w:val="single" w:sz="8" w:color="auto"/>
            </w:tcBorders>
          </w:tcPr>
          <w:p>
            <w:pPr>
              <w:spacing w:after="0"/>
              <w:rPr>
                <w:sz w:val="9"/>
                <w:szCs w:val="9"/>
                <w:color w:val="auto"/>
              </w:rPr>
            </w:pPr>
          </w:p>
        </w:tc>
        <w:tc>
          <w:tcPr>
            <w:tcW w:w="4180" w:type="dxa"/>
            <w:vAlign w:val="bottom"/>
            <w:tcBorders>
              <w:top w:val="single" w:sz="8" w:color="auto"/>
              <w:right w:val="single" w:sz="8" w:color="auto"/>
            </w:tcBorders>
            <w:shd w:val="clear" w:color="auto" w:fill="2AD2C9"/>
          </w:tcPr>
          <w:p>
            <w:pPr>
              <w:ind w:left="20"/>
              <w:spacing w:after="0" w:line="114" w:lineRule="exact"/>
              <w:rPr>
                <w:sz w:val="20"/>
                <w:szCs w:val="20"/>
                <w:color w:val="auto"/>
              </w:rPr>
            </w:pPr>
            <w:r>
              <w:rPr>
                <w:rFonts w:ascii="Arial" w:cs="Arial" w:eastAsia="Arial" w:hAnsi="Arial"/>
                <w:sz w:val="11"/>
                <w:szCs w:val="11"/>
                <w:b w:val="1"/>
                <w:bCs w:val="1"/>
                <w:color w:val="FFFFFF"/>
              </w:rPr>
              <w:t>Loan Portfolio Quality and Delinquency Ratios</w:t>
            </w:r>
          </w:p>
        </w:tc>
        <w:tc>
          <w:tcPr>
            <w:tcW w:w="1200" w:type="dxa"/>
            <w:vAlign w:val="bottom"/>
            <w:tcBorders>
              <w:top w:val="single" w:sz="8" w:color="auto"/>
            </w:tcBorders>
            <w:shd w:val="clear" w:color="auto" w:fill="2AD2C9"/>
          </w:tcPr>
          <w:p>
            <w:pPr>
              <w:spacing w:after="0"/>
              <w:rPr>
                <w:sz w:val="9"/>
                <w:szCs w:val="9"/>
                <w:color w:val="auto"/>
              </w:rPr>
            </w:pPr>
          </w:p>
        </w:tc>
        <w:tc>
          <w:tcPr>
            <w:tcW w:w="1240" w:type="dxa"/>
            <w:vAlign w:val="bottom"/>
            <w:tcBorders>
              <w:top w:val="single" w:sz="8" w:color="auto"/>
            </w:tcBorders>
            <w:shd w:val="clear" w:color="auto" w:fill="2AD2C9"/>
          </w:tcPr>
          <w:p>
            <w:pPr>
              <w:jc w:val="center"/>
              <w:spacing w:after="0" w:line="114" w:lineRule="exact"/>
              <w:rPr>
                <w:sz w:val="20"/>
                <w:szCs w:val="20"/>
                <w:color w:val="auto"/>
              </w:rPr>
            </w:pPr>
            <w:r>
              <w:rPr>
                <w:rFonts w:ascii="Arial" w:cs="Arial" w:eastAsia="Arial" w:hAnsi="Arial"/>
                <w:sz w:val="11"/>
                <w:szCs w:val="11"/>
                <w:b w:val="1"/>
                <w:bCs w:val="1"/>
                <w:color w:val="FFFFFF"/>
                <w:w w:val="94"/>
              </w:rPr>
              <w:t>As of</w:t>
            </w:r>
          </w:p>
        </w:tc>
        <w:tc>
          <w:tcPr>
            <w:tcW w:w="1260" w:type="dxa"/>
            <w:vAlign w:val="bottom"/>
            <w:tcBorders>
              <w:top w:val="single" w:sz="8" w:color="auto"/>
              <w:right w:val="single" w:sz="8" w:color="auto"/>
            </w:tcBorders>
            <w:shd w:val="clear" w:color="auto" w:fill="2AD2C9"/>
          </w:tcPr>
          <w:p>
            <w:pPr>
              <w:spacing w:after="0"/>
              <w:rPr>
                <w:sz w:val="9"/>
                <w:szCs w:val="9"/>
                <w:color w:val="auto"/>
              </w:rPr>
            </w:pPr>
          </w:p>
        </w:tc>
        <w:tc>
          <w:tcPr>
            <w:tcW w:w="880" w:type="dxa"/>
            <w:vAlign w:val="bottom"/>
            <w:tcBorders>
              <w:top w:val="single" w:sz="8" w:color="auto"/>
            </w:tcBorders>
            <w:shd w:val="clear" w:color="auto" w:fill="2AD2C9"/>
          </w:tcPr>
          <w:p>
            <w:pPr>
              <w:spacing w:after="0"/>
              <w:rPr>
                <w:sz w:val="9"/>
                <w:szCs w:val="9"/>
                <w:color w:val="auto"/>
              </w:rPr>
            </w:pPr>
          </w:p>
        </w:tc>
        <w:tc>
          <w:tcPr>
            <w:tcW w:w="1600" w:type="dxa"/>
            <w:vAlign w:val="bottom"/>
            <w:tcBorders>
              <w:top w:val="single" w:sz="8" w:color="auto"/>
              <w:right w:val="single" w:sz="8" w:color="auto"/>
            </w:tcBorders>
            <w:shd w:val="clear" w:color="auto" w:fill="2AD2C9"/>
          </w:tcPr>
          <w:p>
            <w:pPr>
              <w:ind w:left="80"/>
              <w:spacing w:after="0" w:line="114" w:lineRule="exact"/>
              <w:rPr>
                <w:sz w:val="20"/>
                <w:szCs w:val="20"/>
                <w:color w:val="auto"/>
              </w:rPr>
            </w:pPr>
            <w:r>
              <w:rPr>
                <w:rFonts w:ascii="Arial" w:cs="Arial" w:eastAsia="Arial" w:hAnsi="Arial"/>
                <w:sz w:val="11"/>
                <w:szCs w:val="11"/>
                <w:b w:val="1"/>
                <w:bCs w:val="1"/>
                <w:color w:val="FFFFFF"/>
              </w:rPr>
              <w:t>% change</w:t>
            </w:r>
          </w:p>
        </w:tc>
        <w:tc>
          <w:tcPr>
            <w:tcW w:w="440" w:type="dxa"/>
            <w:vAlign w:val="bottom"/>
          </w:tcPr>
          <w:p>
            <w:pPr>
              <w:spacing w:after="0"/>
              <w:rPr>
                <w:sz w:val="9"/>
                <w:szCs w:val="9"/>
                <w:color w:val="auto"/>
              </w:rPr>
            </w:pPr>
          </w:p>
        </w:tc>
      </w:tr>
      <w:tr>
        <w:trPr>
          <w:trHeight w:val="123"/>
        </w:trPr>
        <w:tc>
          <w:tcPr>
            <w:tcW w:w="480" w:type="dxa"/>
            <w:vAlign w:val="bottom"/>
            <w:tcBorders>
              <w:right w:val="single" w:sz="8" w:color="auto"/>
            </w:tcBorders>
          </w:tcPr>
          <w:p>
            <w:pPr>
              <w:spacing w:after="0"/>
              <w:rPr>
                <w:sz w:val="10"/>
                <w:szCs w:val="10"/>
                <w:color w:val="auto"/>
              </w:rPr>
            </w:pPr>
          </w:p>
        </w:tc>
        <w:tc>
          <w:tcPr>
            <w:tcW w:w="4180" w:type="dxa"/>
            <w:vAlign w:val="bottom"/>
            <w:tcBorders>
              <w:bottom w:val="single" w:sz="8" w:color="auto"/>
              <w:right w:val="single" w:sz="8" w:color="auto"/>
            </w:tcBorders>
            <w:shd w:val="clear" w:color="auto" w:fill="2AD2C9"/>
          </w:tcPr>
          <w:p>
            <w:pPr>
              <w:ind w:left="20"/>
              <w:spacing w:after="0" w:line="124" w:lineRule="exact"/>
              <w:rPr>
                <w:sz w:val="20"/>
                <w:szCs w:val="20"/>
                <w:color w:val="auto"/>
              </w:rPr>
            </w:pPr>
            <w:r>
              <w:rPr>
                <w:rFonts w:ascii="Arial" w:cs="Arial" w:eastAsia="Arial" w:hAnsi="Arial"/>
                <w:sz w:val="11"/>
                <w:szCs w:val="11"/>
                <w:b w:val="1"/>
                <w:bCs w:val="1"/>
                <w:color w:val="FFFFFF"/>
              </w:rPr>
              <w:t>S/ 000</w:t>
            </w:r>
          </w:p>
        </w:tc>
        <w:tc>
          <w:tcPr>
            <w:tcW w:w="1200" w:type="dxa"/>
            <w:vAlign w:val="bottom"/>
            <w:tcBorders>
              <w:bottom w:val="single" w:sz="8" w:color="auto"/>
            </w:tcBorders>
            <w:shd w:val="clear" w:color="auto" w:fill="2AD2C9"/>
          </w:tcPr>
          <w:p>
            <w:pPr>
              <w:ind w:left="420"/>
              <w:spacing w:after="0" w:line="124" w:lineRule="exact"/>
              <w:rPr>
                <w:sz w:val="20"/>
                <w:szCs w:val="20"/>
                <w:color w:val="auto"/>
              </w:rPr>
            </w:pPr>
            <w:r>
              <w:rPr>
                <w:rFonts w:ascii="Arial" w:cs="Arial" w:eastAsia="Arial" w:hAnsi="Arial"/>
                <w:sz w:val="11"/>
                <w:szCs w:val="11"/>
                <w:b w:val="1"/>
                <w:bCs w:val="1"/>
                <w:color w:val="FFFFFF"/>
              </w:rPr>
              <w:t>Jun 23</w:t>
            </w:r>
          </w:p>
        </w:tc>
        <w:tc>
          <w:tcPr>
            <w:tcW w:w="1240" w:type="dxa"/>
            <w:vAlign w:val="bottom"/>
            <w:tcBorders>
              <w:bottom w:val="single" w:sz="8" w:color="auto"/>
            </w:tcBorders>
            <w:shd w:val="clear" w:color="auto" w:fill="2AD2C9"/>
          </w:tcPr>
          <w:p>
            <w:pPr>
              <w:jc w:val="center"/>
              <w:spacing w:after="0" w:line="124" w:lineRule="exact"/>
              <w:rPr>
                <w:sz w:val="20"/>
                <w:szCs w:val="20"/>
                <w:color w:val="auto"/>
              </w:rPr>
            </w:pPr>
            <w:r>
              <w:rPr>
                <w:rFonts w:ascii="Arial" w:cs="Arial" w:eastAsia="Arial" w:hAnsi="Arial"/>
                <w:sz w:val="11"/>
                <w:szCs w:val="11"/>
                <w:b w:val="1"/>
                <w:bCs w:val="1"/>
                <w:color w:val="FFFFFF"/>
              </w:rPr>
              <w:t>Mar 24</w:t>
            </w:r>
          </w:p>
        </w:tc>
        <w:tc>
          <w:tcPr>
            <w:tcW w:w="1260" w:type="dxa"/>
            <w:vAlign w:val="bottom"/>
            <w:tcBorders>
              <w:bottom w:val="single" w:sz="8" w:color="auto"/>
              <w:right w:val="single" w:sz="8" w:color="auto"/>
            </w:tcBorders>
            <w:shd w:val="clear" w:color="auto" w:fill="2AD2C9"/>
          </w:tcPr>
          <w:p>
            <w:pPr>
              <w:ind w:left="440"/>
              <w:spacing w:after="0" w:line="124" w:lineRule="exact"/>
              <w:rPr>
                <w:sz w:val="20"/>
                <w:szCs w:val="20"/>
                <w:color w:val="auto"/>
              </w:rPr>
            </w:pPr>
            <w:r>
              <w:rPr>
                <w:rFonts w:ascii="Arial" w:cs="Arial" w:eastAsia="Arial" w:hAnsi="Arial"/>
                <w:sz w:val="11"/>
                <w:szCs w:val="11"/>
                <w:b w:val="1"/>
                <w:bCs w:val="1"/>
                <w:color w:val="FFFFFF"/>
              </w:rPr>
              <w:t>Jun 24</w:t>
            </w:r>
          </w:p>
        </w:tc>
        <w:tc>
          <w:tcPr>
            <w:tcW w:w="880" w:type="dxa"/>
            <w:vAlign w:val="bottom"/>
            <w:tcBorders>
              <w:bottom w:val="single" w:sz="8" w:color="auto"/>
            </w:tcBorders>
            <w:shd w:val="clear" w:color="auto" w:fill="2AD2C9"/>
          </w:tcPr>
          <w:p>
            <w:pPr>
              <w:jc w:val="center"/>
              <w:ind w:left="265"/>
              <w:spacing w:after="0" w:line="124" w:lineRule="exact"/>
              <w:rPr>
                <w:sz w:val="20"/>
                <w:szCs w:val="20"/>
                <w:color w:val="auto"/>
              </w:rPr>
            </w:pPr>
            <w:r>
              <w:rPr>
                <w:rFonts w:ascii="Arial" w:cs="Arial" w:eastAsia="Arial" w:hAnsi="Arial"/>
                <w:sz w:val="11"/>
                <w:szCs w:val="11"/>
                <w:b w:val="1"/>
                <w:bCs w:val="1"/>
                <w:color w:val="FFFFFF"/>
              </w:rPr>
              <w:t>QoQ</w:t>
            </w:r>
          </w:p>
        </w:tc>
        <w:tc>
          <w:tcPr>
            <w:tcW w:w="1600" w:type="dxa"/>
            <w:vAlign w:val="bottom"/>
            <w:tcBorders>
              <w:bottom w:val="single" w:sz="8" w:color="auto"/>
              <w:right w:val="single" w:sz="8" w:color="auto"/>
            </w:tcBorders>
            <w:shd w:val="clear" w:color="auto" w:fill="2AD2C9"/>
          </w:tcPr>
          <w:p>
            <w:pPr>
              <w:jc w:val="center"/>
              <w:ind w:left="265"/>
              <w:spacing w:after="0" w:line="124" w:lineRule="exact"/>
              <w:rPr>
                <w:sz w:val="20"/>
                <w:szCs w:val="20"/>
                <w:color w:val="auto"/>
              </w:rPr>
            </w:pPr>
            <w:r>
              <w:rPr>
                <w:rFonts w:ascii="Arial" w:cs="Arial" w:eastAsia="Arial" w:hAnsi="Arial"/>
                <w:sz w:val="11"/>
                <w:szCs w:val="11"/>
                <w:b w:val="1"/>
                <w:bCs w:val="1"/>
                <w:color w:val="FFFFFF"/>
                <w:w w:val="93"/>
              </w:rPr>
              <w:t>YoY</w:t>
            </w:r>
          </w:p>
        </w:tc>
        <w:tc>
          <w:tcPr>
            <w:tcW w:w="440" w:type="dxa"/>
            <w:vAlign w:val="bottom"/>
          </w:tcPr>
          <w:p>
            <w:pPr>
              <w:spacing w:after="0"/>
              <w:rPr>
                <w:sz w:val="10"/>
                <w:szCs w:val="10"/>
                <w:color w:val="auto"/>
              </w:rPr>
            </w:pPr>
          </w:p>
        </w:tc>
      </w:tr>
      <w:tr>
        <w:trPr>
          <w:trHeight w:val="114"/>
        </w:trPr>
        <w:tc>
          <w:tcPr>
            <w:tcW w:w="480" w:type="dxa"/>
            <w:vAlign w:val="bottom"/>
            <w:tcBorders>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ind w:left="20"/>
              <w:spacing w:after="0" w:line="114" w:lineRule="exact"/>
              <w:rPr>
                <w:sz w:val="20"/>
                <w:szCs w:val="20"/>
                <w:color w:val="auto"/>
              </w:rPr>
            </w:pPr>
            <w:r>
              <w:rPr>
                <w:rFonts w:ascii="Arial" w:cs="Arial" w:eastAsia="Arial" w:hAnsi="Arial"/>
                <w:sz w:val="11"/>
                <w:szCs w:val="11"/>
                <w:color w:val="auto"/>
              </w:rPr>
              <w:t>Total loans (Quarter-end balance)</w:t>
            </w:r>
          </w:p>
        </w:tc>
        <w:tc>
          <w:tcPr>
            <w:tcW w:w="12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142,845,549</w:t>
            </w:r>
          </w:p>
        </w:tc>
        <w:tc>
          <w:tcPr>
            <w:tcW w:w="12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w w:val="98"/>
              </w:rPr>
              <w:t>140,798,083</w:t>
            </w:r>
          </w:p>
        </w:tc>
        <w:tc>
          <w:tcPr>
            <w:tcW w:w="126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w w:val="98"/>
              </w:rPr>
              <w:t>146,946,546</w:t>
            </w:r>
          </w:p>
        </w:tc>
        <w:tc>
          <w:tcPr>
            <w:tcW w:w="880" w:type="dxa"/>
            <w:vAlign w:val="bottom"/>
            <w:tcBorders>
              <w:bottom w:val="single" w:sz="8" w:color="auto"/>
            </w:tcBorders>
          </w:tcPr>
          <w:p>
            <w:pPr>
              <w:jc w:val="center"/>
              <w:ind w:left="265"/>
              <w:spacing w:after="0" w:line="114" w:lineRule="exact"/>
              <w:rPr>
                <w:sz w:val="20"/>
                <w:szCs w:val="20"/>
                <w:color w:val="auto"/>
              </w:rPr>
            </w:pPr>
            <w:r>
              <w:rPr>
                <w:rFonts w:ascii="Arial" w:cs="Arial" w:eastAsia="Arial" w:hAnsi="Arial"/>
                <w:sz w:val="11"/>
                <w:szCs w:val="11"/>
                <w:color w:val="auto"/>
                <w:w w:val="95"/>
              </w:rPr>
              <w:t>4.4%</w:t>
            </w:r>
          </w:p>
        </w:tc>
        <w:tc>
          <w:tcPr>
            <w:tcW w:w="1600" w:type="dxa"/>
            <w:vAlign w:val="bottom"/>
            <w:tcBorders>
              <w:bottom w:val="single" w:sz="8" w:color="auto"/>
              <w:right w:val="single" w:sz="8" w:color="auto"/>
            </w:tcBorders>
          </w:tcPr>
          <w:p>
            <w:pPr>
              <w:jc w:val="center"/>
              <w:ind w:left="265"/>
              <w:spacing w:after="0" w:line="114" w:lineRule="exact"/>
              <w:rPr>
                <w:sz w:val="20"/>
                <w:szCs w:val="20"/>
                <w:color w:val="auto"/>
              </w:rPr>
            </w:pPr>
            <w:r>
              <w:rPr>
                <w:rFonts w:ascii="Arial" w:cs="Arial" w:eastAsia="Arial" w:hAnsi="Arial"/>
                <w:sz w:val="11"/>
                <w:szCs w:val="11"/>
                <w:color w:val="auto"/>
                <w:w w:val="95"/>
              </w:rPr>
              <w:t>2.9%</w:t>
            </w:r>
          </w:p>
        </w:tc>
        <w:tc>
          <w:tcPr>
            <w:tcW w:w="440" w:type="dxa"/>
            <w:vAlign w:val="bottom"/>
          </w:tcPr>
          <w:p>
            <w:pPr>
              <w:spacing w:after="0"/>
              <w:rPr>
                <w:sz w:val="9"/>
                <w:szCs w:val="9"/>
                <w:color w:val="auto"/>
              </w:rPr>
            </w:pPr>
          </w:p>
        </w:tc>
      </w:tr>
      <w:tr>
        <w:trPr>
          <w:trHeight w:val="114"/>
        </w:trPr>
        <w:tc>
          <w:tcPr>
            <w:tcW w:w="480" w:type="dxa"/>
            <w:vAlign w:val="bottom"/>
            <w:tcBorders>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ind w:left="20"/>
              <w:spacing w:after="0" w:line="114" w:lineRule="exact"/>
              <w:rPr>
                <w:sz w:val="20"/>
                <w:szCs w:val="20"/>
                <w:color w:val="auto"/>
              </w:rPr>
            </w:pPr>
            <w:r>
              <w:rPr>
                <w:rFonts w:ascii="Arial" w:cs="Arial" w:eastAsia="Arial" w:hAnsi="Arial"/>
                <w:sz w:val="11"/>
                <w:szCs w:val="11"/>
                <w:color w:val="auto"/>
              </w:rPr>
              <w:t>Allowance for loan losses</w:t>
            </w:r>
          </w:p>
        </w:tc>
        <w:tc>
          <w:tcPr>
            <w:tcW w:w="12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color w:val="auto"/>
              </w:rPr>
              <w:t>7,956,184</w:t>
            </w:r>
          </w:p>
        </w:tc>
        <w:tc>
          <w:tcPr>
            <w:tcW w:w="12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color w:val="auto"/>
                <w:w w:val="97"/>
              </w:rPr>
              <w:t>8,190,343</w:t>
            </w:r>
          </w:p>
        </w:tc>
        <w:tc>
          <w:tcPr>
            <w:tcW w:w="126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color w:val="auto"/>
                <w:w w:val="97"/>
              </w:rPr>
              <w:t>8,350,024</w:t>
            </w:r>
          </w:p>
        </w:tc>
        <w:tc>
          <w:tcPr>
            <w:tcW w:w="880" w:type="dxa"/>
            <w:vAlign w:val="bottom"/>
            <w:tcBorders>
              <w:bottom w:val="single" w:sz="8" w:color="auto"/>
            </w:tcBorders>
          </w:tcPr>
          <w:p>
            <w:pPr>
              <w:jc w:val="center"/>
              <w:ind w:left="265"/>
              <w:spacing w:after="0" w:line="114" w:lineRule="exact"/>
              <w:rPr>
                <w:sz w:val="20"/>
                <w:szCs w:val="20"/>
                <w:color w:val="auto"/>
              </w:rPr>
            </w:pPr>
            <w:r>
              <w:rPr>
                <w:rFonts w:ascii="Arial" w:cs="Arial" w:eastAsia="Arial" w:hAnsi="Arial"/>
                <w:sz w:val="11"/>
                <w:szCs w:val="11"/>
                <w:color w:val="auto"/>
                <w:w w:val="95"/>
              </w:rPr>
              <w:t>1.9%</w:t>
            </w:r>
          </w:p>
        </w:tc>
        <w:tc>
          <w:tcPr>
            <w:tcW w:w="1600" w:type="dxa"/>
            <w:vAlign w:val="bottom"/>
            <w:tcBorders>
              <w:bottom w:val="single" w:sz="8" w:color="auto"/>
              <w:right w:val="single" w:sz="8" w:color="auto"/>
            </w:tcBorders>
          </w:tcPr>
          <w:p>
            <w:pPr>
              <w:jc w:val="center"/>
              <w:ind w:left="265"/>
              <w:spacing w:after="0" w:line="114" w:lineRule="exact"/>
              <w:rPr>
                <w:sz w:val="20"/>
                <w:szCs w:val="20"/>
                <w:color w:val="auto"/>
              </w:rPr>
            </w:pPr>
            <w:r>
              <w:rPr>
                <w:rFonts w:ascii="Arial" w:cs="Arial" w:eastAsia="Arial" w:hAnsi="Arial"/>
                <w:sz w:val="11"/>
                <w:szCs w:val="11"/>
                <w:color w:val="auto"/>
                <w:w w:val="95"/>
              </w:rPr>
              <w:t>5.0%</w:t>
            </w:r>
          </w:p>
        </w:tc>
        <w:tc>
          <w:tcPr>
            <w:tcW w:w="440" w:type="dxa"/>
            <w:vAlign w:val="bottom"/>
          </w:tcPr>
          <w:p>
            <w:pPr>
              <w:spacing w:after="0"/>
              <w:rPr>
                <w:sz w:val="9"/>
                <w:szCs w:val="9"/>
                <w:color w:val="auto"/>
              </w:rPr>
            </w:pPr>
          </w:p>
        </w:tc>
      </w:tr>
      <w:tr>
        <w:trPr>
          <w:trHeight w:val="114"/>
        </w:trPr>
        <w:tc>
          <w:tcPr>
            <w:tcW w:w="480" w:type="dxa"/>
            <w:vAlign w:val="bottom"/>
            <w:tcBorders>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ind w:left="20"/>
              <w:spacing w:after="0" w:line="114" w:lineRule="exact"/>
              <w:rPr>
                <w:sz w:val="20"/>
                <w:szCs w:val="20"/>
                <w:color w:val="auto"/>
              </w:rPr>
            </w:pPr>
            <w:r>
              <w:rPr>
                <w:rFonts w:ascii="Arial" w:cs="Arial" w:eastAsia="Arial" w:hAnsi="Arial"/>
                <w:sz w:val="11"/>
                <w:szCs w:val="11"/>
                <w:color w:val="auto"/>
              </w:rPr>
              <w:t>Non-performing loans (NPLs)</w:t>
            </w:r>
          </w:p>
        </w:tc>
        <w:tc>
          <w:tcPr>
            <w:tcW w:w="12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color w:val="auto"/>
              </w:rPr>
              <w:t>8,063,519</w:t>
            </w:r>
          </w:p>
        </w:tc>
        <w:tc>
          <w:tcPr>
            <w:tcW w:w="12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color w:val="auto"/>
                <w:w w:val="97"/>
              </w:rPr>
              <w:t>8,762,773</w:t>
            </w:r>
          </w:p>
        </w:tc>
        <w:tc>
          <w:tcPr>
            <w:tcW w:w="126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color w:val="auto"/>
                <w:w w:val="97"/>
              </w:rPr>
              <w:t>8,785,896</w:t>
            </w:r>
          </w:p>
        </w:tc>
        <w:tc>
          <w:tcPr>
            <w:tcW w:w="880" w:type="dxa"/>
            <w:vAlign w:val="bottom"/>
            <w:tcBorders>
              <w:bottom w:val="single" w:sz="8" w:color="auto"/>
            </w:tcBorders>
          </w:tcPr>
          <w:p>
            <w:pPr>
              <w:jc w:val="center"/>
              <w:ind w:left="265"/>
              <w:spacing w:after="0" w:line="114" w:lineRule="exact"/>
              <w:rPr>
                <w:sz w:val="20"/>
                <w:szCs w:val="20"/>
                <w:color w:val="auto"/>
              </w:rPr>
            </w:pPr>
            <w:r>
              <w:rPr>
                <w:rFonts w:ascii="Arial" w:cs="Arial" w:eastAsia="Arial" w:hAnsi="Arial"/>
                <w:sz w:val="11"/>
                <w:szCs w:val="11"/>
                <w:color w:val="auto"/>
                <w:w w:val="95"/>
              </w:rPr>
              <w:t>0.3%</w:t>
            </w:r>
          </w:p>
        </w:tc>
        <w:tc>
          <w:tcPr>
            <w:tcW w:w="1600" w:type="dxa"/>
            <w:vAlign w:val="bottom"/>
            <w:tcBorders>
              <w:bottom w:val="single" w:sz="8" w:color="auto"/>
              <w:right w:val="single" w:sz="8" w:color="auto"/>
            </w:tcBorders>
          </w:tcPr>
          <w:p>
            <w:pPr>
              <w:jc w:val="center"/>
              <w:ind w:left="265"/>
              <w:spacing w:after="0" w:line="114" w:lineRule="exact"/>
              <w:rPr>
                <w:sz w:val="20"/>
                <w:szCs w:val="20"/>
                <w:color w:val="auto"/>
              </w:rPr>
            </w:pPr>
            <w:r>
              <w:rPr>
                <w:rFonts w:ascii="Arial" w:cs="Arial" w:eastAsia="Arial" w:hAnsi="Arial"/>
                <w:sz w:val="11"/>
                <w:szCs w:val="11"/>
                <w:color w:val="auto"/>
                <w:w w:val="95"/>
              </w:rPr>
              <w:t>9.0%</w:t>
            </w:r>
          </w:p>
        </w:tc>
        <w:tc>
          <w:tcPr>
            <w:tcW w:w="440" w:type="dxa"/>
            <w:vAlign w:val="bottom"/>
          </w:tcPr>
          <w:p>
            <w:pPr>
              <w:spacing w:after="0"/>
              <w:rPr>
                <w:sz w:val="9"/>
                <w:szCs w:val="9"/>
                <w:color w:val="auto"/>
              </w:rPr>
            </w:pPr>
          </w:p>
        </w:tc>
      </w:tr>
      <w:tr>
        <w:trPr>
          <w:trHeight w:val="114"/>
        </w:trPr>
        <w:tc>
          <w:tcPr>
            <w:tcW w:w="480" w:type="dxa"/>
            <w:vAlign w:val="bottom"/>
            <w:tcBorders>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ind w:left="20"/>
              <w:spacing w:after="0" w:line="114" w:lineRule="exact"/>
              <w:rPr>
                <w:sz w:val="20"/>
                <w:szCs w:val="20"/>
                <w:color w:val="auto"/>
              </w:rPr>
            </w:pPr>
            <w:r>
              <w:rPr>
                <w:rFonts w:ascii="Arial" w:cs="Arial" w:eastAsia="Arial" w:hAnsi="Arial"/>
                <w:sz w:val="11"/>
                <w:szCs w:val="11"/>
                <w:b w:val="1"/>
                <w:bCs w:val="1"/>
                <w:color w:val="auto"/>
              </w:rPr>
              <w:t>Allowance for loan losses over Total loans</w:t>
            </w:r>
          </w:p>
        </w:tc>
        <w:tc>
          <w:tcPr>
            <w:tcW w:w="12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5.6%</w:t>
            </w:r>
          </w:p>
        </w:tc>
        <w:tc>
          <w:tcPr>
            <w:tcW w:w="12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w w:val="95"/>
              </w:rPr>
              <w:t>5.8%</w:t>
            </w:r>
          </w:p>
        </w:tc>
        <w:tc>
          <w:tcPr>
            <w:tcW w:w="126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w w:val="95"/>
              </w:rPr>
              <w:t>5.7%</w:t>
            </w:r>
          </w:p>
        </w:tc>
        <w:tc>
          <w:tcPr>
            <w:tcW w:w="880" w:type="dxa"/>
            <w:vAlign w:val="bottom"/>
            <w:tcBorders>
              <w:bottom w:val="single" w:sz="8" w:color="auto"/>
            </w:tcBorders>
          </w:tcPr>
          <w:p>
            <w:pPr>
              <w:jc w:val="center"/>
              <w:ind w:left="265"/>
              <w:spacing w:after="0" w:line="114" w:lineRule="exact"/>
              <w:rPr>
                <w:sz w:val="20"/>
                <w:szCs w:val="20"/>
                <w:color w:val="auto"/>
              </w:rPr>
            </w:pPr>
            <w:r>
              <w:rPr>
                <w:rFonts w:ascii="Arial" w:cs="Arial" w:eastAsia="Arial" w:hAnsi="Arial"/>
                <w:sz w:val="11"/>
                <w:szCs w:val="11"/>
                <w:b w:val="1"/>
                <w:bCs w:val="1"/>
                <w:color w:val="auto"/>
              </w:rPr>
              <w:t>-14 bps</w:t>
            </w:r>
          </w:p>
        </w:tc>
        <w:tc>
          <w:tcPr>
            <w:tcW w:w="1600" w:type="dxa"/>
            <w:vAlign w:val="bottom"/>
            <w:tcBorders>
              <w:bottom w:val="single" w:sz="8" w:color="auto"/>
              <w:right w:val="single" w:sz="8" w:color="auto"/>
            </w:tcBorders>
          </w:tcPr>
          <w:p>
            <w:pPr>
              <w:jc w:val="center"/>
              <w:ind w:left="285"/>
              <w:spacing w:after="0" w:line="114" w:lineRule="exact"/>
              <w:rPr>
                <w:sz w:val="20"/>
                <w:szCs w:val="20"/>
                <w:color w:val="auto"/>
              </w:rPr>
            </w:pPr>
            <w:r>
              <w:rPr>
                <w:rFonts w:ascii="Arial" w:cs="Arial" w:eastAsia="Arial" w:hAnsi="Arial"/>
                <w:sz w:val="11"/>
                <w:szCs w:val="11"/>
                <w:b w:val="1"/>
                <w:bCs w:val="1"/>
                <w:color w:val="auto"/>
                <w:w w:val="97"/>
              </w:rPr>
              <w:t>11 bps</w:t>
            </w:r>
          </w:p>
        </w:tc>
        <w:tc>
          <w:tcPr>
            <w:tcW w:w="440" w:type="dxa"/>
            <w:vAlign w:val="bottom"/>
          </w:tcPr>
          <w:p>
            <w:pPr>
              <w:spacing w:after="0"/>
              <w:rPr>
                <w:sz w:val="9"/>
                <w:szCs w:val="9"/>
                <w:color w:val="auto"/>
              </w:rPr>
            </w:pPr>
          </w:p>
        </w:tc>
      </w:tr>
      <w:tr>
        <w:trPr>
          <w:trHeight w:val="114"/>
        </w:trPr>
        <w:tc>
          <w:tcPr>
            <w:tcW w:w="480" w:type="dxa"/>
            <w:vAlign w:val="bottom"/>
            <w:tcBorders>
              <w:right w:val="single" w:sz="8" w:color="auto"/>
            </w:tcBorders>
          </w:tcPr>
          <w:p>
            <w:pPr>
              <w:spacing w:after="0"/>
              <w:rPr>
                <w:sz w:val="9"/>
                <w:szCs w:val="9"/>
                <w:color w:val="auto"/>
              </w:rPr>
            </w:pPr>
          </w:p>
        </w:tc>
        <w:tc>
          <w:tcPr>
            <w:tcW w:w="4180" w:type="dxa"/>
            <w:vAlign w:val="bottom"/>
            <w:tcBorders>
              <w:bottom w:val="single" w:sz="8" w:color="auto"/>
              <w:right w:val="single" w:sz="8" w:color="auto"/>
            </w:tcBorders>
          </w:tcPr>
          <w:p>
            <w:pPr>
              <w:ind w:left="20"/>
              <w:spacing w:after="0" w:line="114" w:lineRule="exact"/>
              <w:rPr>
                <w:sz w:val="20"/>
                <w:szCs w:val="20"/>
                <w:color w:val="auto"/>
              </w:rPr>
            </w:pPr>
            <w:r>
              <w:rPr>
                <w:rFonts w:ascii="Arial" w:cs="Arial" w:eastAsia="Arial" w:hAnsi="Arial"/>
                <w:sz w:val="11"/>
                <w:szCs w:val="11"/>
                <w:b w:val="1"/>
                <w:bCs w:val="1"/>
                <w:color w:val="auto"/>
              </w:rPr>
              <w:t>Coverage ratio of NPLs</w:t>
            </w:r>
          </w:p>
        </w:tc>
        <w:tc>
          <w:tcPr>
            <w:tcW w:w="120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w w:val="96"/>
              </w:rPr>
              <w:t>98.7%</w:t>
            </w:r>
          </w:p>
        </w:tc>
        <w:tc>
          <w:tcPr>
            <w:tcW w:w="12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93.5%</w:t>
            </w:r>
          </w:p>
        </w:tc>
        <w:tc>
          <w:tcPr>
            <w:tcW w:w="126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95.0%</w:t>
            </w:r>
          </w:p>
        </w:tc>
        <w:tc>
          <w:tcPr>
            <w:tcW w:w="880" w:type="dxa"/>
            <w:vAlign w:val="bottom"/>
            <w:tcBorders>
              <w:bottom w:val="single" w:sz="8" w:color="auto"/>
            </w:tcBorders>
          </w:tcPr>
          <w:p>
            <w:pPr>
              <w:jc w:val="center"/>
              <w:ind w:left="265"/>
              <w:spacing w:after="0" w:line="114" w:lineRule="exact"/>
              <w:rPr>
                <w:sz w:val="20"/>
                <w:szCs w:val="20"/>
                <w:color w:val="auto"/>
              </w:rPr>
            </w:pPr>
            <w:r>
              <w:rPr>
                <w:rFonts w:ascii="Arial" w:cs="Arial" w:eastAsia="Arial" w:hAnsi="Arial"/>
                <w:sz w:val="11"/>
                <w:szCs w:val="11"/>
                <w:b w:val="1"/>
                <w:bCs w:val="1"/>
                <w:color w:val="auto"/>
                <w:w w:val="97"/>
              </w:rPr>
              <w:t>157 bps</w:t>
            </w:r>
          </w:p>
        </w:tc>
        <w:tc>
          <w:tcPr>
            <w:tcW w:w="1600" w:type="dxa"/>
            <w:vAlign w:val="bottom"/>
            <w:tcBorders>
              <w:bottom w:val="single" w:sz="8" w:color="auto"/>
              <w:right w:val="single" w:sz="8" w:color="auto"/>
            </w:tcBorders>
          </w:tcPr>
          <w:p>
            <w:pPr>
              <w:jc w:val="center"/>
              <w:ind w:left="265"/>
              <w:spacing w:after="0" w:line="114" w:lineRule="exact"/>
              <w:rPr>
                <w:sz w:val="20"/>
                <w:szCs w:val="20"/>
                <w:color w:val="auto"/>
              </w:rPr>
            </w:pPr>
            <w:r>
              <w:rPr>
                <w:rFonts w:ascii="Arial" w:cs="Arial" w:eastAsia="Arial" w:hAnsi="Arial"/>
                <w:sz w:val="11"/>
                <w:szCs w:val="11"/>
                <w:b w:val="1"/>
                <w:bCs w:val="1"/>
                <w:color w:val="auto"/>
                <w:w w:val="98"/>
              </w:rPr>
              <w:t>-363 bps</w:t>
            </w:r>
          </w:p>
        </w:tc>
        <w:tc>
          <w:tcPr>
            <w:tcW w:w="440" w:type="dxa"/>
            <w:vAlign w:val="bottom"/>
          </w:tcPr>
          <w:p>
            <w:pPr>
              <w:spacing w:after="0"/>
              <w:rPr>
                <w:sz w:val="9"/>
                <w:szCs w:val="9"/>
                <w:color w:val="auto"/>
              </w:rPr>
            </w:pPr>
          </w:p>
        </w:tc>
      </w:tr>
      <w:tr>
        <w:trPr>
          <w:trHeight w:val="978"/>
        </w:trPr>
        <w:tc>
          <w:tcPr>
            <w:tcW w:w="4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-541655</wp:posOffset>
            </wp:positionV>
            <wp:extent cx="1502410" cy="4438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-410845</wp:posOffset>
            </wp:positionV>
            <wp:extent cx="1724025" cy="3136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24025" cy="31369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type w:val="continuous"/>
        </w:sectPr>
      </w:pPr>
    </w:p>
    <w:bookmarkStart w:id="33" w:name="page34"/>
    <w:bookmarkEnd w:id="33"/>
    <w:p>
      <w:pPr>
        <w:jc w:val="both"/>
        <w:ind w:left="2380"/>
        <w:spacing w:after="0"/>
        <w:tabs>
          <w:tab w:leader="none" w:pos="2580" w:val="left"/>
        </w:tabs>
        <w:rPr>
          <w:sz w:val="20"/>
          <w:szCs w:val="20"/>
          <w:color w:val="auto"/>
        </w:rPr>
      </w:pPr>
      <w:r>
        <w:rPr>
          <w:rFonts w:ascii="Arial" w:cs="Arial" w:eastAsia="Arial" w:hAnsi="Arial"/>
          <w:sz w:val="15"/>
          <w:szCs w:val="15"/>
          <w:color w:val="A6A6A6"/>
        </w:rPr>
        <w:t>|</w:t>
      </w:r>
      <w:r>
        <w:rPr>
          <w:sz w:val="20"/>
          <w:szCs w:val="20"/>
          <w:color w:val="auto"/>
        </w:rPr>
        <w:tab/>
      </w:r>
      <w:r>
        <w:rPr>
          <w:rFonts w:ascii="Arial" w:cs="Arial" w:eastAsia="Arial" w:hAnsi="Arial"/>
          <w:sz w:val="14"/>
          <w:szCs w:val="14"/>
          <w:b w:val="1"/>
          <w:bCs w:val="1"/>
          <w:color w:val="A6A6A6"/>
        </w:rPr>
        <w:t>Earnings Release 2Q / 2024</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05. Portfolio Quality and Provisions</w:t>
      </w:r>
    </w:p>
    <w:p>
      <w:pPr>
        <w:spacing w:after="0" w:line="244" w:lineRule="exact"/>
        <w:rPr>
          <w:sz w:val="20"/>
          <w:szCs w:val="20"/>
          <w:color w:val="auto"/>
        </w:rPr>
      </w:pPr>
    </w:p>
    <w:p>
      <w:pPr>
        <w:jc w:val="center"/>
        <w:ind w:left="980"/>
        <w:spacing w:after="0"/>
        <w:rPr>
          <w:sz w:val="20"/>
          <w:szCs w:val="20"/>
          <w:color w:val="auto"/>
        </w:rPr>
      </w:pPr>
      <w:r>
        <w:rPr>
          <w:rFonts w:ascii="Arial" w:cs="Arial" w:eastAsia="Arial" w:hAnsi="Arial"/>
          <w:sz w:val="14"/>
          <w:szCs w:val="14"/>
          <w:b w:val="1"/>
          <w:bCs w:val="1"/>
          <w:color w:val="auto"/>
        </w:rPr>
        <w:t>Allowance for loan losses</w:t>
      </w:r>
    </w:p>
    <w:p>
      <w:pPr>
        <w:spacing w:after="0" w:line="7" w:lineRule="exact"/>
        <w:rPr>
          <w:sz w:val="20"/>
          <w:szCs w:val="20"/>
          <w:color w:val="auto"/>
        </w:rPr>
      </w:pPr>
    </w:p>
    <w:p>
      <w:pPr>
        <w:jc w:val="center"/>
        <w:ind w:left="960"/>
        <w:spacing w:after="0"/>
        <w:rPr>
          <w:sz w:val="20"/>
          <w:szCs w:val="20"/>
          <w:color w:val="auto"/>
        </w:rPr>
      </w:pPr>
      <w:r>
        <w:rPr>
          <w:rFonts w:ascii="Arial" w:cs="Arial" w:eastAsia="Arial" w:hAnsi="Arial"/>
          <w:sz w:val="14"/>
          <w:szCs w:val="14"/>
          <w:color w:val="auto"/>
        </w:rPr>
        <w:t>(in 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-3175</wp:posOffset>
            </wp:positionV>
            <wp:extent cx="1952625" cy="11366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952625" cy="1136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60"/>
        <w:spacing w:after="0"/>
        <w:rPr>
          <w:sz w:val="20"/>
          <w:szCs w:val="20"/>
          <w:color w:val="auto"/>
        </w:rPr>
      </w:pPr>
      <w:r>
        <w:rPr>
          <w:rFonts w:ascii="Arial" w:cs="Arial" w:eastAsia="Arial" w:hAnsi="Arial"/>
          <w:sz w:val="10"/>
          <w:szCs w:val="10"/>
          <w:color w:val="auto"/>
        </w:rPr>
        <w:t>(1) Others include Mibanco Colombia, ASB and eliminations.</w:t>
      </w:r>
    </w:p>
    <w:p>
      <w:pPr>
        <w:spacing w:after="0" w:line="20" w:lineRule="exact"/>
        <w:rPr>
          <w:sz w:val="20"/>
          <w:szCs w:val="20"/>
          <w:color w:val="auto"/>
        </w:rPr>
      </w:pPr>
      <w:r>
        <w:rPr>
          <w:sz w:val="20"/>
          <w:szCs w:val="20"/>
          <w:color w:val="auto"/>
        </w:rPr>
        <w:br w:type="column"/>
      </w:r>
    </w:p>
    <w:p>
      <w:pPr>
        <w:ind w:left="2140"/>
        <w:spacing w:after="0"/>
        <w:rPr>
          <w:sz w:val="20"/>
          <w:szCs w:val="20"/>
          <w:color w:val="auto"/>
        </w:rPr>
      </w:pPr>
      <w:r>
        <w:rPr>
          <w:rFonts w:ascii="Arial" w:cs="Arial" w:eastAsia="Arial" w:hAnsi="Arial"/>
          <w:sz w:val="14"/>
          <w:szCs w:val="14"/>
          <w:b w:val="1"/>
          <w:bCs w:val="1"/>
          <w:color w:val="E93BAC"/>
        </w:rPr>
        <w:t>Analysis of 2Q24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-3655695</wp:posOffset>
            </wp:positionH>
            <wp:positionV relativeFrom="paragraph">
              <wp:posOffset>-203200</wp:posOffset>
            </wp:positionV>
            <wp:extent cx="7164705" cy="548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470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line="270" w:lineRule="auto"/>
        <w:rPr>
          <w:sz w:val="20"/>
          <w:szCs w:val="20"/>
          <w:color w:val="auto"/>
        </w:rPr>
      </w:pPr>
      <w:r>
        <w:rPr>
          <w:rFonts w:ascii="Arial" w:cs="Arial" w:eastAsia="Arial" w:hAnsi="Arial"/>
          <w:sz w:val="14"/>
          <w:szCs w:val="14"/>
          <w:b w:val="1"/>
          <w:bCs w:val="1"/>
          <w:color w:val="auto"/>
        </w:rPr>
        <w:t xml:space="preserve">QoQ, </w:t>
      </w:r>
      <w:r>
        <w:rPr>
          <w:rFonts w:ascii="Arial" w:cs="Arial" w:eastAsia="Arial" w:hAnsi="Arial"/>
          <w:sz w:val="14"/>
          <w:szCs w:val="14"/>
          <w:color w:val="auto"/>
        </w:rPr>
        <w:t>the accumulated provisions balance increased 1.9%, driven primarily by</w:t>
      </w:r>
      <w:r>
        <w:rPr>
          <w:rFonts w:ascii="Arial" w:cs="Arial" w:eastAsia="Arial" w:hAnsi="Arial"/>
          <w:sz w:val="14"/>
          <w:szCs w:val="14"/>
          <w:b w:val="1"/>
          <w:bCs w:val="1"/>
          <w:color w:val="auto"/>
        </w:rPr>
        <w:t xml:space="preserve"> SME-Pyme, Credit Cards and Mortgage </w:t>
      </w:r>
      <w:r>
        <w:rPr>
          <w:rFonts w:ascii="Arial" w:cs="Arial" w:eastAsia="Arial" w:hAnsi="Arial"/>
          <w:sz w:val="14"/>
          <w:szCs w:val="14"/>
          <w:color w:val="auto"/>
        </w:rPr>
        <w:t>at</w:t>
      </w:r>
      <w:r>
        <w:rPr>
          <w:rFonts w:ascii="Arial" w:cs="Arial" w:eastAsia="Arial" w:hAnsi="Arial"/>
          <w:sz w:val="14"/>
          <w:szCs w:val="14"/>
          <w:b w:val="1"/>
          <w:bCs w:val="1"/>
          <w:color w:val="auto"/>
        </w:rPr>
        <w:t xml:space="preserve"> BCP Stand-alone.</w:t>
      </w:r>
    </w:p>
    <w:p>
      <w:pPr>
        <w:spacing w:after="0" w:line="101" w:lineRule="exact"/>
        <w:rPr>
          <w:sz w:val="20"/>
          <w:szCs w:val="20"/>
          <w:color w:val="auto"/>
        </w:rPr>
      </w:pPr>
    </w:p>
    <w:p>
      <w:pPr>
        <w:spacing w:after="0" w:line="270" w:lineRule="auto"/>
        <w:rPr>
          <w:sz w:val="20"/>
          <w:szCs w:val="20"/>
          <w:color w:val="auto"/>
        </w:rPr>
      </w:pPr>
      <w:r>
        <w:rPr>
          <w:rFonts w:ascii="Arial" w:cs="Arial" w:eastAsia="Arial" w:hAnsi="Arial"/>
          <w:sz w:val="14"/>
          <w:szCs w:val="14"/>
          <w:b w:val="1"/>
          <w:bCs w:val="1"/>
          <w:color w:val="auto"/>
        </w:rPr>
        <w:t xml:space="preserve">YoY, </w:t>
      </w:r>
      <w:r>
        <w:rPr>
          <w:rFonts w:ascii="Arial" w:cs="Arial" w:eastAsia="Arial" w:hAnsi="Arial"/>
          <w:sz w:val="14"/>
          <w:szCs w:val="14"/>
          <w:color w:val="auto"/>
        </w:rPr>
        <w:t>the accumulated provisions balance rose 5.0%, fueled mainly by</w:t>
      </w:r>
      <w:r>
        <w:rPr>
          <w:rFonts w:ascii="Arial" w:cs="Arial" w:eastAsia="Arial" w:hAnsi="Arial"/>
          <w:sz w:val="14"/>
          <w:szCs w:val="14"/>
          <w:b w:val="1"/>
          <w:bCs w:val="1"/>
          <w:color w:val="auto"/>
        </w:rPr>
        <w:t xml:space="preserve"> SME- Pyme </w:t>
      </w:r>
      <w:r>
        <w:rPr>
          <w:rFonts w:ascii="Arial" w:cs="Arial" w:eastAsia="Arial" w:hAnsi="Arial"/>
          <w:sz w:val="14"/>
          <w:szCs w:val="14"/>
          <w:color w:val="auto"/>
        </w:rPr>
        <w:t xml:space="preserve">and </w:t>
      </w:r>
      <w:r>
        <w:rPr>
          <w:rFonts w:ascii="Arial" w:cs="Arial" w:eastAsia="Arial" w:hAnsi="Arial"/>
          <w:sz w:val="14"/>
          <w:szCs w:val="14"/>
          <w:b w:val="1"/>
          <w:bCs w:val="1"/>
          <w:color w:val="auto"/>
        </w:rPr>
        <w:t>Individuals</w:t>
      </w:r>
      <w:r>
        <w:rPr>
          <w:rFonts w:ascii="Arial" w:cs="Arial" w:eastAsia="Arial" w:hAnsi="Arial"/>
          <w:sz w:val="14"/>
          <w:szCs w:val="14"/>
          <w:color w:val="auto"/>
        </w:rPr>
        <w:t xml:space="preserve"> at </w:t>
      </w:r>
      <w:r>
        <w:rPr>
          <w:rFonts w:ascii="Arial" w:cs="Arial" w:eastAsia="Arial" w:hAnsi="Arial"/>
          <w:sz w:val="14"/>
          <w:szCs w:val="14"/>
          <w:b w:val="1"/>
          <w:bCs w:val="1"/>
          <w:color w:val="auto"/>
        </w:rPr>
        <w:t>BCP Stand-alone.</w:t>
      </w:r>
    </w:p>
    <w:p>
      <w:pPr>
        <w:spacing w:after="0" w:line="1239" w:lineRule="exact"/>
        <w:rPr>
          <w:sz w:val="20"/>
          <w:szCs w:val="20"/>
          <w:color w:val="auto"/>
        </w:rPr>
      </w:pPr>
    </w:p>
    <w:p>
      <w:pPr>
        <w:sectPr>
          <w:pgSz w:w="11900" w:h="16838" w:orient="portrait"/>
          <w:cols w:equalWidth="0" w:num="2">
            <w:col w:w="4700" w:space="720"/>
            <w:col w:w="5080"/>
          </w:cols>
          <w:pgMar w:left="640" w:top="287" w:right="759" w:bottom="1440" w:gutter="0" w:footer="0" w:header="0"/>
        </w:sectPr>
      </w:pPr>
    </w:p>
    <w:p>
      <w:pPr>
        <w:ind w:left="1960"/>
        <w:spacing w:after="0"/>
        <w:rPr>
          <w:sz w:val="20"/>
          <w:szCs w:val="20"/>
          <w:color w:val="auto"/>
        </w:rPr>
      </w:pPr>
      <w:r>
        <w:rPr>
          <w:rFonts w:ascii="Arial" w:cs="Arial" w:eastAsia="Arial" w:hAnsi="Arial"/>
          <w:sz w:val="14"/>
          <w:szCs w:val="14"/>
          <w:b w:val="1"/>
          <w:bCs w:val="1"/>
          <w:color w:val="auto"/>
        </w:rPr>
        <w:t>NPL Coverage Ratio</w:t>
      </w:r>
      <w:r>
        <w:rPr>
          <w:rFonts w:ascii="Arial" w:cs="Arial" w:eastAsia="Arial" w:hAnsi="Arial"/>
          <w:sz w:val="22"/>
          <w:szCs w:val="22"/>
          <w:b w:val="1"/>
          <w:bCs w:val="1"/>
          <w:color w:val="auto"/>
          <w:vertAlign w:val="superscript"/>
        </w:rPr>
        <w:t>1</w:t>
      </w:r>
    </w:p>
    <w:p>
      <w:pPr>
        <w:jc w:val="both"/>
        <w:ind w:left="5420"/>
        <w:spacing w:after="0" w:line="249" w:lineRule="auto"/>
        <w:rPr>
          <w:sz w:val="20"/>
          <w:szCs w:val="20"/>
          <w:color w:val="auto"/>
        </w:rPr>
      </w:pPr>
      <w:r>
        <w:rPr>
          <w:rFonts w:ascii="Arial" w:cs="Arial" w:eastAsia="Arial" w:hAnsi="Arial"/>
          <w:sz w:val="14"/>
          <w:szCs w:val="14"/>
          <w:color w:val="auto"/>
        </w:rPr>
        <w:t xml:space="preserve">The NPL Coverage Ratio for Total Loans stood at 95.0% at the end of 2Q24. </w:t>
      </w:r>
      <w:r>
        <w:rPr>
          <w:rFonts w:ascii="Arial" w:cs="Arial" w:eastAsia="Arial" w:hAnsi="Arial"/>
          <w:sz w:val="14"/>
          <w:szCs w:val="14"/>
          <w:b w:val="1"/>
          <w:bCs w:val="1"/>
          <w:color w:val="auto"/>
        </w:rPr>
        <w:t>If we</w:t>
      </w:r>
      <w:r>
        <w:rPr>
          <w:rFonts w:ascii="Arial" w:cs="Arial" w:eastAsia="Arial" w:hAnsi="Arial"/>
          <w:sz w:val="14"/>
          <w:szCs w:val="14"/>
          <w:color w:val="auto"/>
        </w:rPr>
        <w:t xml:space="preserve"> </w:t>
      </w:r>
      <w:r>
        <w:rPr>
          <w:rFonts w:ascii="Arial" w:cs="Arial" w:eastAsia="Arial" w:hAnsi="Arial"/>
          <w:sz w:val="14"/>
          <w:szCs w:val="14"/>
          <w:b w:val="1"/>
          <w:bCs w:val="1"/>
          <w:color w:val="auto"/>
        </w:rPr>
        <w:t>exclude NPLs relative to Government Loans, the ratio stands at 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-210820</wp:posOffset>
            </wp:positionV>
            <wp:extent cx="1750695" cy="15284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50695" cy="1528445"/>
                    </a:xfrm>
                    <a:prstGeom prst="rect">
                      <a:avLst/>
                    </a:prstGeom>
                    <a:noFill/>
                  </pic:spPr>
                </pic:pic>
              </a:graphicData>
            </a:graphic>
          </wp:anchor>
        </w:drawing>
      </w:r>
    </w:p>
    <w:p>
      <w:pPr>
        <w:spacing w:after="0" w:line="95"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QoQ</w:t>
      </w:r>
    </w:p>
    <w:p>
      <w:pPr>
        <w:spacing w:after="0" w:line="7" w:lineRule="exact"/>
        <w:rPr>
          <w:sz w:val="20"/>
          <w:szCs w:val="20"/>
          <w:color w:val="auto"/>
        </w:rPr>
      </w:pPr>
    </w:p>
    <w:p>
      <w:pPr>
        <w:jc w:val="both"/>
        <w:ind w:left="5420"/>
        <w:spacing w:after="0" w:line="235" w:lineRule="auto"/>
        <w:rPr>
          <w:sz w:val="20"/>
          <w:szCs w:val="20"/>
          <w:color w:val="auto"/>
        </w:rPr>
      </w:pPr>
      <w:r>
        <w:rPr>
          <w:rFonts w:ascii="Arial" w:cs="Arial" w:eastAsia="Arial" w:hAnsi="Arial"/>
          <w:sz w:val="14"/>
          <w:szCs w:val="14"/>
          <w:color w:val="auto"/>
        </w:rPr>
        <w:t xml:space="preserve">The TotaL NPL Coverage Ratio at </w:t>
      </w:r>
      <w:r>
        <w:rPr>
          <w:rFonts w:ascii="Arial" w:cs="Arial" w:eastAsia="Arial" w:hAnsi="Arial"/>
          <w:sz w:val="14"/>
          <w:szCs w:val="14"/>
          <w:b w:val="1"/>
          <w:bCs w:val="1"/>
          <w:color w:val="auto"/>
        </w:rPr>
        <w:t>Credicorp</w:t>
      </w:r>
      <w:r>
        <w:rPr>
          <w:rFonts w:ascii="Arial" w:cs="Arial" w:eastAsia="Arial" w:hAnsi="Arial"/>
          <w:sz w:val="14"/>
          <w:szCs w:val="14"/>
          <w:color w:val="auto"/>
        </w:rPr>
        <w:t xml:space="preserve"> increased 157 bps, driven by the evolution at </w:t>
      </w:r>
      <w:r>
        <w:rPr>
          <w:rFonts w:ascii="Arial" w:cs="Arial" w:eastAsia="Arial" w:hAnsi="Arial"/>
          <w:sz w:val="14"/>
          <w:szCs w:val="14"/>
          <w:b w:val="1"/>
          <w:bCs w:val="1"/>
          <w:color w:val="auto"/>
        </w:rPr>
        <w:t>BCP Stand-alone</w:t>
      </w:r>
      <w:r>
        <w:rPr>
          <w:rFonts w:ascii="Arial" w:cs="Arial" w:eastAsia="Arial" w:hAnsi="Arial"/>
          <w:sz w:val="14"/>
          <w:szCs w:val="14"/>
          <w:color w:val="auto"/>
        </w:rPr>
        <w:t xml:space="preserve">. Next, we will look at the evolution at </w:t>
      </w:r>
      <w:r>
        <w:rPr>
          <w:rFonts w:ascii="Arial" w:cs="Arial" w:eastAsia="Arial" w:hAnsi="Arial"/>
          <w:sz w:val="14"/>
          <w:szCs w:val="14"/>
          <w:b w:val="1"/>
          <w:bCs w:val="1"/>
          <w:color w:val="auto"/>
        </w:rPr>
        <w:t xml:space="preserve">BCP Stand-alone </w:t>
      </w:r>
      <w:r>
        <w:rPr>
          <w:rFonts w:ascii="Arial" w:cs="Arial" w:eastAsia="Arial" w:hAnsi="Arial"/>
          <w:sz w:val="14"/>
          <w:szCs w:val="14"/>
          <w:color w:val="auto"/>
        </w:rPr>
        <w:t>by isolating the effect of NPL volumes for Government Program loans, which</w:t>
      </w:r>
      <w:r>
        <w:rPr>
          <w:rFonts w:ascii="Arial" w:cs="Arial" w:eastAsia="Arial" w:hAnsi="Arial"/>
          <w:sz w:val="14"/>
          <w:szCs w:val="14"/>
          <w:b w:val="1"/>
          <w:bCs w:val="1"/>
          <w:color w:val="auto"/>
        </w:rPr>
        <w:t xml:space="preserve"> </w:t>
      </w:r>
      <w:r>
        <w:rPr>
          <w:rFonts w:ascii="Arial" w:cs="Arial" w:eastAsia="Arial" w:hAnsi="Arial"/>
          <w:sz w:val="14"/>
          <w:szCs w:val="14"/>
          <w:color w:val="auto"/>
        </w:rPr>
        <w:t>have ample guarantees and are being satisfactorily honored.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60"/>
        <w:spacing w:after="0"/>
        <w:rPr>
          <w:sz w:val="20"/>
          <w:szCs w:val="20"/>
          <w:color w:val="auto"/>
        </w:rPr>
      </w:pPr>
      <w:r>
        <w:rPr>
          <w:rFonts w:ascii="Arial" w:cs="Arial" w:eastAsia="Arial" w:hAnsi="Arial"/>
          <w:sz w:val="10"/>
          <w:szCs w:val="10"/>
          <w:color w:val="auto"/>
        </w:rPr>
        <w:t>(1) It excludes GP Loans for BCP Stand-Alone and Mibanco.</w:t>
      </w:r>
    </w:p>
    <w:p>
      <w:pPr>
        <w:spacing w:after="0" w:line="140" w:lineRule="exact"/>
        <w:rPr>
          <w:sz w:val="20"/>
          <w:szCs w:val="20"/>
          <w:color w:val="auto"/>
        </w:rPr>
      </w:pPr>
    </w:p>
    <w:p>
      <w:pPr>
        <w:ind w:left="120"/>
        <w:spacing w:after="0" w:line="270" w:lineRule="auto"/>
        <w:rPr>
          <w:sz w:val="20"/>
          <w:szCs w:val="20"/>
          <w:color w:val="auto"/>
        </w:rPr>
      </w:pPr>
      <w:r>
        <w:rPr>
          <w:rFonts w:ascii="Arial" w:cs="Arial" w:eastAsia="Arial" w:hAnsi="Arial"/>
          <w:sz w:val="14"/>
          <w:szCs w:val="14"/>
          <w:b w:val="1"/>
          <w:bCs w:val="1"/>
          <w:color w:val="auto"/>
        </w:rPr>
        <w:t>QoQ</w:t>
      </w:r>
      <w:r>
        <w:rPr>
          <w:rFonts w:ascii="Arial" w:cs="Arial" w:eastAsia="Arial" w:hAnsi="Arial"/>
          <w:sz w:val="14"/>
          <w:szCs w:val="14"/>
          <w:color w:val="auto"/>
        </w:rPr>
        <w:t>, the NPL Coverage Ratio at</w:t>
      </w:r>
      <w:r>
        <w:rPr>
          <w:rFonts w:ascii="Arial" w:cs="Arial" w:eastAsia="Arial" w:hAnsi="Arial"/>
          <w:sz w:val="14"/>
          <w:szCs w:val="14"/>
          <w:b w:val="1"/>
          <w:bCs w:val="1"/>
          <w:color w:val="auto"/>
        </w:rPr>
        <w:t xml:space="preserve"> BCP Stand-alone</w:t>
      </w:r>
      <w:r>
        <w:rPr>
          <w:rFonts w:ascii="Arial" w:cs="Arial" w:eastAsia="Arial" w:hAnsi="Arial"/>
          <w:sz w:val="14"/>
          <w:szCs w:val="14"/>
          <w:color w:val="auto"/>
        </w:rPr>
        <w:t>, excluding Government Programs, rose 159 pbs to stand at 96.6%. This evolution was fueled mainly by a higher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allowance for loan losses in </w:t>
      </w:r>
      <w:r>
        <w:rPr>
          <w:rFonts w:ascii="Arial" w:cs="Arial" w:eastAsia="Arial" w:hAnsi="Arial"/>
          <w:sz w:val="14"/>
          <w:szCs w:val="14"/>
          <w:b w:val="1"/>
          <w:bCs w:val="1"/>
          <w:color w:val="auto"/>
        </w:rPr>
        <w:t>Credit Cards</w:t>
      </w:r>
      <w:r>
        <w:rPr>
          <w:rFonts w:ascii="Arial" w:cs="Arial" w:eastAsia="Arial" w:hAnsi="Arial"/>
          <w:sz w:val="14"/>
          <w:szCs w:val="14"/>
          <w:color w:val="auto"/>
        </w:rPr>
        <w:t xml:space="preserve"> and </w:t>
      </w:r>
      <w:r>
        <w:rPr>
          <w:rFonts w:ascii="Arial" w:cs="Arial" w:eastAsia="Arial" w:hAnsi="Arial"/>
          <w:sz w:val="14"/>
          <w:szCs w:val="14"/>
          <w:b w:val="1"/>
          <w:bCs w:val="1"/>
          <w:color w:val="auto"/>
        </w:rPr>
        <w:t>SME-Pyme</w:t>
      </w:r>
      <w:r>
        <w:rPr>
          <w:rFonts w:ascii="Arial" w:cs="Arial" w:eastAsia="Arial" w:hAnsi="Arial"/>
          <w:sz w:val="14"/>
          <w:szCs w:val="14"/>
          <w:color w:val="auto"/>
        </w:rPr>
        <w:t>.</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YoY</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The Total NPL Coverage Ratio at </w:t>
      </w:r>
      <w:r>
        <w:rPr>
          <w:rFonts w:ascii="Arial" w:cs="Arial" w:eastAsia="Arial" w:hAnsi="Arial"/>
          <w:sz w:val="14"/>
          <w:szCs w:val="14"/>
          <w:b w:val="1"/>
          <w:bCs w:val="1"/>
          <w:color w:val="auto"/>
        </w:rPr>
        <w:t>Credicorp</w:t>
      </w:r>
      <w:r>
        <w:rPr>
          <w:rFonts w:ascii="Arial" w:cs="Arial" w:eastAsia="Arial" w:hAnsi="Arial"/>
          <w:sz w:val="14"/>
          <w:szCs w:val="14"/>
          <w:color w:val="auto"/>
        </w:rPr>
        <w:t xml:space="preserve"> contracted 363 bps </w:t>
      </w:r>
      <w:r>
        <w:rPr>
          <w:rFonts w:ascii="Arial" w:cs="Arial" w:eastAsia="Arial" w:hAnsi="Arial"/>
          <w:sz w:val="14"/>
          <w:szCs w:val="14"/>
          <w:b w:val="1"/>
          <w:bCs w:val="1"/>
          <w:color w:val="auto"/>
        </w:rPr>
        <w:t>YoY</w:t>
      </w:r>
      <w:r>
        <w:rPr>
          <w:rFonts w:ascii="Arial" w:cs="Arial" w:eastAsia="Arial" w:hAnsi="Arial"/>
          <w:sz w:val="14"/>
          <w:szCs w:val="14"/>
          <w:color w:val="auto"/>
        </w:rPr>
        <w:t xml:space="preserve">, driven mainly by the evolution at </w:t>
      </w:r>
      <w:r>
        <w:rPr>
          <w:rFonts w:ascii="Arial" w:cs="Arial" w:eastAsia="Arial" w:hAnsi="Arial"/>
          <w:sz w:val="14"/>
          <w:szCs w:val="14"/>
          <w:b w:val="1"/>
          <w:bCs w:val="1"/>
          <w:color w:val="auto"/>
        </w:rPr>
        <w:t>BCP Stand-alone</w:t>
      </w:r>
      <w:r>
        <w:rPr>
          <w:rFonts w:ascii="Arial" w:cs="Arial" w:eastAsia="Arial" w:hAnsi="Arial"/>
          <w:sz w:val="14"/>
          <w:szCs w:val="14"/>
          <w:color w:val="auto"/>
        </w:rPr>
        <w:t xml:space="preserve"> and </w:t>
      </w:r>
      <w:r>
        <w:rPr>
          <w:rFonts w:ascii="Arial" w:cs="Arial" w:eastAsia="Arial" w:hAnsi="Arial"/>
          <w:sz w:val="14"/>
          <w:szCs w:val="14"/>
          <w:b w:val="1"/>
          <w:bCs w:val="1"/>
          <w:color w:val="auto"/>
        </w:rPr>
        <w:t>Mibanco</w:t>
      </w:r>
      <w:r>
        <w:rPr>
          <w:rFonts w:ascii="Arial" w:cs="Arial" w:eastAsia="Arial" w:hAnsi="Arial"/>
          <w:sz w:val="14"/>
          <w:szCs w:val="14"/>
          <w:color w:val="auto"/>
        </w:rPr>
        <w:t>. Next, we will analyze this evolution by isolating the impact of NPL volumes in the Government Loan portfolio.</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YoY, </w:t>
      </w:r>
      <w:r>
        <w:rPr>
          <w:rFonts w:ascii="Arial" w:cs="Arial" w:eastAsia="Arial" w:hAnsi="Arial"/>
          <w:sz w:val="14"/>
          <w:szCs w:val="14"/>
          <w:color w:val="auto"/>
        </w:rPr>
        <w:t>the NPL Coverage Ratio at</w:t>
      </w:r>
      <w:r>
        <w:rPr>
          <w:rFonts w:ascii="Arial" w:cs="Arial" w:eastAsia="Arial" w:hAnsi="Arial"/>
          <w:sz w:val="14"/>
          <w:szCs w:val="14"/>
          <w:b w:val="1"/>
          <w:bCs w:val="1"/>
          <w:color w:val="auto"/>
        </w:rPr>
        <w:t xml:space="preserve"> BCP Stand-alone</w:t>
      </w:r>
      <w:r>
        <w:rPr>
          <w:rFonts w:ascii="Arial" w:cs="Arial" w:eastAsia="Arial" w:hAnsi="Arial"/>
          <w:sz w:val="14"/>
          <w:szCs w:val="14"/>
          <w:color w:val="auto"/>
        </w:rPr>
        <w:t>, excluding Government Programs, contracted 8 pp, fueled mainly by:</w:t>
      </w:r>
    </w:p>
    <w:p>
      <w:pPr>
        <w:spacing w:after="0" w:line="1" w:lineRule="exact"/>
        <w:rPr>
          <w:sz w:val="20"/>
          <w:szCs w:val="20"/>
          <w:color w:val="auto"/>
        </w:rPr>
      </w:pPr>
    </w:p>
    <w:p>
      <w:pPr>
        <w:ind w:left="640" w:hanging="278"/>
        <w:spacing w:after="0"/>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b w:val="1"/>
          <w:bCs w:val="1"/>
          <w:color w:val="auto"/>
        </w:rPr>
        <w:t>Individuals</w:t>
      </w:r>
      <w:r>
        <w:rPr>
          <w:rFonts w:ascii="Arial" w:cs="Arial" w:eastAsia="Arial" w:hAnsi="Arial"/>
          <w:sz w:val="14"/>
          <w:szCs w:val="14"/>
          <w:color w:val="auto"/>
        </w:rPr>
        <w:t>: primarily due to growth in NPLs in</w:t>
      </w:r>
      <w:r>
        <w:rPr>
          <w:rFonts w:ascii="Arial" w:cs="Arial" w:eastAsia="Arial" w:hAnsi="Arial"/>
          <w:sz w:val="14"/>
          <w:szCs w:val="14"/>
          <w:b w:val="1"/>
          <w:bCs w:val="1"/>
          <w:color w:val="auto"/>
        </w:rPr>
        <w:t xml:space="preserve"> Consumer</w:t>
      </w:r>
      <w:r>
        <w:rPr>
          <w:rFonts w:ascii="Arial" w:cs="Arial" w:eastAsia="Arial" w:hAnsi="Arial"/>
          <w:sz w:val="14"/>
          <w:szCs w:val="14"/>
          <w:color w:val="auto"/>
        </w:rPr>
        <w:t>,</w:t>
      </w:r>
      <w:r>
        <w:rPr>
          <w:rFonts w:ascii="Arial" w:cs="Arial" w:eastAsia="Arial" w:hAnsi="Arial"/>
          <w:sz w:val="14"/>
          <w:szCs w:val="14"/>
          <w:b w:val="1"/>
          <w:bCs w:val="1"/>
          <w:color w:val="auto"/>
        </w:rPr>
        <w:t xml:space="preserve"> Credit Cards </w:t>
      </w:r>
      <w:r>
        <w:rPr>
          <w:rFonts w:ascii="Arial" w:cs="Arial" w:eastAsia="Arial" w:hAnsi="Arial"/>
          <w:sz w:val="14"/>
          <w:szCs w:val="14"/>
          <w:color w:val="auto"/>
        </w:rPr>
        <w:t>and</w:t>
      </w:r>
      <w:r>
        <w:rPr>
          <w:rFonts w:ascii="Arial" w:cs="Arial" w:eastAsia="Arial" w:hAnsi="Arial"/>
          <w:sz w:val="14"/>
          <w:szCs w:val="14"/>
          <w:b w:val="1"/>
          <w:bCs w:val="1"/>
          <w:color w:val="auto"/>
        </w:rPr>
        <w:t xml:space="preserve"> Mortgage</w:t>
      </w:r>
      <w:r>
        <w:rPr>
          <w:rFonts w:ascii="Arial" w:cs="Arial" w:eastAsia="Arial" w:hAnsi="Arial"/>
          <w:sz w:val="14"/>
          <w:szCs w:val="14"/>
          <w:color w:val="auto"/>
        </w:rPr>
        <w:t>.</w:t>
      </w:r>
    </w:p>
    <w:p>
      <w:pPr>
        <w:ind w:left="640" w:hanging="278"/>
        <w:spacing w:after="0"/>
        <w:tabs>
          <w:tab w:leader="none" w:pos="640" w:val="left"/>
        </w:tabs>
        <w:numPr>
          <w:ilvl w:val="0"/>
          <w:numId w:val="28"/>
        </w:numPr>
        <w:rPr>
          <w:rFonts w:ascii="Arial" w:cs="Arial" w:eastAsia="Arial" w:hAnsi="Arial"/>
          <w:sz w:val="14"/>
          <w:szCs w:val="14"/>
          <w:color w:val="auto"/>
        </w:rPr>
      </w:pPr>
      <w:r>
        <w:rPr>
          <w:rFonts w:ascii="Arial" w:cs="Arial" w:eastAsia="Arial" w:hAnsi="Arial"/>
          <w:sz w:val="14"/>
          <w:szCs w:val="14"/>
          <w:b w:val="1"/>
          <w:bCs w:val="1"/>
          <w:color w:val="auto"/>
        </w:rPr>
        <w:t>Business Clients</w:t>
      </w:r>
      <w:r>
        <w:rPr>
          <w:rFonts w:ascii="Arial" w:cs="Arial" w:eastAsia="Arial" w:hAnsi="Arial"/>
          <w:sz w:val="14"/>
          <w:szCs w:val="14"/>
          <w:color w:val="auto"/>
        </w:rPr>
        <w:t>: primarily due to a contraction in the allowance for loan losses in</w:t>
      </w:r>
      <w:r>
        <w:rPr>
          <w:rFonts w:ascii="Arial" w:cs="Arial" w:eastAsia="Arial" w:hAnsi="Arial"/>
          <w:sz w:val="14"/>
          <w:szCs w:val="14"/>
          <w:b w:val="1"/>
          <w:bCs w:val="1"/>
          <w:color w:val="auto"/>
        </w:rPr>
        <w:t xml:space="preserve"> Wholesale.</w:t>
      </w:r>
    </w:p>
    <w:p>
      <w:pPr>
        <w:spacing w:after="0" w:line="134" w:lineRule="exact"/>
        <w:rPr>
          <w:sz w:val="20"/>
          <w:szCs w:val="20"/>
          <w:color w:val="auto"/>
        </w:rPr>
      </w:pPr>
    </w:p>
    <w:p>
      <w:pPr>
        <w:ind w:left="120"/>
        <w:spacing w:after="0" w:line="261" w:lineRule="auto"/>
        <w:rPr>
          <w:sz w:val="20"/>
          <w:szCs w:val="20"/>
          <w:color w:val="auto"/>
        </w:rPr>
      </w:pPr>
      <w:r>
        <w:rPr>
          <w:rFonts w:ascii="Arial" w:cs="Arial" w:eastAsia="Arial" w:hAnsi="Arial"/>
          <w:sz w:val="14"/>
          <w:szCs w:val="14"/>
          <w:b w:val="1"/>
          <w:bCs w:val="1"/>
          <w:color w:val="auto"/>
        </w:rPr>
        <w:t xml:space="preserve">YoY, </w:t>
      </w:r>
      <w:r>
        <w:rPr>
          <w:rFonts w:ascii="Arial" w:cs="Arial" w:eastAsia="Arial" w:hAnsi="Arial"/>
          <w:sz w:val="14"/>
          <w:szCs w:val="14"/>
          <w:color w:val="auto"/>
        </w:rPr>
        <w:t>the NPL Coverage Ratio at</w:t>
      </w:r>
      <w:r>
        <w:rPr>
          <w:rFonts w:ascii="Arial" w:cs="Arial" w:eastAsia="Arial" w:hAnsi="Arial"/>
          <w:sz w:val="14"/>
          <w:szCs w:val="14"/>
          <w:b w:val="1"/>
          <w:bCs w:val="1"/>
          <w:color w:val="auto"/>
        </w:rPr>
        <w:t xml:space="preserve"> Mibanco</w:t>
      </w:r>
      <w:r>
        <w:rPr>
          <w:rFonts w:ascii="Arial" w:cs="Arial" w:eastAsia="Arial" w:hAnsi="Arial"/>
          <w:sz w:val="14"/>
          <w:szCs w:val="14"/>
          <w:color w:val="auto"/>
        </w:rPr>
        <w:t>, excluding Government Programs, contracted 21bps to stand at 98.5%. The contraction in the ratio was driven mainly by an</w:t>
      </w:r>
      <w:r>
        <w:rPr>
          <w:rFonts w:ascii="Arial" w:cs="Arial" w:eastAsia="Arial" w:hAnsi="Arial"/>
          <w:sz w:val="14"/>
          <w:szCs w:val="14"/>
          <w:b w:val="1"/>
          <w:bCs w:val="1"/>
          <w:color w:val="auto"/>
        </w:rPr>
        <w:t xml:space="preserve"> </w:t>
      </w:r>
      <w:r>
        <w:rPr>
          <w:rFonts w:ascii="Arial" w:cs="Arial" w:eastAsia="Arial" w:hAnsi="Arial"/>
          <w:sz w:val="14"/>
          <w:szCs w:val="14"/>
          <w:color w:val="auto"/>
        </w:rPr>
        <w:t>increase in NPLs, associated with vulnerable clients who have been affected by successive economic and climate impacts that intensified in 1Q23.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609600</wp:posOffset>
            </wp:positionV>
            <wp:extent cx="7164705" cy="133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80645</wp:posOffset>
            </wp:positionV>
            <wp:extent cx="1502410" cy="44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211455</wp:posOffset>
            </wp:positionV>
            <wp:extent cx="1724025" cy="3136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24025" cy="313690"/>
                    </a:xfrm>
                    <a:prstGeom prst="rect">
                      <a:avLst/>
                    </a:prstGeom>
                    <a:noFill/>
                  </pic:spPr>
                </pic:pic>
              </a:graphicData>
            </a:graphic>
          </wp:anchor>
        </w:drawing>
      </w:r>
    </w:p>
    <w:p>
      <w:pPr>
        <w:sectPr>
          <w:pgSz w:w="11900" w:h="16838" w:orient="portrait"/>
          <w:cols w:equalWidth="0" w:num="1">
            <w:col w:w="10500"/>
          </w:cols>
          <w:pgMar w:left="640" w:top="287" w:right="759" w:bottom="1440" w:gutter="0" w:footer="0" w:header="0"/>
          <w:type w:val="continuous"/>
        </w:sectPr>
      </w:pPr>
    </w:p>
    <w:bookmarkStart w:id="34" w:name="page35"/>
    <w:bookmarkEnd w:id="34"/>
    <w:p>
      <w:pPr>
        <w:ind w:left="2260"/>
        <w:spacing w:after="0"/>
        <w:tabs>
          <w:tab w:leader="none" w:pos="2460" w:val="left"/>
          <w:tab w:leader="none" w:pos="7420"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3397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4705" cy="339725"/>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319" w:lineRule="exact"/>
        <w:rPr>
          <w:sz w:val="20"/>
          <w:szCs w:val="20"/>
          <w:color w:val="auto"/>
        </w:rPr>
      </w:pPr>
    </w:p>
    <w:p>
      <w:pPr>
        <w:spacing w:after="0"/>
        <w:rPr>
          <w:sz w:val="20"/>
          <w:szCs w:val="20"/>
          <w:color w:val="auto"/>
        </w:rPr>
      </w:pPr>
      <w:r>
        <w:rPr>
          <w:rFonts w:ascii="Arial" w:cs="Arial" w:eastAsia="Arial" w:hAnsi="Arial"/>
          <w:sz w:val="40"/>
          <w:szCs w:val="40"/>
          <w:b w:val="1"/>
          <w:bCs w:val="1"/>
          <w:color w:val="E93BAC"/>
        </w:rPr>
        <w:t xml:space="preserve">06 </w:t>
      </w:r>
      <w:r>
        <w:rPr>
          <w:rFonts w:ascii="Arial" w:cs="Arial" w:eastAsia="Arial" w:hAnsi="Arial"/>
          <w:sz w:val="24"/>
          <w:szCs w:val="24"/>
          <w:color w:val="E93BAB"/>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118745</wp:posOffset>
            </wp:positionV>
            <wp:extent cx="6597015" cy="8883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597015" cy="888365"/>
                    </a:xfrm>
                    <a:prstGeom prst="rect">
                      <a:avLst/>
                    </a:prstGeom>
                    <a:noFill/>
                  </pic:spPr>
                </pic:pic>
              </a:graphicData>
            </a:graphic>
          </wp:anchor>
        </w:drawing>
      </w:r>
    </w:p>
    <w:p>
      <w:pPr>
        <w:spacing w:after="0" w:line="236" w:lineRule="exact"/>
        <w:rPr>
          <w:sz w:val="20"/>
          <w:szCs w:val="20"/>
          <w:color w:val="auto"/>
        </w:rPr>
      </w:pPr>
    </w:p>
    <w:p>
      <w:pPr>
        <w:jc w:val="both"/>
        <w:ind w:left="100" w:right="120"/>
        <w:spacing w:after="0" w:line="264" w:lineRule="auto"/>
        <w:rPr>
          <w:sz w:val="20"/>
          <w:szCs w:val="20"/>
          <w:color w:val="auto"/>
        </w:rPr>
      </w:pPr>
      <w:r>
        <w:rPr>
          <w:rFonts w:ascii="Arial" w:cs="Arial" w:eastAsia="Arial" w:hAnsi="Arial"/>
          <w:sz w:val="13"/>
          <w:szCs w:val="13"/>
          <w:color w:val="FFFFFF"/>
        </w:rPr>
        <w:t>The evolution of Other Core Income was bolstered by our operations at BCP Bolivia. If we exclude the effects of these operations, Other Core Income increased 10.6% QoQ. Growth was concentrated at BCP, driven by (i) an increase in transactions through Yape and growth in the volume of interbank transfers; and (ii) expansion the volume of FX transactions. YoY and YTD, the uptick of 16.7% and 12.8%, respectively, was led by BCP, driven primarily by Yape and core transactional services at the bank. Additionally, Credicorp Capital was a contributor of fee income growth through the Wealth Management and Brokerage businesses.</w:t>
      </w:r>
    </w:p>
    <w:p>
      <w:pPr>
        <w:spacing w:after="0" w:line="114" w:lineRule="exact"/>
        <w:rPr>
          <w:sz w:val="20"/>
          <w:szCs w:val="20"/>
          <w:color w:val="auto"/>
        </w:rPr>
      </w:pPr>
    </w:p>
    <w:p>
      <w:pPr>
        <w:jc w:val="both"/>
        <w:ind w:left="100" w:right="120"/>
        <w:spacing w:after="0" w:line="244" w:lineRule="auto"/>
        <w:rPr>
          <w:sz w:val="20"/>
          <w:szCs w:val="20"/>
          <w:color w:val="auto"/>
        </w:rPr>
      </w:pPr>
      <w:r>
        <w:rPr>
          <w:rFonts w:ascii="Arial" w:cs="Arial" w:eastAsia="Arial" w:hAnsi="Arial"/>
          <w:sz w:val="14"/>
          <w:szCs w:val="14"/>
          <w:color w:val="FFFFFF"/>
        </w:rPr>
        <w:t>QoQ, Other Non-core Income rose, buoyed by extraordinary income at BCP and Pacífico and by an increase in the Net gain on securities following a revaluation of BCP’s portfolio. YoY and YTD, growth in Other Non-core Income was in line with (i) an increase in income from derivatives via gains generated by trading strategies at Credicorp Capital, and the currency hedging</w:t>
      </w: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6.1. Other Core Income</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99"/>
        </w:trPr>
        <w:tc>
          <w:tcPr>
            <w:tcW w:w="4080" w:type="dxa"/>
            <w:vAlign w:val="bottom"/>
            <w:tcBorders>
              <w:top w:val="single" w:sz="8" w:color="auto"/>
              <w:left w:val="single" w:sz="8" w:color="auto"/>
              <w:right w:val="single" w:sz="8" w:color="auto"/>
            </w:tcBorders>
            <w:shd w:val="clear" w:color="auto" w:fill="2AD2C9"/>
          </w:tcPr>
          <w:p>
            <w:pPr>
              <w:ind w:left="20"/>
              <w:spacing w:after="0" w:line="99" w:lineRule="exact"/>
              <w:rPr>
                <w:sz w:val="20"/>
                <w:szCs w:val="20"/>
                <w:color w:val="auto"/>
              </w:rPr>
            </w:pPr>
            <w:r>
              <w:rPr>
                <w:rFonts w:ascii="Arial" w:cs="Arial" w:eastAsia="Arial" w:hAnsi="Arial"/>
                <w:sz w:val="10"/>
                <w:szCs w:val="10"/>
                <w:b w:val="1"/>
                <w:bCs w:val="1"/>
                <w:color w:val="FFFFFF"/>
              </w:rPr>
              <w:t>Other Core Income</w:t>
            </w:r>
          </w:p>
        </w:tc>
        <w:tc>
          <w:tcPr>
            <w:tcW w:w="760" w:type="dxa"/>
            <w:vAlign w:val="bottom"/>
            <w:tcBorders>
              <w:top w:val="single" w:sz="8" w:color="auto"/>
            </w:tcBorders>
            <w:shd w:val="clear" w:color="auto" w:fill="2AD2C9"/>
          </w:tcPr>
          <w:p>
            <w:pPr>
              <w:spacing w:after="0"/>
              <w:rPr>
                <w:sz w:val="8"/>
                <w:szCs w:val="8"/>
                <w:color w:val="auto"/>
              </w:rPr>
            </w:pPr>
          </w:p>
        </w:tc>
        <w:tc>
          <w:tcPr>
            <w:tcW w:w="780" w:type="dxa"/>
            <w:vAlign w:val="bottom"/>
            <w:tcBorders>
              <w:top w:val="single" w:sz="8" w:color="auto"/>
            </w:tcBorders>
            <w:shd w:val="clear" w:color="auto" w:fill="2AD2C9"/>
          </w:tcPr>
          <w:p>
            <w:pPr>
              <w:ind w:left="220"/>
              <w:spacing w:after="0" w:line="99" w:lineRule="exact"/>
              <w:rPr>
                <w:sz w:val="20"/>
                <w:szCs w:val="20"/>
                <w:color w:val="auto"/>
              </w:rPr>
            </w:pPr>
            <w:r>
              <w:rPr>
                <w:rFonts w:ascii="Arial" w:cs="Arial" w:eastAsia="Arial" w:hAnsi="Arial"/>
                <w:sz w:val="10"/>
                <w:szCs w:val="10"/>
                <w:b w:val="1"/>
                <w:bCs w:val="1"/>
                <w:color w:val="FFFFFF"/>
              </w:rPr>
              <w:t>Quarter</w:t>
            </w:r>
          </w:p>
        </w:tc>
        <w:tc>
          <w:tcPr>
            <w:tcW w:w="800" w:type="dxa"/>
            <w:vAlign w:val="bottom"/>
            <w:tcBorders>
              <w:top w:val="single" w:sz="8" w:color="auto"/>
              <w:right w:val="single" w:sz="8" w:color="auto"/>
            </w:tcBorders>
            <w:shd w:val="clear" w:color="auto" w:fill="2AD2C9"/>
          </w:tcPr>
          <w:p>
            <w:pPr>
              <w:spacing w:after="0"/>
              <w:rPr>
                <w:sz w:val="8"/>
                <w:szCs w:val="8"/>
                <w:color w:val="auto"/>
              </w:rPr>
            </w:pPr>
          </w:p>
        </w:tc>
        <w:tc>
          <w:tcPr>
            <w:tcW w:w="540" w:type="dxa"/>
            <w:vAlign w:val="bottom"/>
            <w:tcBorders>
              <w:top w:val="single" w:sz="8" w:color="auto"/>
            </w:tcBorders>
            <w:shd w:val="clear" w:color="auto" w:fill="2AD2C9"/>
          </w:tcPr>
          <w:p>
            <w:pPr>
              <w:spacing w:after="0"/>
              <w:rPr>
                <w:sz w:val="8"/>
                <w:szCs w:val="8"/>
                <w:color w:val="auto"/>
              </w:rPr>
            </w:pPr>
          </w:p>
        </w:tc>
        <w:tc>
          <w:tcPr>
            <w:tcW w:w="1040" w:type="dxa"/>
            <w:vAlign w:val="bottom"/>
            <w:tcBorders>
              <w:top w:val="single" w:sz="8" w:color="auto"/>
              <w:right w:val="single" w:sz="8" w:color="auto"/>
            </w:tcBorders>
            <w:shd w:val="clear" w:color="auto" w:fill="2AD2C9"/>
          </w:tcPr>
          <w:p>
            <w:pPr>
              <w:spacing w:after="0" w:line="99" w:lineRule="exact"/>
              <w:rPr>
                <w:sz w:val="20"/>
                <w:szCs w:val="20"/>
                <w:color w:val="auto"/>
              </w:rPr>
            </w:pPr>
            <w:r>
              <w:rPr>
                <w:rFonts w:ascii="Arial" w:cs="Arial" w:eastAsia="Arial" w:hAnsi="Arial"/>
                <w:sz w:val="10"/>
                <w:szCs w:val="10"/>
                <w:b w:val="1"/>
                <w:bCs w:val="1"/>
                <w:color w:val="FFFFFF"/>
              </w:rPr>
              <w:t>% Change</w:t>
            </w:r>
          </w:p>
        </w:tc>
        <w:tc>
          <w:tcPr>
            <w:tcW w:w="640" w:type="dxa"/>
            <w:vAlign w:val="bottom"/>
            <w:tcBorders>
              <w:top w:val="single" w:sz="8" w:color="auto"/>
            </w:tcBorders>
            <w:shd w:val="clear" w:color="auto" w:fill="2AD2C9"/>
          </w:tcPr>
          <w:p>
            <w:pPr>
              <w:spacing w:after="0"/>
              <w:rPr>
                <w:sz w:val="8"/>
                <w:szCs w:val="8"/>
                <w:color w:val="auto"/>
              </w:rPr>
            </w:pPr>
          </w:p>
        </w:tc>
        <w:tc>
          <w:tcPr>
            <w:tcW w:w="960" w:type="dxa"/>
            <w:vAlign w:val="bottom"/>
            <w:tcBorders>
              <w:top w:val="single" w:sz="8" w:color="auto"/>
              <w:right w:val="single" w:sz="8" w:color="auto"/>
            </w:tcBorders>
            <w:shd w:val="clear" w:color="auto" w:fill="2AD2C9"/>
          </w:tcPr>
          <w:p>
            <w:pPr>
              <w:ind w:left="20"/>
              <w:spacing w:after="0" w:line="99" w:lineRule="exact"/>
              <w:rPr>
                <w:sz w:val="20"/>
                <w:szCs w:val="20"/>
                <w:color w:val="auto"/>
              </w:rPr>
            </w:pPr>
            <w:r>
              <w:rPr>
                <w:rFonts w:ascii="Arial" w:cs="Arial" w:eastAsia="Arial" w:hAnsi="Arial"/>
                <w:sz w:val="10"/>
                <w:szCs w:val="10"/>
                <w:b w:val="1"/>
                <w:bCs w:val="1"/>
                <w:color w:val="FFFFFF"/>
              </w:rPr>
              <w:t>Up to</w:t>
            </w:r>
          </w:p>
        </w:tc>
        <w:tc>
          <w:tcPr>
            <w:tcW w:w="780" w:type="dxa"/>
            <w:vAlign w:val="bottom"/>
            <w:tcBorders>
              <w:top w:val="single" w:sz="8" w:color="auto"/>
              <w:right w:val="single" w:sz="8" w:color="auto"/>
            </w:tcBorders>
            <w:shd w:val="clear" w:color="auto" w:fill="2AD2C9"/>
          </w:tcPr>
          <w:p>
            <w:pPr>
              <w:ind w:left="140"/>
              <w:spacing w:after="0" w:line="99" w:lineRule="exact"/>
              <w:rPr>
                <w:sz w:val="20"/>
                <w:szCs w:val="20"/>
                <w:color w:val="auto"/>
              </w:rPr>
            </w:pPr>
            <w:r>
              <w:rPr>
                <w:rFonts w:ascii="Arial" w:cs="Arial" w:eastAsia="Arial" w:hAnsi="Arial"/>
                <w:sz w:val="10"/>
                <w:szCs w:val="10"/>
                <w:b w:val="1"/>
                <w:bCs w:val="1"/>
                <w:color w:val="FFFFFF"/>
              </w:rPr>
              <w:t>% Change</w:t>
            </w:r>
          </w:p>
        </w:tc>
      </w:tr>
      <w:tr>
        <w:trPr>
          <w:trHeight w:val="117"/>
        </w:trPr>
        <w:tc>
          <w:tcPr>
            <w:tcW w:w="408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0"/>
                <w:szCs w:val="10"/>
                <w:b w:val="1"/>
                <w:bCs w:val="1"/>
                <w:color w:val="FFFFFF"/>
              </w:rPr>
              <w:t>S/ (000)</w:t>
            </w:r>
          </w:p>
        </w:tc>
        <w:tc>
          <w:tcPr>
            <w:tcW w:w="7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7"/>
              </w:rPr>
              <w:t>2Q23</w:t>
            </w:r>
          </w:p>
        </w:tc>
        <w:tc>
          <w:tcPr>
            <w:tcW w:w="7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89"/>
              </w:rPr>
              <w:t>1Q24</w:t>
            </w:r>
          </w:p>
        </w:tc>
        <w:tc>
          <w:tcPr>
            <w:tcW w:w="8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89"/>
              </w:rPr>
              <w:t>2Q24</w:t>
            </w:r>
          </w:p>
        </w:tc>
        <w:tc>
          <w:tcPr>
            <w:tcW w:w="540" w:type="dxa"/>
            <w:vAlign w:val="bottom"/>
            <w:tcBorders>
              <w:bottom w:val="single" w:sz="8" w:color="auto"/>
            </w:tcBorders>
            <w:shd w:val="clear" w:color="auto" w:fill="2AD2C9"/>
          </w:tcPr>
          <w:p>
            <w:pPr>
              <w:ind w:left="280"/>
              <w:spacing w:after="0"/>
              <w:rPr>
                <w:sz w:val="20"/>
                <w:szCs w:val="20"/>
                <w:color w:val="auto"/>
              </w:rPr>
            </w:pPr>
            <w:r>
              <w:rPr>
                <w:rFonts w:ascii="Arial" w:cs="Arial" w:eastAsia="Arial" w:hAnsi="Arial"/>
                <w:sz w:val="10"/>
                <w:szCs w:val="10"/>
                <w:b w:val="1"/>
                <w:bCs w:val="1"/>
                <w:color w:val="FFFFFF"/>
              </w:rPr>
              <w:t>QoQ</w:t>
            </w:r>
          </w:p>
        </w:tc>
        <w:tc>
          <w:tcPr>
            <w:tcW w:w="1040" w:type="dxa"/>
            <w:vAlign w:val="bottom"/>
            <w:tcBorders>
              <w:bottom w:val="single" w:sz="8" w:color="auto"/>
              <w:right w:val="single" w:sz="8" w:color="auto"/>
            </w:tcBorders>
            <w:shd w:val="clear" w:color="auto" w:fill="2AD2C9"/>
          </w:tcPr>
          <w:p>
            <w:pPr>
              <w:ind w:left="540"/>
              <w:spacing w:after="0"/>
              <w:rPr>
                <w:sz w:val="20"/>
                <w:szCs w:val="20"/>
                <w:color w:val="auto"/>
              </w:rPr>
            </w:pPr>
            <w:r>
              <w:rPr>
                <w:rFonts w:ascii="Arial" w:cs="Arial" w:eastAsia="Arial" w:hAnsi="Arial"/>
                <w:sz w:val="10"/>
                <w:szCs w:val="10"/>
                <w:b w:val="1"/>
                <w:bCs w:val="1"/>
                <w:color w:val="FFFFFF"/>
              </w:rPr>
              <w:t>YoY</w:t>
            </w:r>
          </w:p>
        </w:tc>
        <w:tc>
          <w:tcPr>
            <w:tcW w:w="640" w:type="dxa"/>
            <w:vAlign w:val="bottom"/>
            <w:tcBorders>
              <w:bottom w:val="single" w:sz="8" w:color="auto"/>
            </w:tcBorders>
            <w:shd w:val="clear" w:color="auto" w:fill="2AD2C9"/>
          </w:tcPr>
          <w:p>
            <w:pPr>
              <w:jc w:val="center"/>
              <w:ind w:left="94"/>
              <w:spacing w:after="0"/>
              <w:rPr>
                <w:sz w:val="20"/>
                <w:szCs w:val="20"/>
                <w:color w:val="auto"/>
              </w:rPr>
            </w:pPr>
            <w:r>
              <w:rPr>
                <w:rFonts w:ascii="Arial" w:cs="Arial" w:eastAsia="Arial" w:hAnsi="Arial"/>
                <w:sz w:val="10"/>
                <w:szCs w:val="10"/>
                <w:b w:val="1"/>
                <w:bCs w:val="1"/>
                <w:color w:val="FFFFFF"/>
                <w:w w:val="91"/>
              </w:rPr>
              <w:t>1H23</w:t>
            </w:r>
          </w:p>
        </w:tc>
        <w:tc>
          <w:tcPr>
            <w:tcW w:w="960" w:type="dxa"/>
            <w:vAlign w:val="bottom"/>
            <w:tcBorders>
              <w:bottom w:val="single" w:sz="8" w:color="auto"/>
              <w:right w:val="single" w:sz="8" w:color="auto"/>
            </w:tcBorders>
            <w:shd w:val="clear" w:color="auto" w:fill="2AD2C9"/>
          </w:tcPr>
          <w:p>
            <w:pPr>
              <w:jc w:val="center"/>
              <w:ind w:left="53"/>
              <w:spacing w:after="0"/>
              <w:rPr>
                <w:sz w:val="20"/>
                <w:szCs w:val="20"/>
                <w:color w:val="auto"/>
              </w:rPr>
            </w:pPr>
            <w:r>
              <w:rPr>
                <w:rFonts w:ascii="Arial" w:cs="Arial" w:eastAsia="Arial" w:hAnsi="Arial"/>
                <w:sz w:val="10"/>
                <w:szCs w:val="10"/>
                <w:b w:val="1"/>
                <w:bCs w:val="1"/>
                <w:color w:val="FFFFFF"/>
                <w:w w:val="91"/>
              </w:rPr>
              <w:t>1H24</w:t>
            </w:r>
          </w:p>
        </w:tc>
        <w:tc>
          <w:tcPr>
            <w:tcW w:w="7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6"/>
              </w:rPr>
              <w:t>1H24 / 1H23</w:t>
            </w:r>
          </w:p>
        </w:tc>
      </w:tr>
      <w:tr>
        <w:trPr>
          <w:trHeight w:val="81"/>
        </w:trPr>
        <w:tc>
          <w:tcPr>
            <w:tcW w:w="4080" w:type="dxa"/>
            <w:vAlign w:val="bottom"/>
            <w:tcBorders>
              <w:left w:val="single" w:sz="8" w:color="auto"/>
              <w:right w:val="single" w:sz="8" w:color="auto"/>
            </w:tcBorders>
          </w:tcPr>
          <w:p>
            <w:pPr>
              <w:ind w:left="20"/>
              <w:spacing w:after="0" w:line="81" w:lineRule="exact"/>
              <w:rPr>
                <w:sz w:val="20"/>
                <w:szCs w:val="20"/>
                <w:color w:val="auto"/>
              </w:rPr>
            </w:pPr>
            <w:r>
              <w:rPr>
                <w:rFonts w:ascii="Arial" w:cs="Arial" w:eastAsia="Arial" w:hAnsi="Arial"/>
                <w:sz w:val="8"/>
                <w:szCs w:val="8"/>
                <w:color w:val="auto"/>
              </w:rPr>
              <w:t>Fee Income</w:t>
            </w:r>
          </w:p>
        </w:tc>
        <w:tc>
          <w:tcPr>
            <w:tcW w:w="760" w:type="dxa"/>
            <w:vAlign w:val="bottom"/>
          </w:tcPr>
          <w:p>
            <w:pPr>
              <w:jc w:val="center"/>
              <w:spacing w:after="0" w:line="81" w:lineRule="exact"/>
              <w:rPr>
                <w:sz w:val="20"/>
                <w:szCs w:val="20"/>
                <w:color w:val="auto"/>
              </w:rPr>
            </w:pPr>
            <w:r>
              <w:rPr>
                <w:rFonts w:ascii="Arial" w:cs="Arial" w:eastAsia="Arial" w:hAnsi="Arial"/>
                <w:sz w:val="8"/>
                <w:szCs w:val="8"/>
                <w:color w:val="auto"/>
              </w:rPr>
              <w:t>960,550</w:t>
            </w:r>
          </w:p>
        </w:tc>
        <w:tc>
          <w:tcPr>
            <w:tcW w:w="780" w:type="dxa"/>
            <w:vAlign w:val="bottom"/>
          </w:tcPr>
          <w:p>
            <w:pPr>
              <w:jc w:val="center"/>
              <w:spacing w:after="0" w:line="81" w:lineRule="exact"/>
              <w:rPr>
                <w:sz w:val="20"/>
                <w:szCs w:val="20"/>
                <w:color w:val="auto"/>
              </w:rPr>
            </w:pPr>
            <w:r>
              <w:rPr>
                <w:rFonts w:ascii="Arial" w:cs="Arial" w:eastAsia="Arial" w:hAnsi="Arial"/>
                <w:sz w:val="8"/>
                <w:szCs w:val="8"/>
                <w:color w:val="auto"/>
              </w:rPr>
              <w:t>1,062,501</w:t>
            </w:r>
          </w:p>
        </w:tc>
        <w:tc>
          <w:tcPr>
            <w:tcW w:w="80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1,148,830</w:t>
            </w:r>
          </w:p>
        </w:tc>
        <w:tc>
          <w:tcPr>
            <w:tcW w:w="540" w:type="dxa"/>
            <w:vAlign w:val="bottom"/>
          </w:tcPr>
          <w:p>
            <w:pPr>
              <w:jc w:val="center"/>
              <w:ind w:left="194"/>
              <w:spacing w:after="0" w:line="81" w:lineRule="exact"/>
              <w:rPr>
                <w:sz w:val="20"/>
                <w:szCs w:val="20"/>
                <w:color w:val="auto"/>
              </w:rPr>
            </w:pPr>
            <w:r>
              <w:rPr>
                <w:rFonts w:ascii="Arial" w:cs="Arial" w:eastAsia="Arial" w:hAnsi="Arial"/>
                <w:sz w:val="8"/>
                <w:szCs w:val="8"/>
                <w:color w:val="auto"/>
              </w:rPr>
              <w:t>8.1%</w:t>
            </w:r>
          </w:p>
        </w:tc>
        <w:tc>
          <w:tcPr>
            <w:tcW w:w="1040" w:type="dxa"/>
            <w:vAlign w:val="bottom"/>
            <w:tcBorders>
              <w:right w:val="single" w:sz="8" w:color="auto"/>
            </w:tcBorders>
          </w:tcPr>
          <w:p>
            <w:pPr>
              <w:jc w:val="center"/>
              <w:ind w:left="173"/>
              <w:spacing w:after="0" w:line="81" w:lineRule="exact"/>
              <w:rPr>
                <w:sz w:val="20"/>
                <w:szCs w:val="20"/>
                <w:color w:val="auto"/>
              </w:rPr>
            </w:pPr>
            <w:r>
              <w:rPr>
                <w:rFonts w:ascii="Arial" w:cs="Arial" w:eastAsia="Arial" w:hAnsi="Arial"/>
                <w:sz w:val="8"/>
                <w:szCs w:val="8"/>
                <w:color w:val="auto"/>
              </w:rPr>
              <w:t>19.6%</w:t>
            </w:r>
          </w:p>
        </w:tc>
        <w:tc>
          <w:tcPr>
            <w:tcW w:w="640" w:type="dxa"/>
            <w:vAlign w:val="bottom"/>
          </w:tcPr>
          <w:p>
            <w:pPr>
              <w:jc w:val="center"/>
              <w:ind w:left="94"/>
              <w:spacing w:after="0" w:line="81" w:lineRule="exact"/>
              <w:rPr>
                <w:sz w:val="20"/>
                <w:szCs w:val="20"/>
                <w:color w:val="auto"/>
              </w:rPr>
            </w:pPr>
            <w:r>
              <w:rPr>
                <w:rFonts w:ascii="Arial" w:cs="Arial" w:eastAsia="Arial" w:hAnsi="Arial"/>
                <w:sz w:val="8"/>
                <w:szCs w:val="8"/>
                <w:color w:val="auto"/>
              </w:rPr>
              <w:t>1,842,331</w:t>
            </w:r>
          </w:p>
        </w:tc>
        <w:tc>
          <w:tcPr>
            <w:tcW w:w="960" w:type="dxa"/>
            <w:vAlign w:val="bottom"/>
            <w:tcBorders>
              <w:right w:val="single" w:sz="8" w:color="auto"/>
            </w:tcBorders>
          </w:tcPr>
          <w:p>
            <w:pPr>
              <w:jc w:val="center"/>
              <w:ind w:left="53"/>
              <w:spacing w:after="0" w:line="81" w:lineRule="exact"/>
              <w:rPr>
                <w:sz w:val="20"/>
                <w:szCs w:val="20"/>
                <w:color w:val="auto"/>
              </w:rPr>
            </w:pPr>
            <w:r>
              <w:rPr>
                <w:rFonts w:ascii="Arial" w:cs="Arial" w:eastAsia="Arial" w:hAnsi="Arial"/>
                <w:sz w:val="8"/>
                <w:szCs w:val="8"/>
                <w:color w:val="auto"/>
              </w:rPr>
              <w:t>2,211,331</w:t>
            </w:r>
          </w:p>
        </w:tc>
        <w:tc>
          <w:tcPr>
            <w:tcW w:w="78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20.0%</w:t>
            </w:r>
          </w:p>
        </w:tc>
      </w:tr>
      <w:tr>
        <w:trPr>
          <w:trHeight w:val="115"/>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Net Gain on Foreing exchange transactions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3"/>
              </w:rPr>
              <w:t>210,944</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3"/>
              </w:rPr>
              <w:t>166,269</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3"/>
              </w:rPr>
              <w:t>217,896</w:t>
            </w:r>
          </w:p>
        </w:tc>
        <w:tc>
          <w:tcPr>
            <w:tcW w:w="540" w:type="dxa"/>
            <w:vAlign w:val="bottom"/>
            <w:tcBorders>
              <w:bottom w:val="single" w:sz="8" w:color="auto"/>
            </w:tcBorders>
          </w:tcPr>
          <w:p>
            <w:pPr>
              <w:jc w:val="center"/>
              <w:ind w:left="174"/>
              <w:spacing w:after="0"/>
              <w:rPr>
                <w:sz w:val="20"/>
                <w:szCs w:val="20"/>
                <w:color w:val="auto"/>
              </w:rPr>
            </w:pPr>
            <w:r>
              <w:rPr>
                <w:rFonts w:ascii="Arial" w:cs="Arial" w:eastAsia="Arial" w:hAnsi="Arial"/>
                <w:sz w:val="10"/>
                <w:szCs w:val="10"/>
                <w:color w:val="auto"/>
                <w:w w:val="98"/>
              </w:rPr>
              <w:t>31.1%</w:t>
            </w:r>
          </w:p>
        </w:tc>
        <w:tc>
          <w:tcPr>
            <w:tcW w:w="1040" w:type="dxa"/>
            <w:vAlign w:val="bottom"/>
            <w:tcBorders>
              <w:bottom w:val="single" w:sz="8" w:color="auto"/>
              <w:right w:val="single" w:sz="8" w:color="auto"/>
            </w:tcBorders>
          </w:tcPr>
          <w:p>
            <w:pPr>
              <w:jc w:val="center"/>
              <w:ind w:left="173"/>
              <w:spacing w:after="0"/>
              <w:rPr>
                <w:sz w:val="20"/>
                <w:szCs w:val="20"/>
                <w:color w:val="auto"/>
              </w:rPr>
            </w:pPr>
            <w:r>
              <w:rPr>
                <w:rFonts w:ascii="Arial" w:cs="Arial" w:eastAsia="Arial" w:hAnsi="Arial"/>
                <w:sz w:val="10"/>
                <w:szCs w:val="10"/>
                <w:color w:val="auto"/>
                <w:w w:val="96"/>
              </w:rPr>
              <w:t>3.3%</w:t>
            </w:r>
          </w:p>
        </w:tc>
        <w:tc>
          <w:tcPr>
            <w:tcW w:w="640" w:type="dxa"/>
            <w:vAlign w:val="bottom"/>
            <w:tcBorders>
              <w:bottom w:val="single" w:sz="8" w:color="auto"/>
            </w:tcBorders>
          </w:tcPr>
          <w:p>
            <w:pPr>
              <w:jc w:val="center"/>
              <w:ind w:left="94"/>
              <w:spacing w:after="0"/>
              <w:rPr>
                <w:sz w:val="20"/>
                <w:szCs w:val="20"/>
                <w:color w:val="auto"/>
              </w:rPr>
            </w:pPr>
            <w:r>
              <w:rPr>
                <w:rFonts w:ascii="Arial" w:cs="Arial" w:eastAsia="Arial" w:hAnsi="Arial"/>
                <w:sz w:val="10"/>
                <w:szCs w:val="10"/>
                <w:color w:val="auto"/>
                <w:w w:val="93"/>
              </w:rPr>
              <w:t>459,459</w:t>
            </w:r>
          </w:p>
        </w:tc>
        <w:tc>
          <w:tcPr>
            <w:tcW w:w="960" w:type="dxa"/>
            <w:vAlign w:val="bottom"/>
            <w:tcBorders>
              <w:bottom w:val="single" w:sz="8" w:color="auto"/>
              <w:right w:val="single" w:sz="8" w:color="auto"/>
            </w:tcBorders>
          </w:tcPr>
          <w:p>
            <w:pPr>
              <w:jc w:val="center"/>
              <w:ind w:left="53"/>
              <w:spacing w:after="0"/>
              <w:rPr>
                <w:sz w:val="20"/>
                <w:szCs w:val="20"/>
                <w:color w:val="auto"/>
              </w:rPr>
            </w:pPr>
            <w:r>
              <w:rPr>
                <w:rFonts w:ascii="Arial" w:cs="Arial" w:eastAsia="Arial" w:hAnsi="Arial"/>
                <w:sz w:val="10"/>
                <w:szCs w:val="10"/>
                <w:color w:val="auto"/>
                <w:w w:val="93"/>
              </w:rPr>
              <w:t>384,165</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4"/>
              </w:rPr>
              <w:t>-16.4%</w:t>
            </w:r>
          </w:p>
        </w:tc>
      </w:tr>
      <w:tr>
        <w:trPr>
          <w:trHeight w:val="93"/>
        </w:trPr>
        <w:tc>
          <w:tcPr>
            <w:tcW w:w="4080" w:type="dxa"/>
            <w:vAlign w:val="bottom"/>
            <w:tcBorders>
              <w:left w:val="single" w:sz="8" w:color="auto"/>
              <w:bottom w:val="single" w:sz="8" w:color="auto"/>
              <w:right w:val="single" w:sz="8" w:color="auto"/>
            </w:tcBorders>
          </w:tcPr>
          <w:p>
            <w:pPr>
              <w:ind w:left="20"/>
              <w:spacing w:after="0" w:line="93" w:lineRule="exact"/>
              <w:rPr>
                <w:sz w:val="20"/>
                <w:szCs w:val="20"/>
                <w:color w:val="auto"/>
              </w:rPr>
            </w:pPr>
            <w:r>
              <w:rPr>
                <w:rFonts w:ascii="Arial" w:cs="Arial" w:eastAsia="Arial" w:hAnsi="Arial"/>
                <w:sz w:val="10"/>
                <w:szCs w:val="10"/>
                <w:b w:val="1"/>
                <w:bCs w:val="1"/>
                <w:color w:val="auto"/>
              </w:rPr>
              <w:t>Total Other Income</w:t>
            </w:r>
          </w:p>
        </w:tc>
        <w:tc>
          <w:tcPr>
            <w:tcW w:w="76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4"/>
              </w:rPr>
              <w:t>1,171,494</w:t>
            </w:r>
          </w:p>
        </w:tc>
        <w:tc>
          <w:tcPr>
            <w:tcW w:w="78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4"/>
              </w:rPr>
              <w:t>1,228,770</w:t>
            </w:r>
          </w:p>
        </w:tc>
        <w:tc>
          <w:tcPr>
            <w:tcW w:w="80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4"/>
              </w:rPr>
              <w:t>1,366,726</w:t>
            </w:r>
          </w:p>
        </w:tc>
        <w:tc>
          <w:tcPr>
            <w:tcW w:w="540" w:type="dxa"/>
            <w:vAlign w:val="bottom"/>
            <w:tcBorders>
              <w:bottom w:val="single" w:sz="8" w:color="auto"/>
            </w:tcBorders>
          </w:tcPr>
          <w:p>
            <w:pPr>
              <w:jc w:val="center"/>
              <w:ind w:left="194"/>
              <w:spacing w:after="0" w:line="93" w:lineRule="exact"/>
              <w:rPr>
                <w:sz w:val="20"/>
                <w:szCs w:val="20"/>
                <w:color w:val="auto"/>
              </w:rPr>
            </w:pPr>
            <w:r>
              <w:rPr>
                <w:rFonts w:ascii="Arial" w:cs="Arial" w:eastAsia="Arial" w:hAnsi="Arial"/>
                <w:sz w:val="10"/>
                <w:szCs w:val="10"/>
                <w:b w:val="1"/>
                <w:bCs w:val="1"/>
                <w:color w:val="auto"/>
                <w:w w:val="91"/>
              </w:rPr>
              <w:t>11.2%</w:t>
            </w:r>
          </w:p>
        </w:tc>
        <w:tc>
          <w:tcPr>
            <w:tcW w:w="1040" w:type="dxa"/>
            <w:vAlign w:val="bottom"/>
            <w:tcBorders>
              <w:bottom w:val="single" w:sz="8" w:color="auto"/>
              <w:right w:val="single" w:sz="8" w:color="auto"/>
            </w:tcBorders>
          </w:tcPr>
          <w:p>
            <w:pPr>
              <w:jc w:val="center"/>
              <w:ind w:left="173"/>
              <w:spacing w:after="0" w:line="93" w:lineRule="exact"/>
              <w:rPr>
                <w:sz w:val="20"/>
                <w:szCs w:val="20"/>
                <w:color w:val="auto"/>
              </w:rPr>
            </w:pPr>
            <w:r>
              <w:rPr>
                <w:rFonts w:ascii="Arial" w:cs="Arial" w:eastAsia="Arial" w:hAnsi="Arial"/>
                <w:sz w:val="10"/>
                <w:szCs w:val="10"/>
                <w:b w:val="1"/>
                <w:bCs w:val="1"/>
                <w:color w:val="auto"/>
                <w:w w:val="91"/>
              </w:rPr>
              <w:t>16.7%</w:t>
            </w:r>
          </w:p>
        </w:tc>
        <w:tc>
          <w:tcPr>
            <w:tcW w:w="640" w:type="dxa"/>
            <w:vAlign w:val="bottom"/>
            <w:tcBorders>
              <w:bottom w:val="single" w:sz="8" w:color="auto"/>
            </w:tcBorders>
          </w:tcPr>
          <w:p>
            <w:pPr>
              <w:jc w:val="center"/>
              <w:ind w:left="94"/>
              <w:spacing w:after="0" w:line="93" w:lineRule="exact"/>
              <w:rPr>
                <w:sz w:val="20"/>
                <w:szCs w:val="20"/>
                <w:color w:val="auto"/>
              </w:rPr>
            </w:pPr>
            <w:r>
              <w:rPr>
                <w:rFonts w:ascii="Arial" w:cs="Arial" w:eastAsia="Arial" w:hAnsi="Arial"/>
                <w:sz w:val="10"/>
                <w:szCs w:val="10"/>
                <w:b w:val="1"/>
                <w:bCs w:val="1"/>
                <w:color w:val="auto"/>
                <w:w w:val="94"/>
              </w:rPr>
              <w:t>2,301,790</w:t>
            </w:r>
          </w:p>
        </w:tc>
        <w:tc>
          <w:tcPr>
            <w:tcW w:w="960" w:type="dxa"/>
            <w:vAlign w:val="bottom"/>
            <w:tcBorders>
              <w:bottom w:val="single" w:sz="8" w:color="auto"/>
              <w:right w:val="single" w:sz="8" w:color="auto"/>
            </w:tcBorders>
          </w:tcPr>
          <w:p>
            <w:pPr>
              <w:jc w:val="center"/>
              <w:ind w:left="53"/>
              <w:spacing w:after="0" w:line="93" w:lineRule="exact"/>
              <w:rPr>
                <w:sz w:val="20"/>
                <w:szCs w:val="20"/>
                <w:color w:val="auto"/>
              </w:rPr>
            </w:pPr>
            <w:r>
              <w:rPr>
                <w:rFonts w:ascii="Arial" w:cs="Arial" w:eastAsia="Arial" w:hAnsi="Arial"/>
                <w:sz w:val="10"/>
                <w:szCs w:val="10"/>
                <w:b w:val="1"/>
                <w:bCs w:val="1"/>
                <w:color w:val="auto"/>
                <w:w w:val="94"/>
              </w:rPr>
              <w:t>2,595,496</w:t>
            </w:r>
          </w:p>
        </w:tc>
        <w:tc>
          <w:tcPr>
            <w:tcW w:w="78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1"/>
              </w:rPr>
              <w:t>12.8%</w:t>
            </w:r>
          </w:p>
        </w:tc>
      </w:tr>
    </w:tbl>
    <w:p>
      <w:pPr>
        <w:spacing w:after="0" w:line="14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It is important to note that since 2023, Other Core Income have been impacted by our operations at BCP Bolivia, which has adapted its fee structure for foreign transfers to offset losses on currency purchase-sale operations.</w:t>
      </w:r>
    </w:p>
    <w:p>
      <w:pPr>
        <w:spacing w:after="0" w:line="115"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auto"/>
        </w:rPr>
        <w:t xml:space="preserve">If we exclude income from these transactions, Other Core Income rose 10.6% </w:t>
      </w:r>
      <w:r>
        <w:rPr>
          <w:rFonts w:ascii="Arial" w:cs="Arial" w:eastAsia="Arial" w:hAnsi="Arial"/>
          <w:sz w:val="14"/>
          <w:szCs w:val="14"/>
          <w:b w:val="1"/>
          <w:bCs w:val="1"/>
          <w:color w:val="auto"/>
        </w:rPr>
        <w:t>QoQ</w:t>
      </w:r>
      <w:r>
        <w:rPr>
          <w:rFonts w:ascii="Arial" w:cs="Arial" w:eastAsia="Arial" w:hAnsi="Arial"/>
          <w:sz w:val="14"/>
          <w:szCs w:val="14"/>
          <w:color w:val="auto"/>
        </w:rPr>
        <w:t xml:space="preserve">, 16.3% </w:t>
      </w:r>
      <w:r>
        <w:rPr>
          <w:rFonts w:ascii="Arial" w:cs="Arial" w:eastAsia="Arial" w:hAnsi="Arial"/>
          <w:sz w:val="14"/>
          <w:szCs w:val="14"/>
          <w:b w:val="1"/>
          <w:bCs w:val="1"/>
          <w:color w:val="auto"/>
        </w:rPr>
        <w:t>YoY</w:t>
      </w:r>
      <w:r>
        <w:rPr>
          <w:rFonts w:ascii="Arial" w:cs="Arial" w:eastAsia="Arial" w:hAnsi="Arial"/>
          <w:sz w:val="14"/>
          <w:szCs w:val="14"/>
          <w:color w:val="auto"/>
        </w:rPr>
        <w:t xml:space="preserve"> and 12.4% </w:t>
      </w:r>
      <w:r>
        <w:rPr>
          <w:rFonts w:ascii="Arial" w:cs="Arial" w:eastAsia="Arial" w:hAnsi="Arial"/>
          <w:sz w:val="14"/>
          <w:szCs w:val="14"/>
          <w:b w:val="1"/>
          <w:bCs w:val="1"/>
          <w:color w:val="auto"/>
        </w:rPr>
        <w:t>YTD.</w:t>
      </w:r>
      <w:r>
        <w:rPr>
          <w:rFonts w:ascii="Arial" w:cs="Arial" w:eastAsia="Arial" w:hAnsi="Arial"/>
          <w:sz w:val="14"/>
          <w:szCs w:val="14"/>
          <w:color w:val="auto"/>
        </w:rPr>
        <w:t xml:space="preserve"> This growth was primarily driven by an uptick in fee income and to a lesser extent, by a rise in the FX transactions volume at </w:t>
      </w:r>
      <w:r>
        <w:rPr>
          <w:rFonts w:ascii="Arial" w:cs="Arial" w:eastAsia="Arial" w:hAnsi="Arial"/>
          <w:sz w:val="14"/>
          <w:szCs w:val="14"/>
          <w:b w:val="1"/>
          <w:bCs w:val="1"/>
          <w:color w:val="auto"/>
        </w:rPr>
        <w:t>BCP</w:t>
      </w:r>
      <w:r>
        <w:rPr>
          <w:rFonts w:ascii="Arial" w:cs="Arial" w:eastAsia="Arial" w:hAnsi="Arial"/>
          <w:sz w:val="14"/>
          <w:szCs w:val="14"/>
          <w:color w:val="auto"/>
        </w:rPr>
        <w:t>, which was fueled mainly by transactions via digital channels in retail banking. Volumes in Wholesale Banking remained stable over the period.</w:t>
      </w: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Fee Income by Subsidiary</w:t>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79"/>
        </w:trPr>
        <w:tc>
          <w:tcPr>
            <w:tcW w:w="4080" w:type="dxa"/>
            <w:vAlign w:val="bottom"/>
            <w:tcBorders>
              <w:top w:val="single" w:sz="8" w:color="auto"/>
              <w:left w:val="single" w:sz="8" w:color="auto"/>
              <w:right w:val="single" w:sz="8" w:color="auto"/>
            </w:tcBorders>
            <w:shd w:val="clear" w:color="auto" w:fill="2AD2C9"/>
          </w:tcPr>
          <w:p>
            <w:pPr>
              <w:ind w:left="20"/>
              <w:spacing w:after="0" w:line="79" w:lineRule="exact"/>
              <w:rPr>
                <w:sz w:val="20"/>
                <w:szCs w:val="20"/>
                <w:color w:val="auto"/>
              </w:rPr>
            </w:pPr>
            <w:r>
              <w:rPr>
                <w:rFonts w:ascii="Arial" w:cs="Arial" w:eastAsia="Arial" w:hAnsi="Arial"/>
                <w:sz w:val="8"/>
                <w:szCs w:val="8"/>
                <w:b w:val="1"/>
                <w:bCs w:val="1"/>
                <w:color w:val="FFFFFF"/>
              </w:rPr>
              <w:t>Net Fee Income by Subsidiary</w:t>
            </w:r>
          </w:p>
        </w:tc>
        <w:tc>
          <w:tcPr>
            <w:tcW w:w="740" w:type="dxa"/>
            <w:vAlign w:val="bottom"/>
            <w:tcBorders>
              <w:top w:val="single" w:sz="8" w:color="auto"/>
            </w:tcBorders>
            <w:shd w:val="clear" w:color="auto" w:fill="2AD2C9"/>
          </w:tcPr>
          <w:p>
            <w:pPr>
              <w:spacing w:after="0"/>
              <w:rPr>
                <w:sz w:val="6"/>
                <w:szCs w:val="6"/>
                <w:color w:val="auto"/>
              </w:rPr>
            </w:pPr>
          </w:p>
        </w:tc>
        <w:tc>
          <w:tcPr>
            <w:tcW w:w="800" w:type="dxa"/>
            <w:vAlign w:val="bottom"/>
            <w:tcBorders>
              <w:top w:val="single" w:sz="8" w:color="auto"/>
            </w:tcBorders>
            <w:shd w:val="clear" w:color="auto" w:fill="2AD2C9"/>
          </w:tcPr>
          <w:p>
            <w:pPr>
              <w:ind w:left="240"/>
              <w:spacing w:after="0" w:line="79" w:lineRule="exact"/>
              <w:rPr>
                <w:sz w:val="20"/>
                <w:szCs w:val="20"/>
                <w:color w:val="auto"/>
              </w:rPr>
            </w:pPr>
            <w:r>
              <w:rPr>
                <w:rFonts w:ascii="Arial" w:cs="Arial" w:eastAsia="Arial" w:hAnsi="Arial"/>
                <w:sz w:val="8"/>
                <w:szCs w:val="8"/>
                <w:b w:val="1"/>
                <w:bCs w:val="1"/>
                <w:color w:val="FFFFFF"/>
              </w:rPr>
              <w:t>Quarter</w:t>
            </w:r>
          </w:p>
        </w:tc>
        <w:tc>
          <w:tcPr>
            <w:tcW w:w="800" w:type="dxa"/>
            <w:vAlign w:val="bottom"/>
            <w:tcBorders>
              <w:top w:val="single" w:sz="8" w:color="auto"/>
              <w:right w:val="single" w:sz="8" w:color="auto"/>
            </w:tcBorders>
            <w:shd w:val="clear" w:color="auto" w:fill="2AD2C9"/>
          </w:tcPr>
          <w:p>
            <w:pPr>
              <w:spacing w:after="0"/>
              <w:rPr>
                <w:sz w:val="6"/>
                <w:szCs w:val="6"/>
                <w:color w:val="auto"/>
              </w:rPr>
            </w:pPr>
          </w:p>
        </w:tc>
        <w:tc>
          <w:tcPr>
            <w:tcW w:w="540" w:type="dxa"/>
            <w:vAlign w:val="bottom"/>
            <w:tcBorders>
              <w:top w:val="single" w:sz="8" w:color="auto"/>
            </w:tcBorders>
            <w:shd w:val="clear" w:color="auto" w:fill="2AD2C9"/>
          </w:tcPr>
          <w:p>
            <w:pPr>
              <w:spacing w:after="0"/>
              <w:rPr>
                <w:sz w:val="6"/>
                <w:szCs w:val="6"/>
                <w:color w:val="auto"/>
              </w:rPr>
            </w:pPr>
          </w:p>
        </w:tc>
        <w:tc>
          <w:tcPr>
            <w:tcW w:w="1040" w:type="dxa"/>
            <w:vAlign w:val="bottom"/>
            <w:tcBorders>
              <w:top w:val="single" w:sz="8" w:color="auto"/>
              <w:right w:val="single" w:sz="8" w:color="auto"/>
            </w:tcBorders>
            <w:shd w:val="clear" w:color="auto" w:fill="2AD2C9"/>
          </w:tcPr>
          <w:p>
            <w:pPr>
              <w:spacing w:after="0" w:line="79" w:lineRule="exact"/>
              <w:rPr>
                <w:sz w:val="20"/>
                <w:szCs w:val="20"/>
                <w:color w:val="auto"/>
              </w:rPr>
            </w:pPr>
            <w:r>
              <w:rPr>
                <w:rFonts w:ascii="Arial" w:cs="Arial" w:eastAsia="Arial" w:hAnsi="Arial"/>
                <w:sz w:val="8"/>
                <w:szCs w:val="8"/>
                <w:b w:val="1"/>
                <w:bCs w:val="1"/>
                <w:color w:val="FFFFFF"/>
              </w:rPr>
              <w:t>% Change</w:t>
            </w:r>
          </w:p>
        </w:tc>
        <w:tc>
          <w:tcPr>
            <w:tcW w:w="640" w:type="dxa"/>
            <w:vAlign w:val="bottom"/>
            <w:tcBorders>
              <w:top w:val="single" w:sz="8" w:color="auto"/>
            </w:tcBorders>
            <w:shd w:val="clear" w:color="auto" w:fill="2AD2C9"/>
          </w:tcPr>
          <w:p>
            <w:pPr>
              <w:spacing w:after="0"/>
              <w:rPr>
                <w:sz w:val="6"/>
                <w:szCs w:val="6"/>
                <w:color w:val="auto"/>
              </w:rPr>
            </w:pPr>
          </w:p>
        </w:tc>
        <w:tc>
          <w:tcPr>
            <w:tcW w:w="960" w:type="dxa"/>
            <w:vAlign w:val="bottom"/>
            <w:tcBorders>
              <w:top w:val="single" w:sz="8" w:color="auto"/>
              <w:right w:val="single" w:sz="8" w:color="auto"/>
            </w:tcBorders>
            <w:shd w:val="clear" w:color="auto" w:fill="2AD2C9"/>
          </w:tcPr>
          <w:p>
            <w:pPr>
              <w:ind w:left="20"/>
              <w:spacing w:after="0" w:line="79" w:lineRule="exact"/>
              <w:rPr>
                <w:sz w:val="20"/>
                <w:szCs w:val="20"/>
                <w:color w:val="auto"/>
              </w:rPr>
            </w:pPr>
            <w:r>
              <w:rPr>
                <w:rFonts w:ascii="Arial" w:cs="Arial" w:eastAsia="Arial" w:hAnsi="Arial"/>
                <w:sz w:val="8"/>
                <w:szCs w:val="8"/>
                <w:b w:val="1"/>
                <w:bCs w:val="1"/>
                <w:color w:val="FFFFFF"/>
              </w:rPr>
              <w:t>Up to</w:t>
            </w:r>
          </w:p>
        </w:tc>
        <w:tc>
          <w:tcPr>
            <w:tcW w:w="780" w:type="dxa"/>
            <w:vAlign w:val="bottom"/>
            <w:tcBorders>
              <w:top w:val="single" w:sz="8" w:color="auto"/>
              <w:right w:val="single" w:sz="8" w:color="auto"/>
            </w:tcBorders>
            <w:shd w:val="clear" w:color="auto" w:fill="2AD2C9"/>
          </w:tcPr>
          <w:p>
            <w:pPr>
              <w:ind w:left="140"/>
              <w:spacing w:after="0" w:line="79" w:lineRule="exact"/>
              <w:rPr>
                <w:sz w:val="20"/>
                <w:szCs w:val="20"/>
                <w:color w:val="auto"/>
              </w:rPr>
            </w:pPr>
            <w:r>
              <w:rPr>
                <w:rFonts w:ascii="Arial" w:cs="Arial" w:eastAsia="Arial" w:hAnsi="Arial"/>
                <w:sz w:val="8"/>
                <w:szCs w:val="8"/>
                <w:b w:val="1"/>
                <w:bCs w:val="1"/>
                <w:color w:val="FFFFFF"/>
              </w:rPr>
              <w:t>% Change</w:t>
            </w:r>
          </w:p>
        </w:tc>
      </w:tr>
      <w:tr>
        <w:trPr>
          <w:trHeight w:val="117"/>
        </w:trPr>
        <w:tc>
          <w:tcPr>
            <w:tcW w:w="408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0"/>
                <w:szCs w:val="10"/>
                <w:b w:val="1"/>
                <w:bCs w:val="1"/>
                <w:color w:val="FFFFFF"/>
              </w:rPr>
              <w:t>(S/ 000)</w:t>
            </w:r>
          </w:p>
        </w:tc>
        <w:tc>
          <w:tcPr>
            <w:tcW w:w="7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7"/>
              </w:rPr>
              <w:t>2Q23</w:t>
            </w:r>
          </w:p>
        </w:tc>
        <w:tc>
          <w:tcPr>
            <w:tcW w:w="8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89"/>
              </w:rPr>
              <w:t>1Q24</w:t>
            </w:r>
          </w:p>
        </w:tc>
        <w:tc>
          <w:tcPr>
            <w:tcW w:w="8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89"/>
              </w:rPr>
              <w:t>2Q24</w:t>
            </w:r>
          </w:p>
        </w:tc>
        <w:tc>
          <w:tcPr>
            <w:tcW w:w="540" w:type="dxa"/>
            <w:vAlign w:val="bottom"/>
            <w:tcBorders>
              <w:bottom w:val="single" w:sz="8" w:color="auto"/>
            </w:tcBorders>
            <w:shd w:val="clear" w:color="auto" w:fill="2AD2C9"/>
          </w:tcPr>
          <w:p>
            <w:pPr>
              <w:ind w:left="280"/>
              <w:spacing w:after="0"/>
              <w:rPr>
                <w:sz w:val="20"/>
                <w:szCs w:val="20"/>
                <w:color w:val="auto"/>
              </w:rPr>
            </w:pPr>
            <w:r>
              <w:rPr>
                <w:rFonts w:ascii="Arial" w:cs="Arial" w:eastAsia="Arial" w:hAnsi="Arial"/>
                <w:sz w:val="10"/>
                <w:szCs w:val="10"/>
                <w:b w:val="1"/>
                <w:bCs w:val="1"/>
                <w:color w:val="FFFFFF"/>
              </w:rPr>
              <w:t>QoQ</w:t>
            </w:r>
          </w:p>
        </w:tc>
        <w:tc>
          <w:tcPr>
            <w:tcW w:w="1040" w:type="dxa"/>
            <w:vAlign w:val="bottom"/>
            <w:tcBorders>
              <w:bottom w:val="single" w:sz="8" w:color="auto"/>
              <w:right w:val="single" w:sz="8" w:color="auto"/>
            </w:tcBorders>
            <w:shd w:val="clear" w:color="auto" w:fill="2AD2C9"/>
          </w:tcPr>
          <w:p>
            <w:pPr>
              <w:ind w:left="540"/>
              <w:spacing w:after="0"/>
              <w:rPr>
                <w:sz w:val="20"/>
                <w:szCs w:val="20"/>
                <w:color w:val="auto"/>
              </w:rPr>
            </w:pPr>
            <w:r>
              <w:rPr>
                <w:rFonts w:ascii="Arial" w:cs="Arial" w:eastAsia="Arial" w:hAnsi="Arial"/>
                <w:sz w:val="10"/>
                <w:szCs w:val="10"/>
                <w:b w:val="1"/>
                <w:bCs w:val="1"/>
                <w:color w:val="FFFFFF"/>
              </w:rPr>
              <w:t>YoY</w:t>
            </w:r>
          </w:p>
        </w:tc>
        <w:tc>
          <w:tcPr>
            <w:tcW w:w="640" w:type="dxa"/>
            <w:vAlign w:val="bottom"/>
            <w:tcBorders>
              <w:bottom w:val="single" w:sz="8" w:color="auto"/>
            </w:tcBorders>
            <w:shd w:val="clear" w:color="auto" w:fill="2AD2C9"/>
          </w:tcPr>
          <w:p>
            <w:pPr>
              <w:jc w:val="center"/>
              <w:ind w:left="93"/>
              <w:spacing w:after="0"/>
              <w:rPr>
                <w:sz w:val="20"/>
                <w:szCs w:val="20"/>
                <w:color w:val="auto"/>
              </w:rPr>
            </w:pPr>
            <w:r>
              <w:rPr>
                <w:rFonts w:ascii="Arial" w:cs="Arial" w:eastAsia="Arial" w:hAnsi="Arial"/>
                <w:sz w:val="10"/>
                <w:szCs w:val="10"/>
                <w:b w:val="1"/>
                <w:bCs w:val="1"/>
                <w:color w:val="FFFFFF"/>
                <w:w w:val="91"/>
              </w:rPr>
              <w:t>1H23</w:t>
            </w:r>
          </w:p>
        </w:tc>
        <w:tc>
          <w:tcPr>
            <w:tcW w:w="960" w:type="dxa"/>
            <w:vAlign w:val="bottom"/>
            <w:tcBorders>
              <w:bottom w:val="single" w:sz="8" w:color="auto"/>
              <w:right w:val="single" w:sz="8" w:color="auto"/>
            </w:tcBorders>
            <w:shd w:val="clear" w:color="auto" w:fill="2AD2C9"/>
          </w:tcPr>
          <w:p>
            <w:pPr>
              <w:jc w:val="center"/>
              <w:ind w:left="53"/>
              <w:spacing w:after="0"/>
              <w:rPr>
                <w:sz w:val="20"/>
                <w:szCs w:val="20"/>
                <w:color w:val="auto"/>
              </w:rPr>
            </w:pPr>
            <w:r>
              <w:rPr>
                <w:rFonts w:ascii="Arial" w:cs="Arial" w:eastAsia="Arial" w:hAnsi="Arial"/>
                <w:sz w:val="10"/>
                <w:szCs w:val="10"/>
                <w:b w:val="1"/>
                <w:bCs w:val="1"/>
                <w:color w:val="FFFFFF"/>
                <w:w w:val="91"/>
              </w:rPr>
              <w:t>1H24</w:t>
            </w:r>
          </w:p>
        </w:tc>
        <w:tc>
          <w:tcPr>
            <w:tcW w:w="7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6"/>
              </w:rPr>
              <w:t>1H24 / 1H23</w:t>
            </w:r>
          </w:p>
        </w:tc>
      </w:tr>
      <w:tr>
        <w:trPr>
          <w:trHeight w:val="81"/>
        </w:trPr>
        <w:tc>
          <w:tcPr>
            <w:tcW w:w="4080" w:type="dxa"/>
            <w:vAlign w:val="bottom"/>
            <w:tcBorders>
              <w:left w:val="single" w:sz="8" w:color="auto"/>
              <w:right w:val="single" w:sz="8" w:color="auto"/>
            </w:tcBorders>
          </w:tcPr>
          <w:p>
            <w:pPr>
              <w:ind w:left="20"/>
              <w:spacing w:after="0" w:line="81" w:lineRule="exact"/>
              <w:rPr>
                <w:sz w:val="20"/>
                <w:szCs w:val="20"/>
                <w:color w:val="auto"/>
              </w:rPr>
            </w:pPr>
            <w:r>
              <w:rPr>
                <w:rFonts w:ascii="Arial" w:cs="Arial" w:eastAsia="Arial" w:hAnsi="Arial"/>
                <w:sz w:val="8"/>
                <w:szCs w:val="8"/>
                <w:color w:val="auto"/>
              </w:rPr>
              <w:t>BCP Stand-Alone</w:t>
            </w:r>
          </w:p>
        </w:tc>
        <w:tc>
          <w:tcPr>
            <w:tcW w:w="740" w:type="dxa"/>
            <w:vAlign w:val="bottom"/>
          </w:tcPr>
          <w:p>
            <w:pPr>
              <w:jc w:val="center"/>
              <w:spacing w:after="0" w:line="81" w:lineRule="exact"/>
              <w:rPr>
                <w:sz w:val="20"/>
                <w:szCs w:val="20"/>
                <w:color w:val="auto"/>
              </w:rPr>
            </w:pPr>
            <w:r>
              <w:rPr>
                <w:rFonts w:ascii="Arial" w:cs="Arial" w:eastAsia="Arial" w:hAnsi="Arial"/>
                <w:sz w:val="8"/>
                <w:szCs w:val="8"/>
                <w:color w:val="auto"/>
              </w:rPr>
              <w:t>723,230</w:t>
            </w:r>
          </w:p>
        </w:tc>
        <w:tc>
          <w:tcPr>
            <w:tcW w:w="800" w:type="dxa"/>
            <w:vAlign w:val="bottom"/>
          </w:tcPr>
          <w:p>
            <w:pPr>
              <w:jc w:val="center"/>
              <w:spacing w:after="0" w:line="81" w:lineRule="exact"/>
              <w:rPr>
                <w:sz w:val="20"/>
                <w:szCs w:val="20"/>
                <w:color w:val="auto"/>
              </w:rPr>
            </w:pPr>
            <w:r>
              <w:rPr>
                <w:rFonts w:ascii="Arial" w:cs="Arial" w:eastAsia="Arial" w:hAnsi="Arial"/>
                <w:sz w:val="8"/>
                <w:szCs w:val="8"/>
                <w:color w:val="auto"/>
              </w:rPr>
              <w:t>771,463</w:t>
            </w:r>
          </w:p>
        </w:tc>
        <w:tc>
          <w:tcPr>
            <w:tcW w:w="80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812,504</w:t>
            </w:r>
          </w:p>
        </w:tc>
        <w:tc>
          <w:tcPr>
            <w:tcW w:w="540" w:type="dxa"/>
            <w:vAlign w:val="bottom"/>
          </w:tcPr>
          <w:p>
            <w:pPr>
              <w:jc w:val="center"/>
              <w:ind w:left="193"/>
              <w:spacing w:after="0" w:line="81" w:lineRule="exact"/>
              <w:rPr>
                <w:sz w:val="20"/>
                <w:szCs w:val="20"/>
                <w:color w:val="auto"/>
              </w:rPr>
            </w:pPr>
            <w:r>
              <w:rPr>
                <w:rFonts w:ascii="Arial" w:cs="Arial" w:eastAsia="Arial" w:hAnsi="Arial"/>
                <w:sz w:val="8"/>
                <w:szCs w:val="8"/>
                <w:color w:val="auto"/>
              </w:rPr>
              <w:t>5.3%</w:t>
            </w:r>
          </w:p>
        </w:tc>
        <w:tc>
          <w:tcPr>
            <w:tcW w:w="1040" w:type="dxa"/>
            <w:vAlign w:val="bottom"/>
            <w:tcBorders>
              <w:right w:val="single" w:sz="8" w:color="auto"/>
            </w:tcBorders>
          </w:tcPr>
          <w:p>
            <w:pPr>
              <w:jc w:val="center"/>
              <w:ind w:left="173"/>
              <w:spacing w:after="0" w:line="81" w:lineRule="exact"/>
              <w:rPr>
                <w:sz w:val="20"/>
                <w:szCs w:val="20"/>
                <w:color w:val="auto"/>
              </w:rPr>
            </w:pPr>
            <w:r>
              <w:rPr>
                <w:rFonts w:ascii="Arial" w:cs="Arial" w:eastAsia="Arial" w:hAnsi="Arial"/>
                <w:sz w:val="8"/>
                <w:szCs w:val="8"/>
                <w:color w:val="auto"/>
              </w:rPr>
              <w:t>12.3%</w:t>
            </w:r>
          </w:p>
        </w:tc>
        <w:tc>
          <w:tcPr>
            <w:tcW w:w="640" w:type="dxa"/>
            <w:vAlign w:val="bottom"/>
          </w:tcPr>
          <w:p>
            <w:pPr>
              <w:jc w:val="center"/>
              <w:ind w:left="93"/>
              <w:spacing w:after="0" w:line="81" w:lineRule="exact"/>
              <w:rPr>
                <w:sz w:val="20"/>
                <w:szCs w:val="20"/>
                <w:color w:val="auto"/>
              </w:rPr>
            </w:pPr>
            <w:r>
              <w:rPr>
                <w:rFonts w:ascii="Arial" w:cs="Arial" w:eastAsia="Arial" w:hAnsi="Arial"/>
                <w:sz w:val="8"/>
                <w:szCs w:val="8"/>
                <w:color w:val="auto"/>
              </w:rPr>
              <w:t>1,421,437</w:t>
            </w:r>
          </w:p>
        </w:tc>
        <w:tc>
          <w:tcPr>
            <w:tcW w:w="960" w:type="dxa"/>
            <w:vAlign w:val="bottom"/>
            <w:tcBorders>
              <w:right w:val="single" w:sz="8" w:color="auto"/>
            </w:tcBorders>
          </w:tcPr>
          <w:p>
            <w:pPr>
              <w:jc w:val="center"/>
              <w:ind w:left="53"/>
              <w:spacing w:after="0" w:line="81" w:lineRule="exact"/>
              <w:rPr>
                <w:sz w:val="20"/>
                <w:szCs w:val="20"/>
                <w:color w:val="auto"/>
              </w:rPr>
            </w:pPr>
            <w:r>
              <w:rPr>
                <w:rFonts w:ascii="Arial" w:cs="Arial" w:eastAsia="Arial" w:hAnsi="Arial"/>
                <w:sz w:val="8"/>
                <w:szCs w:val="8"/>
                <w:color w:val="auto"/>
              </w:rPr>
              <w:t>1,583,967</w:t>
            </w:r>
          </w:p>
        </w:tc>
        <w:tc>
          <w:tcPr>
            <w:tcW w:w="78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11.4%</w:t>
            </w:r>
          </w:p>
        </w:tc>
      </w:tr>
      <w:tr>
        <w:trPr>
          <w:trHeight w:val="103"/>
        </w:trPr>
        <w:tc>
          <w:tcPr>
            <w:tcW w:w="408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BCP Bolivia</w:t>
            </w:r>
          </w:p>
        </w:tc>
        <w:tc>
          <w:tcPr>
            <w:tcW w:w="740" w:type="dxa"/>
            <w:vAlign w:val="bottom"/>
          </w:tcPr>
          <w:p>
            <w:pPr>
              <w:jc w:val="center"/>
              <w:spacing w:after="0" w:line="103" w:lineRule="exact"/>
              <w:rPr>
                <w:sz w:val="20"/>
                <w:szCs w:val="20"/>
                <w:color w:val="auto"/>
              </w:rPr>
            </w:pPr>
            <w:r>
              <w:rPr>
                <w:rFonts w:ascii="Arial" w:cs="Arial" w:eastAsia="Arial" w:hAnsi="Arial"/>
                <w:sz w:val="10"/>
                <w:szCs w:val="10"/>
                <w:color w:val="auto"/>
                <w:w w:val="97"/>
              </w:rPr>
              <w:t>95,027</w:t>
            </w:r>
          </w:p>
        </w:tc>
        <w:tc>
          <w:tcPr>
            <w:tcW w:w="800" w:type="dxa"/>
            <w:vAlign w:val="bottom"/>
          </w:tcPr>
          <w:p>
            <w:pPr>
              <w:jc w:val="center"/>
              <w:spacing w:after="0" w:line="103" w:lineRule="exact"/>
              <w:rPr>
                <w:sz w:val="20"/>
                <w:szCs w:val="20"/>
                <w:color w:val="auto"/>
              </w:rPr>
            </w:pPr>
            <w:r>
              <w:rPr>
                <w:rFonts w:ascii="Arial" w:cs="Arial" w:eastAsia="Arial" w:hAnsi="Arial"/>
                <w:sz w:val="10"/>
                <w:szCs w:val="10"/>
                <w:color w:val="auto"/>
                <w:w w:val="93"/>
              </w:rPr>
              <w:t>153,969</w:t>
            </w:r>
          </w:p>
        </w:tc>
        <w:tc>
          <w:tcPr>
            <w:tcW w:w="8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3"/>
              </w:rPr>
              <w:t>152,567</w:t>
            </w:r>
          </w:p>
        </w:tc>
        <w:tc>
          <w:tcPr>
            <w:tcW w:w="540" w:type="dxa"/>
            <w:vAlign w:val="bottom"/>
          </w:tcPr>
          <w:p>
            <w:pPr>
              <w:jc w:val="center"/>
              <w:ind w:left="173"/>
              <w:spacing w:after="0" w:line="103" w:lineRule="exact"/>
              <w:rPr>
                <w:sz w:val="20"/>
                <w:szCs w:val="20"/>
                <w:color w:val="auto"/>
              </w:rPr>
            </w:pPr>
            <w:r>
              <w:rPr>
                <w:rFonts w:ascii="Arial" w:cs="Arial" w:eastAsia="Arial" w:hAnsi="Arial"/>
                <w:sz w:val="10"/>
                <w:szCs w:val="10"/>
                <w:color w:val="auto"/>
                <w:w w:val="91"/>
              </w:rPr>
              <w:t>-0.9%</w:t>
            </w:r>
          </w:p>
        </w:tc>
        <w:tc>
          <w:tcPr>
            <w:tcW w:w="1040" w:type="dxa"/>
            <w:vAlign w:val="bottom"/>
            <w:tcBorders>
              <w:right w:val="single" w:sz="8" w:color="auto"/>
            </w:tcBorders>
          </w:tcPr>
          <w:p>
            <w:pPr>
              <w:jc w:val="center"/>
              <w:ind w:left="173"/>
              <w:spacing w:after="0" w:line="103" w:lineRule="exact"/>
              <w:rPr>
                <w:sz w:val="20"/>
                <w:szCs w:val="20"/>
                <w:color w:val="auto"/>
              </w:rPr>
            </w:pPr>
            <w:r>
              <w:rPr>
                <w:rFonts w:ascii="Arial" w:cs="Arial" w:eastAsia="Arial" w:hAnsi="Arial"/>
                <w:sz w:val="10"/>
                <w:szCs w:val="10"/>
                <w:color w:val="auto"/>
                <w:w w:val="91"/>
              </w:rPr>
              <w:t>60.6%</w:t>
            </w:r>
          </w:p>
        </w:tc>
        <w:tc>
          <w:tcPr>
            <w:tcW w:w="640" w:type="dxa"/>
            <w:vAlign w:val="bottom"/>
          </w:tcPr>
          <w:p>
            <w:pPr>
              <w:jc w:val="center"/>
              <w:ind w:left="93"/>
              <w:spacing w:after="0" w:line="103" w:lineRule="exact"/>
              <w:rPr>
                <w:sz w:val="20"/>
                <w:szCs w:val="20"/>
                <w:color w:val="auto"/>
              </w:rPr>
            </w:pPr>
            <w:r>
              <w:rPr>
                <w:rFonts w:ascii="Arial" w:cs="Arial" w:eastAsia="Arial" w:hAnsi="Arial"/>
                <w:sz w:val="10"/>
                <w:szCs w:val="10"/>
                <w:color w:val="auto"/>
                <w:w w:val="93"/>
              </w:rPr>
              <w:t>145,161</w:t>
            </w:r>
          </w:p>
        </w:tc>
        <w:tc>
          <w:tcPr>
            <w:tcW w:w="960" w:type="dxa"/>
            <w:vAlign w:val="bottom"/>
            <w:tcBorders>
              <w:right w:val="single" w:sz="8" w:color="auto"/>
            </w:tcBorders>
          </w:tcPr>
          <w:p>
            <w:pPr>
              <w:jc w:val="center"/>
              <w:ind w:left="53"/>
              <w:spacing w:after="0" w:line="103" w:lineRule="exact"/>
              <w:rPr>
                <w:sz w:val="20"/>
                <w:szCs w:val="20"/>
                <w:color w:val="auto"/>
              </w:rPr>
            </w:pPr>
            <w:r>
              <w:rPr>
                <w:rFonts w:ascii="Arial" w:cs="Arial" w:eastAsia="Arial" w:hAnsi="Arial"/>
                <w:sz w:val="10"/>
                <w:szCs w:val="10"/>
                <w:color w:val="auto"/>
                <w:w w:val="93"/>
              </w:rPr>
              <w:t>306,536</w:t>
            </w:r>
          </w:p>
        </w:tc>
        <w:tc>
          <w:tcPr>
            <w:tcW w:w="7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88"/>
              </w:rPr>
              <w:t>111.2%</w:t>
            </w:r>
          </w:p>
        </w:tc>
      </w:tr>
      <w:tr>
        <w:trPr>
          <w:trHeight w:val="103"/>
        </w:trPr>
        <w:tc>
          <w:tcPr>
            <w:tcW w:w="408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Mibanco</w:t>
            </w:r>
          </w:p>
        </w:tc>
        <w:tc>
          <w:tcPr>
            <w:tcW w:w="740" w:type="dxa"/>
            <w:vAlign w:val="bottom"/>
          </w:tcPr>
          <w:p>
            <w:pPr>
              <w:jc w:val="center"/>
              <w:spacing w:after="0" w:line="103" w:lineRule="exact"/>
              <w:rPr>
                <w:sz w:val="20"/>
                <w:szCs w:val="20"/>
                <w:color w:val="auto"/>
              </w:rPr>
            </w:pPr>
            <w:r>
              <w:rPr>
                <w:rFonts w:ascii="Arial" w:cs="Arial" w:eastAsia="Arial" w:hAnsi="Arial"/>
                <w:sz w:val="10"/>
                <w:szCs w:val="10"/>
                <w:color w:val="auto"/>
                <w:w w:val="97"/>
              </w:rPr>
              <w:t>30,984</w:t>
            </w:r>
          </w:p>
        </w:tc>
        <w:tc>
          <w:tcPr>
            <w:tcW w:w="800" w:type="dxa"/>
            <w:vAlign w:val="bottom"/>
          </w:tcPr>
          <w:p>
            <w:pPr>
              <w:jc w:val="center"/>
              <w:spacing w:after="0" w:line="103" w:lineRule="exact"/>
              <w:rPr>
                <w:sz w:val="20"/>
                <w:szCs w:val="20"/>
                <w:color w:val="auto"/>
              </w:rPr>
            </w:pPr>
            <w:r>
              <w:rPr>
                <w:rFonts w:ascii="Arial" w:cs="Arial" w:eastAsia="Arial" w:hAnsi="Arial"/>
                <w:sz w:val="10"/>
                <w:szCs w:val="10"/>
                <w:color w:val="auto"/>
                <w:w w:val="97"/>
              </w:rPr>
              <w:t>24,173</w:t>
            </w:r>
          </w:p>
        </w:tc>
        <w:tc>
          <w:tcPr>
            <w:tcW w:w="8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7"/>
              </w:rPr>
              <w:t>21,773</w:t>
            </w:r>
          </w:p>
        </w:tc>
        <w:tc>
          <w:tcPr>
            <w:tcW w:w="540" w:type="dxa"/>
            <w:vAlign w:val="bottom"/>
          </w:tcPr>
          <w:p>
            <w:pPr>
              <w:jc w:val="center"/>
              <w:ind w:left="173"/>
              <w:spacing w:after="0" w:line="103" w:lineRule="exact"/>
              <w:rPr>
                <w:sz w:val="20"/>
                <w:szCs w:val="20"/>
                <w:color w:val="auto"/>
              </w:rPr>
            </w:pPr>
            <w:r>
              <w:rPr>
                <w:rFonts w:ascii="Arial" w:cs="Arial" w:eastAsia="Arial" w:hAnsi="Arial"/>
                <w:sz w:val="10"/>
                <w:szCs w:val="10"/>
                <w:color w:val="auto"/>
                <w:w w:val="91"/>
              </w:rPr>
              <w:t>-9.9%</w:t>
            </w:r>
          </w:p>
        </w:tc>
        <w:tc>
          <w:tcPr>
            <w:tcW w:w="1040" w:type="dxa"/>
            <w:vAlign w:val="bottom"/>
            <w:tcBorders>
              <w:right w:val="single" w:sz="8" w:color="auto"/>
            </w:tcBorders>
          </w:tcPr>
          <w:p>
            <w:pPr>
              <w:jc w:val="center"/>
              <w:ind w:left="173"/>
              <w:spacing w:after="0" w:line="103" w:lineRule="exact"/>
              <w:rPr>
                <w:sz w:val="20"/>
                <w:szCs w:val="20"/>
                <w:color w:val="auto"/>
              </w:rPr>
            </w:pPr>
            <w:r>
              <w:rPr>
                <w:rFonts w:ascii="Arial" w:cs="Arial" w:eastAsia="Arial" w:hAnsi="Arial"/>
                <w:sz w:val="10"/>
                <w:szCs w:val="10"/>
                <w:color w:val="auto"/>
                <w:w w:val="94"/>
              </w:rPr>
              <w:t>-29.7%</w:t>
            </w:r>
          </w:p>
        </w:tc>
        <w:tc>
          <w:tcPr>
            <w:tcW w:w="640" w:type="dxa"/>
            <w:vAlign w:val="bottom"/>
          </w:tcPr>
          <w:p>
            <w:pPr>
              <w:jc w:val="center"/>
              <w:ind w:left="93"/>
              <w:spacing w:after="0" w:line="103" w:lineRule="exact"/>
              <w:rPr>
                <w:sz w:val="20"/>
                <w:szCs w:val="20"/>
                <w:color w:val="auto"/>
              </w:rPr>
            </w:pPr>
            <w:r>
              <w:rPr>
                <w:rFonts w:ascii="Arial" w:cs="Arial" w:eastAsia="Arial" w:hAnsi="Arial"/>
                <w:sz w:val="10"/>
                <w:szCs w:val="10"/>
                <w:color w:val="auto"/>
                <w:w w:val="97"/>
              </w:rPr>
              <w:t>59,675</w:t>
            </w:r>
          </w:p>
        </w:tc>
        <w:tc>
          <w:tcPr>
            <w:tcW w:w="960" w:type="dxa"/>
            <w:vAlign w:val="bottom"/>
            <w:tcBorders>
              <w:right w:val="single" w:sz="8" w:color="auto"/>
            </w:tcBorders>
          </w:tcPr>
          <w:p>
            <w:pPr>
              <w:jc w:val="center"/>
              <w:ind w:left="53"/>
              <w:spacing w:after="0" w:line="103" w:lineRule="exact"/>
              <w:rPr>
                <w:sz w:val="20"/>
                <w:szCs w:val="20"/>
                <w:color w:val="auto"/>
              </w:rPr>
            </w:pPr>
            <w:r>
              <w:rPr>
                <w:rFonts w:ascii="Arial" w:cs="Arial" w:eastAsia="Arial" w:hAnsi="Arial"/>
                <w:sz w:val="10"/>
                <w:szCs w:val="10"/>
                <w:color w:val="auto"/>
                <w:w w:val="97"/>
              </w:rPr>
              <w:t>45,946</w:t>
            </w:r>
          </w:p>
        </w:tc>
        <w:tc>
          <w:tcPr>
            <w:tcW w:w="7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-23.0%</w:t>
            </w:r>
          </w:p>
        </w:tc>
      </w:tr>
      <w:tr>
        <w:trPr>
          <w:trHeight w:val="103"/>
        </w:trPr>
        <w:tc>
          <w:tcPr>
            <w:tcW w:w="408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Mibanco Colombia</w:t>
            </w:r>
          </w:p>
        </w:tc>
        <w:tc>
          <w:tcPr>
            <w:tcW w:w="740" w:type="dxa"/>
            <w:vAlign w:val="bottom"/>
          </w:tcPr>
          <w:p>
            <w:pPr>
              <w:jc w:val="center"/>
              <w:spacing w:after="0" w:line="103" w:lineRule="exact"/>
              <w:rPr>
                <w:sz w:val="20"/>
                <w:szCs w:val="20"/>
                <w:color w:val="auto"/>
              </w:rPr>
            </w:pPr>
            <w:r>
              <w:rPr>
                <w:rFonts w:ascii="Arial" w:cs="Arial" w:eastAsia="Arial" w:hAnsi="Arial"/>
                <w:sz w:val="10"/>
                <w:szCs w:val="10"/>
                <w:color w:val="auto"/>
                <w:w w:val="97"/>
              </w:rPr>
              <w:t>10,724</w:t>
            </w:r>
          </w:p>
        </w:tc>
        <w:tc>
          <w:tcPr>
            <w:tcW w:w="800" w:type="dxa"/>
            <w:vAlign w:val="bottom"/>
          </w:tcPr>
          <w:p>
            <w:pPr>
              <w:jc w:val="center"/>
              <w:spacing w:after="0" w:line="103" w:lineRule="exact"/>
              <w:rPr>
                <w:sz w:val="20"/>
                <w:szCs w:val="20"/>
                <w:color w:val="auto"/>
              </w:rPr>
            </w:pPr>
            <w:r>
              <w:rPr>
                <w:rFonts w:ascii="Arial" w:cs="Arial" w:eastAsia="Arial" w:hAnsi="Arial"/>
                <w:sz w:val="10"/>
                <w:szCs w:val="10"/>
                <w:color w:val="auto"/>
                <w:w w:val="97"/>
              </w:rPr>
              <w:t>11,250</w:t>
            </w:r>
          </w:p>
        </w:tc>
        <w:tc>
          <w:tcPr>
            <w:tcW w:w="8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7"/>
              </w:rPr>
              <w:t>11,043</w:t>
            </w:r>
          </w:p>
        </w:tc>
        <w:tc>
          <w:tcPr>
            <w:tcW w:w="540" w:type="dxa"/>
            <w:vAlign w:val="bottom"/>
          </w:tcPr>
          <w:p>
            <w:pPr>
              <w:jc w:val="center"/>
              <w:ind w:left="173"/>
              <w:spacing w:after="0" w:line="103" w:lineRule="exact"/>
              <w:rPr>
                <w:sz w:val="20"/>
                <w:szCs w:val="20"/>
                <w:color w:val="auto"/>
              </w:rPr>
            </w:pPr>
            <w:r>
              <w:rPr>
                <w:rFonts w:ascii="Arial" w:cs="Arial" w:eastAsia="Arial" w:hAnsi="Arial"/>
                <w:sz w:val="10"/>
                <w:szCs w:val="10"/>
                <w:color w:val="auto"/>
                <w:w w:val="91"/>
              </w:rPr>
              <w:t>-1.8%</w:t>
            </w:r>
          </w:p>
        </w:tc>
        <w:tc>
          <w:tcPr>
            <w:tcW w:w="1040" w:type="dxa"/>
            <w:vAlign w:val="bottom"/>
            <w:tcBorders>
              <w:right w:val="single" w:sz="8" w:color="auto"/>
            </w:tcBorders>
          </w:tcPr>
          <w:p>
            <w:pPr>
              <w:jc w:val="center"/>
              <w:ind w:left="173"/>
              <w:spacing w:after="0" w:line="103" w:lineRule="exact"/>
              <w:rPr>
                <w:sz w:val="20"/>
                <w:szCs w:val="20"/>
                <w:color w:val="auto"/>
              </w:rPr>
            </w:pPr>
            <w:r>
              <w:rPr>
                <w:rFonts w:ascii="Arial" w:cs="Arial" w:eastAsia="Arial" w:hAnsi="Arial"/>
                <w:sz w:val="10"/>
                <w:szCs w:val="10"/>
                <w:color w:val="auto"/>
                <w:w w:val="96"/>
              </w:rPr>
              <w:t>3.0%</w:t>
            </w:r>
          </w:p>
        </w:tc>
        <w:tc>
          <w:tcPr>
            <w:tcW w:w="640" w:type="dxa"/>
            <w:vAlign w:val="bottom"/>
          </w:tcPr>
          <w:p>
            <w:pPr>
              <w:jc w:val="center"/>
              <w:ind w:left="93"/>
              <w:spacing w:after="0" w:line="103" w:lineRule="exact"/>
              <w:rPr>
                <w:sz w:val="20"/>
                <w:szCs w:val="20"/>
                <w:color w:val="auto"/>
              </w:rPr>
            </w:pPr>
            <w:r>
              <w:rPr>
                <w:rFonts w:ascii="Arial" w:cs="Arial" w:eastAsia="Arial" w:hAnsi="Arial"/>
                <w:sz w:val="10"/>
                <w:szCs w:val="10"/>
                <w:color w:val="auto"/>
                <w:w w:val="97"/>
              </w:rPr>
              <w:t>19,798</w:t>
            </w:r>
          </w:p>
        </w:tc>
        <w:tc>
          <w:tcPr>
            <w:tcW w:w="960" w:type="dxa"/>
            <w:vAlign w:val="bottom"/>
            <w:tcBorders>
              <w:right w:val="single" w:sz="8" w:color="auto"/>
            </w:tcBorders>
          </w:tcPr>
          <w:p>
            <w:pPr>
              <w:jc w:val="center"/>
              <w:ind w:left="53"/>
              <w:spacing w:after="0" w:line="103" w:lineRule="exact"/>
              <w:rPr>
                <w:sz w:val="20"/>
                <w:szCs w:val="20"/>
                <w:color w:val="auto"/>
              </w:rPr>
            </w:pPr>
            <w:r>
              <w:rPr>
                <w:rFonts w:ascii="Arial" w:cs="Arial" w:eastAsia="Arial" w:hAnsi="Arial"/>
                <w:sz w:val="10"/>
                <w:szCs w:val="10"/>
                <w:color w:val="auto"/>
                <w:w w:val="97"/>
              </w:rPr>
              <w:t>22,293</w:t>
            </w:r>
          </w:p>
        </w:tc>
        <w:tc>
          <w:tcPr>
            <w:tcW w:w="7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1"/>
              </w:rPr>
              <w:t>12.6%</w:t>
            </w:r>
          </w:p>
        </w:tc>
      </w:tr>
      <w:tr>
        <w:trPr>
          <w:trHeight w:val="103"/>
        </w:trPr>
        <w:tc>
          <w:tcPr>
            <w:tcW w:w="408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Pacífico</w:t>
            </w:r>
          </w:p>
        </w:tc>
        <w:tc>
          <w:tcPr>
            <w:tcW w:w="740" w:type="dxa"/>
            <w:vAlign w:val="bottom"/>
          </w:tcPr>
          <w:p>
            <w:pPr>
              <w:jc w:val="center"/>
              <w:spacing w:after="0" w:line="103" w:lineRule="exact"/>
              <w:rPr>
                <w:sz w:val="20"/>
                <w:szCs w:val="20"/>
                <w:color w:val="auto"/>
              </w:rPr>
            </w:pPr>
            <w:r>
              <w:rPr>
                <w:rFonts w:ascii="Arial" w:cs="Arial" w:eastAsia="Arial" w:hAnsi="Arial"/>
                <w:sz w:val="10"/>
                <w:szCs w:val="10"/>
                <w:color w:val="auto"/>
                <w:w w:val="91"/>
              </w:rPr>
              <w:t>-3,499</w:t>
            </w:r>
          </w:p>
        </w:tc>
        <w:tc>
          <w:tcPr>
            <w:tcW w:w="800" w:type="dxa"/>
            <w:vAlign w:val="bottom"/>
          </w:tcPr>
          <w:p>
            <w:pPr>
              <w:jc w:val="center"/>
              <w:spacing w:after="0" w:line="103" w:lineRule="exact"/>
              <w:rPr>
                <w:sz w:val="20"/>
                <w:szCs w:val="20"/>
                <w:color w:val="auto"/>
              </w:rPr>
            </w:pPr>
            <w:r>
              <w:rPr>
                <w:rFonts w:ascii="Arial" w:cs="Arial" w:eastAsia="Arial" w:hAnsi="Arial"/>
                <w:sz w:val="10"/>
                <w:szCs w:val="10"/>
                <w:color w:val="auto"/>
                <w:w w:val="91"/>
              </w:rPr>
              <w:t>-3,199</w:t>
            </w:r>
          </w:p>
        </w:tc>
        <w:tc>
          <w:tcPr>
            <w:tcW w:w="8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1"/>
              </w:rPr>
              <w:t>-2,488</w:t>
            </w:r>
          </w:p>
        </w:tc>
        <w:tc>
          <w:tcPr>
            <w:tcW w:w="540" w:type="dxa"/>
            <w:vAlign w:val="bottom"/>
          </w:tcPr>
          <w:p>
            <w:pPr>
              <w:jc w:val="center"/>
              <w:ind w:left="193"/>
              <w:spacing w:after="0" w:line="103" w:lineRule="exact"/>
              <w:rPr>
                <w:sz w:val="20"/>
                <w:szCs w:val="20"/>
                <w:color w:val="auto"/>
              </w:rPr>
            </w:pPr>
            <w:r>
              <w:rPr>
                <w:rFonts w:ascii="Arial" w:cs="Arial" w:eastAsia="Arial" w:hAnsi="Arial"/>
                <w:sz w:val="10"/>
                <w:szCs w:val="10"/>
                <w:color w:val="auto"/>
                <w:w w:val="94"/>
              </w:rPr>
              <w:t>-22.2%</w:t>
            </w:r>
          </w:p>
        </w:tc>
        <w:tc>
          <w:tcPr>
            <w:tcW w:w="1040" w:type="dxa"/>
            <w:vAlign w:val="bottom"/>
            <w:tcBorders>
              <w:right w:val="single" w:sz="8" w:color="auto"/>
            </w:tcBorders>
          </w:tcPr>
          <w:p>
            <w:pPr>
              <w:jc w:val="center"/>
              <w:ind w:left="173"/>
              <w:spacing w:after="0" w:line="103" w:lineRule="exact"/>
              <w:rPr>
                <w:sz w:val="20"/>
                <w:szCs w:val="20"/>
                <w:color w:val="auto"/>
              </w:rPr>
            </w:pPr>
            <w:r>
              <w:rPr>
                <w:rFonts w:ascii="Arial" w:cs="Arial" w:eastAsia="Arial" w:hAnsi="Arial"/>
                <w:sz w:val="10"/>
                <w:szCs w:val="10"/>
                <w:color w:val="auto"/>
                <w:w w:val="94"/>
              </w:rPr>
              <w:t>-28.9%</w:t>
            </w:r>
          </w:p>
        </w:tc>
        <w:tc>
          <w:tcPr>
            <w:tcW w:w="640" w:type="dxa"/>
            <w:vAlign w:val="bottom"/>
          </w:tcPr>
          <w:p>
            <w:pPr>
              <w:jc w:val="center"/>
              <w:ind w:left="93"/>
              <w:spacing w:after="0" w:line="103" w:lineRule="exact"/>
              <w:rPr>
                <w:sz w:val="20"/>
                <w:szCs w:val="20"/>
                <w:color w:val="auto"/>
              </w:rPr>
            </w:pPr>
            <w:r>
              <w:rPr>
                <w:rFonts w:ascii="Arial" w:cs="Arial" w:eastAsia="Arial" w:hAnsi="Arial"/>
                <w:sz w:val="10"/>
                <w:szCs w:val="10"/>
                <w:color w:val="auto"/>
                <w:w w:val="91"/>
              </w:rPr>
              <w:t>-6,630</w:t>
            </w:r>
          </w:p>
        </w:tc>
        <w:tc>
          <w:tcPr>
            <w:tcW w:w="960" w:type="dxa"/>
            <w:vAlign w:val="bottom"/>
            <w:tcBorders>
              <w:right w:val="single" w:sz="8" w:color="auto"/>
            </w:tcBorders>
          </w:tcPr>
          <w:p>
            <w:pPr>
              <w:jc w:val="center"/>
              <w:ind w:left="73"/>
              <w:spacing w:after="0" w:line="103" w:lineRule="exact"/>
              <w:rPr>
                <w:sz w:val="20"/>
                <w:szCs w:val="20"/>
                <w:color w:val="auto"/>
              </w:rPr>
            </w:pPr>
            <w:r>
              <w:rPr>
                <w:rFonts w:ascii="Arial" w:cs="Arial" w:eastAsia="Arial" w:hAnsi="Arial"/>
                <w:sz w:val="10"/>
                <w:szCs w:val="10"/>
                <w:color w:val="auto"/>
                <w:w w:val="98"/>
              </w:rPr>
              <w:t>-5,687</w:t>
            </w:r>
          </w:p>
        </w:tc>
        <w:tc>
          <w:tcPr>
            <w:tcW w:w="7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-14.2%</w:t>
            </w:r>
          </w:p>
        </w:tc>
      </w:tr>
      <w:tr>
        <w:trPr>
          <w:trHeight w:val="103"/>
        </w:trPr>
        <w:tc>
          <w:tcPr>
            <w:tcW w:w="408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Prima</w:t>
            </w:r>
          </w:p>
        </w:tc>
        <w:tc>
          <w:tcPr>
            <w:tcW w:w="740" w:type="dxa"/>
            <w:vAlign w:val="bottom"/>
          </w:tcPr>
          <w:p>
            <w:pPr>
              <w:jc w:val="center"/>
              <w:spacing w:after="0" w:line="103" w:lineRule="exact"/>
              <w:rPr>
                <w:sz w:val="20"/>
                <w:szCs w:val="20"/>
                <w:color w:val="auto"/>
              </w:rPr>
            </w:pPr>
            <w:r>
              <w:rPr>
                <w:rFonts w:ascii="Arial" w:cs="Arial" w:eastAsia="Arial" w:hAnsi="Arial"/>
                <w:sz w:val="10"/>
                <w:szCs w:val="10"/>
                <w:color w:val="auto"/>
                <w:w w:val="97"/>
              </w:rPr>
              <w:t>88,408</w:t>
            </w:r>
          </w:p>
        </w:tc>
        <w:tc>
          <w:tcPr>
            <w:tcW w:w="800" w:type="dxa"/>
            <w:vAlign w:val="bottom"/>
          </w:tcPr>
          <w:p>
            <w:pPr>
              <w:jc w:val="center"/>
              <w:spacing w:after="0" w:line="103" w:lineRule="exact"/>
              <w:rPr>
                <w:sz w:val="20"/>
                <w:szCs w:val="20"/>
                <w:color w:val="auto"/>
              </w:rPr>
            </w:pPr>
            <w:r>
              <w:rPr>
                <w:rFonts w:ascii="Arial" w:cs="Arial" w:eastAsia="Arial" w:hAnsi="Arial"/>
                <w:sz w:val="10"/>
                <w:szCs w:val="10"/>
                <w:color w:val="auto"/>
                <w:w w:val="97"/>
              </w:rPr>
              <w:t>94,528</w:t>
            </w:r>
          </w:p>
        </w:tc>
        <w:tc>
          <w:tcPr>
            <w:tcW w:w="8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7"/>
              </w:rPr>
              <w:t>99,102</w:t>
            </w:r>
          </w:p>
        </w:tc>
        <w:tc>
          <w:tcPr>
            <w:tcW w:w="540" w:type="dxa"/>
            <w:vAlign w:val="bottom"/>
          </w:tcPr>
          <w:p>
            <w:pPr>
              <w:jc w:val="center"/>
              <w:ind w:left="193"/>
              <w:spacing w:after="0" w:line="103" w:lineRule="exact"/>
              <w:rPr>
                <w:sz w:val="20"/>
                <w:szCs w:val="20"/>
                <w:color w:val="auto"/>
              </w:rPr>
            </w:pPr>
            <w:r>
              <w:rPr>
                <w:rFonts w:ascii="Arial" w:cs="Arial" w:eastAsia="Arial" w:hAnsi="Arial"/>
                <w:sz w:val="10"/>
                <w:szCs w:val="10"/>
                <w:color w:val="auto"/>
                <w:w w:val="96"/>
              </w:rPr>
              <w:t>4.8%</w:t>
            </w:r>
          </w:p>
        </w:tc>
        <w:tc>
          <w:tcPr>
            <w:tcW w:w="1040" w:type="dxa"/>
            <w:vAlign w:val="bottom"/>
            <w:tcBorders>
              <w:right w:val="single" w:sz="8" w:color="auto"/>
            </w:tcBorders>
          </w:tcPr>
          <w:p>
            <w:pPr>
              <w:jc w:val="center"/>
              <w:ind w:left="173"/>
              <w:spacing w:after="0" w:line="103" w:lineRule="exact"/>
              <w:rPr>
                <w:sz w:val="20"/>
                <w:szCs w:val="20"/>
                <w:color w:val="auto"/>
              </w:rPr>
            </w:pPr>
            <w:r>
              <w:rPr>
                <w:rFonts w:ascii="Arial" w:cs="Arial" w:eastAsia="Arial" w:hAnsi="Arial"/>
                <w:sz w:val="10"/>
                <w:szCs w:val="10"/>
                <w:color w:val="auto"/>
                <w:w w:val="91"/>
              </w:rPr>
              <w:t>12.1%</w:t>
            </w:r>
          </w:p>
        </w:tc>
        <w:tc>
          <w:tcPr>
            <w:tcW w:w="640" w:type="dxa"/>
            <w:vAlign w:val="bottom"/>
          </w:tcPr>
          <w:p>
            <w:pPr>
              <w:jc w:val="center"/>
              <w:ind w:left="93"/>
              <w:spacing w:after="0" w:line="103" w:lineRule="exact"/>
              <w:rPr>
                <w:sz w:val="20"/>
                <w:szCs w:val="20"/>
                <w:color w:val="auto"/>
              </w:rPr>
            </w:pPr>
            <w:r>
              <w:rPr>
                <w:rFonts w:ascii="Arial" w:cs="Arial" w:eastAsia="Arial" w:hAnsi="Arial"/>
                <w:sz w:val="10"/>
                <w:szCs w:val="10"/>
                <w:color w:val="auto"/>
                <w:w w:val="93"/>
              </w:rPr>
              <w:t>177,904</w:t>
            </w:r>
          </w:p>
        </w:tc>
        <w:tc>
          <w:tcPr>
            <w:tcW w:w="960" w:type="dxa"/>
            <w:vAlign w:val="bottom"/>
            <w:tcBorders>
              <w:right w:val="single" w:sz="8" w:color="auto"/>
            </w:tcBorders>
          </w:tcPr>
          <w:p>
            <w:pPr>
              <w:jc w:val="center"/>
              <w:ind w:left="53"/>
              <w:spacing w:after="0" w:line="103" w:lineRule="exact"/>
              <w:rPr>
                <w:sz w:val="20"/>
                <w:szCs w:val="20"/>
                <w:color w:val="auto"/>
              </w:rPr>
            </w:pPr>
            <w:r>
              <w:rPr>
                <w:rFonts w:ascii="Arial" w:cs="Arial" w:eastAsia="Arial" w:hAnsi="Arial"/>
                <w:sz w:val="10"/>
                <w:szCs w:val="10"/>
                <w:color w:val="auto"/>
                <w:w w:val="93"/>
              </w:rPr>
              <w:t>193,630</w:t>
            </w:r>
          </w:p>
        </w:tc>
        <w:tc>
          <w:tcPr>
            <w:tcW w:w="7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8.8%</w:t>
            </w:r>
          </w:p>
        </w:tc>
      </w:tr>
      <w:tr>
        <w:trPr>
          <w:trHeight w:val="103"/>
        </w:trPr>
        <w:tc>
          <w:tcPr>
            <w:tcW w:w="408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ASB</w:t>
            </w:r>
          </w:p>
        </w:tc>
        <w:tc>
          <w:tcPr>
            <w:tcW w:w="740" w:type="dxa"/>
            <w:vAlign w:val="bottom"/>
          </w:tcPr>
          <w:p>
            <w:pPr>
              <w:jc w:val="center"/>
              <w:spacing w:after="0" w:line="103" w:lineRule="exact"/>
              <w:rPr>
                <w:sz w:val="20"/>
                <w:szCs w:val="20"/>
                <w:color w:val="auto"/>
              </w:rPr>
            </w:pPr>
            <w:r>
              <w:rPr>
                <w:rFonts w:ascii="Arial" w:cs="Arial" w:eastAsia="Arial" w:hAnsi="Arial"/>
                <w:sz w:val="10"/>
                <w:szCs w:val="10"/>
                <w:color w:val="auto"/>
                <w:w w:val="97"/>
              </w:rPr>
              <w:t>16,878</w:t>
            </w:r>
          </w:p>
        </w:tc>
        <w:tc>
          <w:tcPr>
            <w:tcW w:w="800" w:type="dxa"/>
            <w:vAlign w:val="bottom"/>
          </w:tcPr>
          <w:p>
            <w:pPr>
              <w:jc w:val="center"/>
              <w:spacing w:after="0" w:line="103" w:lineRule="exact"/>
              <w:rPr>
                <w:sz w:val="20"/>
                <w:szCs w:val="20"/>
                <w:color w:val="auto"/>
              </w:rPr>
            </w:pPr>
            <w:r>
              <w:rPr>
                <w:rFonts w:ascii="Arial" w:cs="Arial" w:eastAsia="Arial" w:hAnsi="Arial"/>
                <w:sz w:val="10"/>
                <w:szCs w:val="10"/>
                <w:color w:val="auto"/>
                <w:w w:val="97"/>
              </w:rPr>
              <w:t>17,062</w:t>
            </w:r>
          </w:p>
        </w:tc>
        <w:tc>
          <w:tcPr>
            <w:tcW w:w="8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7"/>
              </w:rPr>
              <w:t>15,485</w:t>
            </w:r>
          </w:p>
        </w:tc>
        <w:tc>
          <w:tcPr>
            <w:tcW w:w="540" w:type="dxa"/>
            <w:vAlign w:val="bottom"/>
          </w:tcPr>
          <w:p>
            <w:pPr>
              <w:jc w:val="center"/>
              <w:ind w:left="173"/>
              <w:spacing w:after="0" w:line="103" w:lineRule="exact"/>
              <w:rPr>
                <w:sz w:val="20"/>
                <w:szCs w:val="20"/>
                <w:color w:val="auto"/>
              </w:rPr>
            </w:pPr>
            <w:r>
              <w:rPr>
                <w:rFonts w:ascii="Arial" w:cs="Arial" w:eastAsia="Arial" w:hAnsi="Arial"/>
                <w:sz w:val="10"/>
                <w:szCs w:val="10"/>
                <w:color w:val="auto"/>
                <w:w w:val="91"/>
              </w:rPr>
              <w:t>-9.2%</w:t>
            </w:r>
          </w:p>
        </w:tc>
        <w:tc>
          <w:tcPr>
            <w:tcW w:w="1040" w:type="dxa"/>
            <w:vAlign w:val="bottom"/>
            <w:tcBorders>
              <w:right w:val="single" w:sz="8" w:color="auto"/>
            </w:tcBorders>
          </w:tcPr>
          <w:p>
            <w:pPr>
              <w:jc w:val="center"/>
              <w:ind w:left="173"/>
              <w:spacing w:after="0" w:line="103" w:lineRule="exact"/>
              <w:rPr>
                <w:sz w:val="20"/>
                <w:szCs w:val="20"/>
                <w:color w:val="auto"/>
              </w:rPr>
            </w:pPr>
            <w:r>
              <w:rPr>
                <w:rFonts w:ascii="Arial" w:cs="Arial" w:eastAsia="Arial" w:hAnsi="Arial"/>
                <w:sz w:val="10"/>
                <w:szCs w:val="10"/>
                <w:color w:val="auto"/>
                <w:w w:val="99"/>
              </w:rPr>
              <w:t>-8.3%</w:t>
            </w:r>
          </w:p>
        </w:tc>
        <w:tc>
          <w:tcPr>
            <w:tcW w:w="640" w:type="dxa"/>
            <w:vAlign w:val="bottom"/>
          </w:tcPr>
          <w:p>
            <w:pPr>
              <w:jc w:val="center"/>
              <w:ind w:left="93"/>
              <w:spacing w:after="0" w:line="103" w:lineRule="exact"/>
              <w:rPr>
                <w:sz w:val="20"/>
                <w:szCs w:val="20"/>
                <w:color w:val="auto"/>
              </w:rPr>
            </w:pPr>
            <w:r>
              <w:rPr>
                <w:rFonts w:ascii="Arial" w:cs="Arial" w:eastAsia="Arial" w:hAnsi="Arial"/>
                <w:sz w:val="10"/>
                <w:szCs w:val="10"/>
                <w:color w:val="auto"/>
                <w:w w:val="97"/>
              </w:rPr>
              <w:t>32,132</w:t>
            </w:r>
          </w:p>
        </w:tc>
        <w:tc>
          <w:tcPr>
            <w:tcW w:w="960" w:type="dxa"/>
            <w:vAlign w:val="bottom"/>
            <w:tcBorders>
              <w:right w:val="single" w:sz="8" w:color="auto"/>
            </w:tcBorders>
          </w:tcPr>
          <w:p>
            <w:pPr>
              <w:jc w:val="center"/>
              <w:ind w:left="53"/>
              <w:spacing w:after="0" w:line="103" w:lineRule="exact"/>
              <w:rPr>
                <w:sz w:val="20"/>
                <w:szCs w:val="20"/>
                <w:color w:val="auto"/>
              </w:rPr>
            </w:pPr>
            <w:r>
              <w:rPr>
                <w:rFonts w:ascii="Arial" w:cs="Arial" w:eastAsia="Arial" w:hAnsi="Arial"/>
                <w:sz w:val="10"/>
                <w:szCs w:val="10"/>
                <w:color w:val="auto"/>
                <w:w w:val="97"/>
              </w:rPr>
              <w:t>32,547</w:t>
            </w:r>
          </w:p>
        </w:tc>
        <w:tc>
          <w:tcPr>
            <w:tcW w:w="7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1.3%</w:t>
            </w:r>
          </w:p>
        </w:tc>
      </w:tr>
      <w:tr>
        <w:trPr>
          <w:trHeight w:val="97"/>
        </w:trPr>
        <w:tc>
          <w:tcPr>
            <w:tcW w:w="4080" w:type="dxa"/>
            <w:vAlign w:val="bottom"/>
            <w:tcBorders>
              <w:left w:val="single" w:sz="8" w:color="auto"/>
              <w:right w:val="single" w:sz="8" w:color="auto"/>
            </w:tcBorders>
          </w:tcPr>
          <w:p>
            <w:pPr>
              <w:ind w:left="20"/>
              <w:spacing w:after="0" w:line="97" w:lineRule="exact"/>
              <w:rPr>
                <w:sz w:val="20"/>
                <w:szCs w:val="20"/>
                <w:color w:val="auto"/>
              </w:rPr>
            </w:pPr>
            <w:r>
              <w:rPr>
                <w:rFonts w:ascii="Arial" w:cs="Arial" w:eastAsia="Arial" w:hAnsi="Arial"/>
                <w:sz w:val="10"/>
                <w:szCs w:val="10"/>
                <w:color w:val="auto"/>
              </w:rPr>
              <w:t>Credicorp Capital</w:t>
            </w:r>
          </w:p>
        </w:tc>
        <w:tc>
          <w:tcPr>
            <w:tcW w:w="740" w:type="dxa"/>
            <w:vAlign w:val="bottom"/>
          </w:tcPr>
          <w:p>
            <w:pPr>
              <w:jc w:val="center"/>
              <w:spacing w:after="0" w:line="97" w:lineRule="exact"/>
              <w:rPr>
                <w:sz w:val="20"/>
                <w:szCs w:val="20"/>
                <w:color w:val="auto"/>
              </w:rPr>
            </w:pPr>
            <w:r>
              <w:rPr>
                <w:rFonts w:ascii="Arial" w:cs="Arial" w:eastAsia="Arial" w:hAnsi="Arial"/>
                <w:sz w:val="10"/>
                <w:szCs w:val="10"/>
                <w:color w:val="auto"/>
                <w:w w:val="93"/>
              </w:rPr>
              <w:t>115,900</w:t>
            </w:r>
          </w:p>
        </w:tc>
        <w:tc>
          <w:tcPr>
            <w:tcW w:w="800" w:type="dxa"/>
            <w:vAlign w:val="bottom"/>
          </w:tcPr>
          <w:p>
            <w:pPr>
              <w:jc w:val="center"/>
              <w:spacing w:after="0" w:line="97" w:lineRule="exact"/>
              <w:rPr>
                <w:sz w:val="20"/>
                <w:szCs w:val="20"/>
                <w:color w:val="auto"/>
              </w:rPr>
            </w:pPr>
            <w:r>
              <w:rPr>
                <w:rFonts w:ascii="Arial" w:cs="Arial" w:eastAsia="Arial" w:hAnsi="Arial"/>
                <w:sz w:val="10"/>
                <w:szCs w:val="10"/>
                <w:color w:val="auto"/>
                <w:w w:val="93"/>
              </w:rPr>
              <w:t>128,148</w:t>
            </w:r>
          </w:p>
        </w:tc>
        <w:tc>
          <w:tcPr>
            <w:tcW w:w="80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0"/>
                <w:szCs w:val="10"/>
                <w:color w:val="auto"/>
                <w:w w:val="93"/>
              </w:rPr>
              <w:t>153,482</w:t>
            </w:r>
          </w:p>
        </w:tc>
        <w:tc>
          <w:tcPr>
            <w:tcW w:w="540" w:type="dxa"/>
            <w:vAlign w:val="bottom"/>
          </w:tcPr>
          <w:p>
            <w:pPr>
              <w:jc w:val="center"/>
              <w:ind w:left="173"/>
              <w:spacing w:after="0" w:line="97" w:lineRule="exact"/>
              <w:rPr>
                <w:sz w:val="20"/>
                <w:szCs w:val="20"/>
                <w:color w:val="auto"/>
              </w:rPr>
            </w:pPr>
            <w:r>
              <w:rPr>
                <w:rFonts w:ascii="Arial" w:cs="Arial" w:eastAsia="Arial" w:hAnsi="Arial"/>
                <w:sz w:val="10"/>
                <w:szCs w:val="10"/>
                <w:color w:val="auto"/>
                <w:w w:val="98"/>
              </w:rPr>
              <w:t>19.8%</w:t>
            </w:r>
          </w:p>
        </w:tc>
        <w:tc>
          <w:tcPr>
            <w:tcW w:w="1040" w:type="dxa"/>
            <w:vAlign w:val="bottom"/>
            <w:tcBorders>
              <w:right w:val="single" w:sz="8" w:color="auto"/>
            </w:tcBorders>
          </w:tcPr>
          <w:p>
            <w:pPr>
              <w:jc w:val="center"/>
              <w:ind w:left="173"/>
              <w:spacing w:after="0" w:line="97" w:lineRule="exact"/>
              <w:rPr>
                <w:sz w:val="20"/>
                <w:szCs w:val="20"/>
                <w:color w:val="auto"/>
              </w:rPr>
            </w:pPr>
            <w:r>
              <w:rPr>
                <w:rFonts w:ascii="Arial" w:cs="Arial" w:eastAsia="Arial" w:hAnsi="Arial"/>
                <w:sz w:val="10"/>
                <w:szCs w:val="10"/>
                <w:color w:val="auto"/>
                <w:w w:val="91"/>
              </w:rPr>
              <w:t>32.4%</w:t>
            </w:r>
          </w:p>
        </w:tc>
        <w:tc>
          <w:tcPr>
            <w:tcW w:w="640" w:type="dxa"/>
            <w:vAlign w:val="bottom"/>
          </w:tcPr>
          <w:p>
            <w:pPr>
              <w:jc w:val="center"/>
              <w:ind w:left="93"/>
              <w:spacing w:after="0" w:line="97" w:lineRule="exact"/>
              <w:rPr>
                <w:sz w:val="20"/>
                <w:szCs w:val="20"/>
                <w:color w:val="auto"/>
              </w:rPr>
            </w:pPr>
            <w:r>
              <w:rPr>
                <w:rFonts w:ascii="Arial" w:cs="Arial" w:eastAsia="Arial" w:hAnsi="Arial"/>
                <w:sz w:val="10"/>
                <w:szCs w:val="10"/>
                <w:color w:val="auto"/>
                <w:w w:val="93"/>
              </w:rPr>
              <w:t>223,058</w:t>
            </w:r>
          </w:p>
        </w:tc>
        <w:tc>
          <w:tcPr>
            <w:tcW w:w="960" w:type="dxa"/>
            <w:vAlign w:val="bottom"/>
            <w:tcBorders>
              <w:right w:val="single" w:sz="8" w:color="auto"/>
            </w:tcBorders>
          </w:tcPr>
          <w:p>
            <w:pPr>
              <w:jc w:val="center"/>
              <w:ind w:left="53"/>
              <w:spacing w:after="0" w:line="97" w:lineRule="exact"/>
              <w:rPr>
                <w:sz w:val="20"/>
                <w:szCs w:val="20"/>
                <w:color w:val="auto"/>
              </w:rPr>
            </w:pPr>
            <w:r>
              <w:rPr>
                <w:rFonts w:ascii="Arial" w:cs="Arial" w:eastAsia="Arial" w:hAnsi="Arial"/>
                <w:sz w:val="10"/>
                <w:szCs w:val="10"/>
                <w:color w:val="auto"/>
                <w:w w:val="93"/>
              </w:rPr>
              <w:t>281,630</w:t>
            </w:r>
          </w:p>
        </w:tc>
        <w:tc>
          <w:tcPr>
            <w:tcW w:w="78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0"/>
                <w:szCs w:val="10"/>
                <w:color w:val="auto"/>
                <w:w w:val="91"/>
              </w:rPr>
              <w:t>26.3%</w:t>
            </w:r>
          </w:p>
        </w:tc>
      </w:tr>
      <w:tr>
        <w:trPr>
          <w:trHeight w:val="121"/>
        </w:trPr>
        <w:tc>
          <w:tcPr>
            <w:tcW w:w="4080" w:type="dxa"/>
            <w:vAlign w:val="bottom"/>
            <w:tcBorders>
              <w:left w:val="single" w:sz="8" w:color="auto"/>
              <w:bottom w:val="single" w:sz="8" w:color="auto"/>
              <w:right w:val="single" w:sz="8" w:color="auto"/>
            </w:tcBorders>
          </w:tcPr>
          <w:p>
            <w:pPr>
              <w:ind w:left="20"/>
              <w:spacing w:after="0" w:line="122" w:lineRule="exact"/>
              <w:rPr>
                <w:sz w:val="20"/>
                <w:szCs w:val="20"/>
                <w:color w:val="auto"/>
              </w:rPr>
            </w:pPr>
            <w:r>
              <w:rPr>
                <w:rFonts w:ascii="Arial" w:cs="Arial" w:eastAsia="Arial" w:hAnsi="Arial"/>
                <w:sz w:val="9"/>
                <w:szCs w:val="9"/>
                <w:color w:val="auto"/>
              </w:rPr>
              <w:t xml:space="preserve">Eliminations and Other </w:t>
            </w:r>
            <w:r>
              <w:rPr>
                <w:rFonts w:ascii="Arial" w:cs="Arial" w:eastAsia="Arial" w:hAnsi="Arial"/>
                <w:sz w:val="14"/>
                <w:szCs w:val="14"/>
                <w:color w:val="auto"/>
                <w:vertAlign w:val="superscript"/>
              </w:rPr>
              <w:t>(1)</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-117,102</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-134,893</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-114,638</w:t>
            </w:r>
          </w:p>
        </w:tc>
        <w:tc>
          <w:tcPr>
            <w:tcW w:w="540" w:type="dxa"/>
            <w:vAlign w:val="bottom"/>
            <w:tcBorders>
              <w:bottom w:val="single" w:sz="8" w:color="auto"/>
            </w:tcBorders>
          </w:tcPr>
          <w:p>
            <w:pPr>
              <w:jc w:val="center"/>
              <w:ind w:left="193"/>
              <w:spacing w:after="0"/>
              <w:rPr>
                <w:sz w:val="20"/>
                <w:szCs w:val="20"/>
                <w:color w:val="auto"/>
              </w:rPr>
            </w:pPr>
            <w:r>
              <w:rPr>
                <w:rFonts w:ascii="Arial" w:cs="Arial" w:eastAsia="Arial" w:hAnsi="Arial"/>
                <w:sz w:val="10"/>
                <w:szCs w:val="10"/>
                <w:color w:val="auto"/>
                <w:w w:val="94"/>
              </w:rPr>
              <w:t>-15.0%</w:t>
            </w:r>
          </w:p>
        </w:tc>
        <w:tc>
          <w:tcPr>
            <w:tcW w:w="1040" w:type="dxa"/>
            <w:vAlign w:val="bottom"/>
            <w:tcBorders>
              <w:bottom w:val="single" w:sz="8" w:color="auto"/>
              <w:right w:val="single" w:sz="8" w:color="auto"/>
            </w:tcBorders>
          </w:tcPr>
          <w:p>
            <w:pPr>
              <w:jc w:val="center"/>
              <w:ind w:left="173"/>
              <w:spacing w:after="0"/>
              <w:rPr>
                <w:sz w:val="20"/>
                <w:szCs w:val="20"/>
                <w:color w:val="auto"/>
              </w:rPr>
            </w:pPr>
            <w:r>
              <w:rPr>
                <w:rFonts w:ascii="Arial" w:cs="Arial" w:eastAsia="Arial" w:hAnsi="Arial"/>
                <w:sz w:val="10"/>
                <w:szCs w:val="10"/>
                <w:color w:val="auto"/>
                <w:w w:val="99"/>
              </w:rPr>
              <w:t>-2.1%</w:t>
            </w:r>
          </w:p>
        </w:tc>
        <w:tc>
          <w:tcPr>
            <w:tcW w:w="640" w:type="dxa"/>
            <w:vAlign w:val="bottom"/>
            <w:tcBorders>
              <w:bottom w:val="single" w:sz="8" w:color="auto"/>
            </w:tcBorders>
          </w:tcPr>
          <w:p>
            <w:pPr>
              <w:jc w:val="center"/>
              <w:ind w:left="93"/>
              <w:spacing w:after="0"/>
              <w:rPr>
                <w:sz w:val="20"/>
                <w:szCs w:val="20"/>
                <w:color w:val="auto"/>
              </w:rPr>
            </w:pPr>
            <w:r>
              <w:rPr>
                <w:rFonts w:ascii="Arial" w:cs="Arial" w:eastAsia="Arial" w:hAnsi="Arial"/>
                <w:sz w:val="10"/>
                <w:szCs w:val="10"/>
                <w:color w:val="auto"/>
                <w:w w:val="96"/>
              </w:rPr>
              <w:t>-230,204</w:t>
            </w:r>
          </w:p>
        </w:tc>
        <w:tc>
          <w:tcPr>
            <w:tcW w:w="960" w:type="dxa"/>
            <w:vAlign w:val="bottom"/>
            <w:tcBorders>
              <w:bottom w:val="single" w:sz="8" w:color="auto"/>
              <w:right w:val="single" w:sz="8" w:color="auto"/>
            </w:tcBorders>
          </w:tcPr>
          <w:p>
            <w:pPr>
              <w:jc w:val="center"/>
              <w:ind w:left="53"/>
              <w:spacing w:after="0"/>
              <w:rPr>
                <w:sz w:val="20"/>
                <w:szCs w:val="20"/>
                <w:color w:val="auto"/>
              </w:rPr>
            </w:pPr>
            <w:r>
              <w:rPr>
                <w:rFonts w:ascii="Arial" w:cs="Arial" w:eastAsia="Arial" w:hAnsi="Arial"/>
                <w:sz w:val="10"/>
                <w:szCs w:val="10"/>
                <w:color w:val="auto"/>
                <w:w w:val="96"/>
              </w:rPr>
              <w:t>-249,531</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8.4%</w:t>
            </w:r>
          </w:p>
        </w:tc>
      </w:tr>
      <w:tr>
        <w:trPr>
          <w:trHeight w:val="93"/>
        </w:trPr>
        <w:tc>
          <w:tcPr>
            <w:tcW w:w="4080" w:type="dxa"/>
            <w:vAlign w:val="bottom"/>
            <w:tcBorders>
              <w:left w:val="single" w:sz="8" w:color="auto"/>
              <w:bottom w:val="single" w:sz="8" w:color="auto"/>
              <w:right w:val="single" w:sz="8" w:color="auto"/>
            </w:tcBorders>
          </w:tcPr>
          <w:p>
            <w:pPr>
              <w:ind w:left="20"/>
              <w:spacing w:after="0" w:line="93" w:lineRule="exact"/>
              <w:rPr>
                <w:sz w:val="20"/>
                <w:szCs w:val="20"/>
                <w:color w:val="auto"/>
              </w:rPr>
            </w:pPr>
            <w:r>
              <w:rPr>
                <w:rFonts w:ascii="Arial" w:cs="Arial" w:eastAsia="Arial" w:hAnsi="Arial"/>
                <w:sz w:val="10"/>
                <w:szCs w:val="10"/>
                <w:b w:val="1"/>
                <w:bCs w:val="1"/>
                <w:color w:val="auto"/>
              </w:rPr>
              <w:t>Total Net Fee Income</w:t>
            </w:r>
          </w:p>
        </w:tc>
        <w:tc>
          <w:tcPr>
            <w:tcW w:w="74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3"/>
              </w:rPr>
              <w:t>960,550</w:t>
            </w:r>
          </w:p>
        </w:tc>
        <w:tc>
          <w:tcPr>
            <w:tcW w:w="8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4"/>
              </w:rPr>
              <w:t>1,062,501</w:t>
            </w:r>
          </w:p>
        </w:tc>
        <w:tc>
          <w:tcPr>
            <w:tcW w:w="80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4"/>
              </w:rPr>
              <w:t>1,148,830</w:t>
            </w:r>
          </w:p>
        </w:tc>
        <w:tc>
          <w:tcPr>
            <w:tcW w:w="540" w:type="dxa"/>
            <w:vAlign w:val="bottom"/>
            <w:tcBorders>
              <w:bottom w:val="single" w:sz="8" w:color="auto"/>
            </w:tcBorders>
          </w:tcPr>
          <w:p>
            <w:pPr>
              <w:jc w:val="center"/>
              <w:ind w:left="193"/>
              <w:spacing w:after="0" w:line="93" w:lineRule="exact"/>
              <w:rPr>
                <w:sz w:val="20"/>
                <w:szCs w:val="20"/>
                <w:color w:val="auto"/>
              </w:rPr>
            </w:pPr>
            <w:r>
              <w:rPr>
                <w:rFonts w:ascii="Arial" w:cs="Arial" w:eastAsia="Arial" w:hAnsi="Arial"/>
                <w:sz w:val="10"/>
                <w:szCs w:val="10"/>
                <w:b w:val="1"/>
                <w:bCs w:val="1"/>
                <w:color w:val="auto"/>
                <w:w w:val="96"/>
              </w:rPr>
              <w:t>8.1%</w:t>
            </w:r>
          </w:p>
        </w:tc>
        <w:tc>
          <w:tcPr>
            <w:tcW w:w="1040" w:type="dxa"/>
            <w:vAlign w:val="bottom"/>
            <w:tcBorders>
              <w:bottom w:val="single" w:sz="8" w:color="auto"/>
              <w:right w:val="single" w:sz="8" w:color="auto"/>
            </w:tcBorders>
          </w:tcPr>
          <w:p>
            <w:pPr>
              <w:jc w:val="center"/>
              <w:ind w:left="173"/>
              <w:spacing w:after="0" w:line="93" w:lineRule="exact"/>
              <w:rPr>
                <w:sz w:val="20"/>
                <w:szCs w:val="20"/>
                <w:color w:val="auto"/>
              </w:rPr>
            </w:pPr>
            <w:r>
              <w:rPr>
                <w:rFonts w:ascii="Arial" w:cs="Arial" w:eastAsia="Arial" w:hAnsi="Arial"/>
                <w:sz w:val="10"/>
                <w:szCs w:val="10"/>
                <w:b w:val="1"/>
                <w:bCs w:val="1"/>
                <w:color w:val="auto"/>
                <w:w w:val="91"/>
              </w:rPr>
              <w:t>19.6%</w:t>
            </w:r>
          </w:p>
        </w:tc>
        <w:tc>
          <w:tcPr>
            <w:tcW w:w="640" w:type="dxa"/>
            <w:vAlign w:val="bottom"/>
            <w:tcBorders>
              <w:bottom w:val="single" w:sz="8" w:color="auto"/>
            </w:tcBorders>
          </w:tcPr>
          <w:p>
            <w:pPr>
              <w:jc w:val="center"/>
              <w:ind w:left="93"/>
              <w:spacing w:after="0" w:line="93" w:lineRule="exact"/>
              <w:rPr>
                <w:sz w:val="20"/>
                <w:szCs w:val="20"/>
                <w:color w:val="auto"/>
              </w:rPr>
            </w:pPr>
            <w:r>
              <w:rPr>
                <w:rFonts w:ascii="Arial" w:cs="Arial" w:eastAsia="Arial" w:hAnsi="Arial"/>
                <w:sz w:val="10"/>
                <w:szCs w:val="10"/>
                <w:b w:val="1"/>
                <w:bCs w:val="1"/>
                <w:color w:val="auto"/>
                <w:w w:val="94"/>
              </w:rPr>
              <w:t>1,842,331</w:t>
            </w:r>
          </w:p>
        </w:tc>
        <w:tc>
          <w:tcPr>
            <w:tcW w:w="960" w:type="dxa"/>
            <w:vAlign w:val="bottom"/>
            <w:tcBorders>
              <w:bottom w:val="single" w:sz="8" w:color="auto"/>
              <w:right w:val="single" w:sz="8" w:color="auto"/>
            </w:tcBorders>
          </w:tcPr>
          <w:p>
            <w:pPr>
              <w:jc w:val="center"/>
              <w:ind w:left="53"/>
              <w:spacing w:after="0" w:line="93" w:lineRule="exact"/>
              <w:rPr>
                <w:sz w:val="20"/>
                <w:szCs w:val="20"/>
                <w:color w:val="auto"/>
              </w:rPr>
            </w:pPr>
            <w:r>
              <w:rPr>
                <w:rFonts w:ascii="Arial" w:cs="Arial" w:eastAsia="Arial" w:hAnsi="Arial"/>
                <w:sz w:val="10"/>
                <w:szCs w:val="10"/>
                <w:b w:val="1"/>
                <w:bCs w:val="1"/>
                <w:color w:val="auto"/>
                <w:w w:val="94"/>
              </w:rPr>
              <w:t>2,211,331</w:t>
            </w:r>
          </w:p>
        </w:tc>
        <w:tc>
          <w:tcPr>
            <w:tcW w:w="78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1"/>
              </w:rPr>
              <w:t>20.0%</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11"/>
          <w:szCs w:val="11"/>
          <w:color w:val="auto"/>
        </w:rPr>
        <w:t>(1) Correspond mainly to the eliminations of Bancasseguros between Pacífico, BCP, and Mibanco</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If we exclude transactions at BCP Bolivia, the evolution of Fee Income reflected the following dynamics:</w:t>
      </w:r>
    </w:p>
    <w:p>
      <w:pPr>
        <w:spacing w:after="0" w:line="146" w:lineRule="exact"/>
        <w:rPr>
          <w:sz w:val="20"/>
          <w:szCs w:val="20"/>
          <w:color w:val="auto"/>
        </w:rPr>
      </w:pPr>
    </w:p>
    <w:p>
      <w:pPr>
        <w:jc w:val="both"/>
        <w:spacing w:after="0" w:line="245" w:lineRule="auto"/>
        <w:rPr>
          <w:sz w:val="20"/>
          <w:szCs w:val="20"/>
          <w:color w:val="auto"/>
        </w:rPr>
      </w:pPr>
      <w:r>
        <w:rPr>
          <w:rFonts w:ascii="Arial" w:cs="Arial" w:eastAsia="Arial" w:hAnsi="Arial"/>
          <w:sz w:val="14"/>
          <w:szCs w:val="14"/>
          <w:b w:val="1"/>
          <w:bCs w:val="1"/>
          <w:color w:val="auto"/>
        </w:rPr>
        <w:t>QoQ</w:t>
      </w:r>
      <w:r>
        <w:rPr>
          <w:rFonts w:ascii="Arial" w:cs="Arial" w:eastAsia="Arial" w:hAnsi="Arial"/>
          <w:sz w:val="14"/>
          <w:szCs w:val="14"/>
          <w:color w:val="auto"/>
        </w:rPr>
        <w:t>, fee Income rose 9.7%. This growth was mainly driven by an increase in fee income at</w:t>
      </w:r>
      <w:r>
        <w:rPr>
          <w:rFonts w:ascii="Arial" w:cs="Arial" w:eastAsia="Arial" w:hAnsi="Arial"/>
          <w:sz w:val="14"/>
          <w:szCs w:val="14"/>
          <w:b w:val="1"/>
          <w:bCs w:val="1"/>
          <w:color w:val="auto"/>
        </w:rPr>
        <w:t xml:space="preserve"> BCP Stand-alone</w:t>
      </w:r>
      <w:r>
        <w:rPr>
          <w:rFonts w:ascii="Arial" w:cs="Arial" w:eastAsia="Arial" w:hAnsi="Arial"/>
          <w:sz w:val="14"/>
          <w:szCs w:val="14"/>
          <w:color w:val="auto"/>
        </w:rPr>
        <w:t>, which will be explained below. Additionally, fee income rose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at </w:t>
      </w:r>
      <w:r>
        <w:rPr>
          <w:rFonts w:ascii="Arial" w:cs="Arial" w:eastAsia="Arial" w:hAnsi="Arial"/>
          <w:sz w:val="14"/>
          <w:szCs w:val="14"/>
          <w:b w:val="1"/>
          <w:bCs w:val="1"/>
          <w:color w:val="auto"/>
        </w:rPr>
        <w:t>Credicorp Capital</w:t>
      </w:r>
      <w:r>
        <w:rPr>
          <w:rFonts w:ascii="Arial" w:cs="Arial" w:eastAsia="Arial" w:hAnsi="Arial"/>
          <w:sz w:val="14"/>
          <w:szCs w:val="14"/>
          <w:color w:val="auto"/>
        </w:rPr>
        <w:t xml:space="preserve"> through its Wealth and Asset Management Businesses, which registered an increase in AUMs, and via a recovery in fee income through its Brokerage business, as our strategy to focus on recurring businesses begins to bear fruit.</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4"/>
          <w:szCs w:val="14"/>
          <w:b w:val="1"/>
          <w:bCs w:val="1"/>
          <w:color w:val="auto"/>
        </w:rPr>
        <w:t xml:space="preserve">YoY, </w:t>
      </w:r>
      <w:r>
        <w:rPr>
          <w:rFonts w:ascii="Arial" w:cs="Arial" w:eastAsia="Arial" w:hAnsi="Arial"/>
          <w:sz w:val="14"/>
          <w:szCs w:val="14"/>
          <w:color w:val="auto"/>
        </w:rPr>
        <w:t>growth of 15.1% was fueled primarily by an increase in fee income, which was spurred by same dynamics seen QoQ at</w:t>
      </w:r>
      <w:r>
        <w:rPr>
          <w:rFonts w:ascii="Arial" w:cs="Arial" w:eastAsia="Arial" w:hAnsi="Arial"/>
          <w:sz w:val="14"/>
          <w:szCs w:val="14"/>
          <w:b w:val="1"/>
          <w:bCs w:val="1"/>
          <w:color w:val="auto"/>
        </w:rPr>
        <w:t xml:space="preserve"> BCP Stand-alone </w:t>
      </w:r>
      <w:r>
        <w:rPr>
          <w:rFonts w:ascii="Arial" w:cs="Arial" w:eastAsia="Arial" w:hAnsi="Arial"/>
          <w:sz w:val="14"/>
          <w:szCs w:val="14"/>
          <w:color w:val="auto"/>
        </w:rPr>
        <w:t>and</w:t>
      </w:r>
      <w:r>
        <w:rPr>
          <w:rFonts w:ascii="Arial" w:cs="Arial" w:eastAsia="Arial" w:hAnsi="Arial"/>
          <w:sz w:val="14"/>
          <w:szCs w:val="14"/>
          <w:b w:val="1"/>
          <w:bCs w:val="1"/>
          <w:color w:val="auto"/>
        </w:rPr>
        <w:t xml:space="preserve"> Credicorp Capital</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and secondarily by an uptick in flow commissions at </w:t>
      </w:r>
      <w:r>
        <w:rPr>
          <w:rFonts w:ascii="Arial" w:cs="Arial" w:eastAsia="Arial" w:hAnsi="Arial"/>
          <w:sz w:val="14"/>
          <w:szCs w:val="14"/>
          <w:b w:val="1"/>
          <w:bCs w:val="1"/>
          <w:color w:val="auto"/>
        </w:rPr>
        <w:t>Prima AFP</w:t>
      </w:r>
      <w:r>
        <w:rPr>
          <w:rFonts w:ascii="Arial" w:cs="Arial" w:eastAsia="Arial" w:hAnsi="Arial"/>
          <w:sz w:val="14"/>
          <w:szCs w:val="14"/>
          <w:color w:val="auto"/>
        </w:rPr>
        <w:t>, which reflected an increase in the monthly insurable renumeration level.</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YTD</w:t>
      </w:r>
      <w:r>
        <w:rPr>
          <w:rFonts w:ascii="Arial" w:cs="Arial" w:eastAsia="Arial" w:hAnsi="Arial"/>
          <w:sz w:val="14"/>
          <w:szCs w:val="14"/>
          <w:color w:val="auto"/>
        </w:rPr>
        <w:t>, the 12.4% increase in fee income was driven by the same dynamics for fees seen YoY at</w:t>
      </w:r>
      <w:r>
        <w:rPr>
          <w:rFonts w:ascii="Arial" w:cs="Arial" w:eastAsia="Arial" w:hAnsi="Arial"/>
          <w:sz w:val="14"/>
          <w:szCs w:val="14"/>
          <w:b w:val="1"/>
          <w:bCs w:val="1"/>
          <w:color w:val="auto"/>
        </w:rPr>
        <w:t xml:space="preserve"> BCP Stand-alone</w:t>
      </w:r>
      <w:r>
        <w:rPr>
          <w:rFonts w:ascii="Arial" w:cs="Arial" w:eastAsia="Arial" w:hAnsi="Arial"/>
          <w:sz w:val="14"/>
          <w:szCs w:val="14"/>
          <w:color w:val="auto"/>
        </w:rPr>
        <w:t>,</w:t>
      </w:r>
      <w:r>
        <w:rPr>
          <w:rFonts w:ascii="Arial" w:cs="Arial" w:eastAsia="Arial" w:hAnsi="Arial"/>
          <w:sz w:val="14"/>
          <w:szCs w:val="14"/>
          <w:b w:val="1"/>
          <w:bCs w:val="1"/>
          <w:color w:val="auto"/>
        </w:rPr>
        <w:t xml:space="preserve"> Credicorp Capital </w:t>
      </w:r>
      <w:r>
        <w:rPr>
          <w:rFonts w:ascii="Arial" w:cs="Arial" w:eastAsia="Arial" w:hAnsi="Arial"/>
          <w:sz w:val="14"/>
          <w:szCs w:val="14"/>
          <w:color w:val="auto"/>
        </w:rPr>
        <w:t>and</w:t>
      </w:r>
      <w:r>
        <w:rPr>
          <w:rFonts w:ascii="Arial" w:cs="Arial" w:eastAsia="Arial" w:hAnsi="Arial"/>
          <w:sz w:val="14"/>
          <w:szCs w:val="14"/>
          <w:b w:val="1"/>
          <w:bCs w:val="1"/>
          <w:color w:val="auto"/>
        </w:rPr>
        <w:t xml:space="preserve"> Prima AFP</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631825</wp:posOffset>
            </wp:positionV>
            <wp:extent cx="7164705" cy="133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102870</wp:posOffset>
            </wp:positionV>
            <wp:extent cx="1502410" cy="443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5149850</wp:posOffset>
            </wp:positionH>
            <wp:positionV relativeFrom="paragraph">
              <wp:posOffset>247015</wp:posOffset>
            </wp:positionV>
            <wp:extent cx="1724025" cy="3003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724025" cy="300355"/>
                    </a:xfrm>
                    <a:prstGeom prst="rect">
                      <a:avLst/>
                    </a:prstGeom>
                    <a:noFill/>
                  </pic:spPr>
                </pic:pic>
              </a:graphicData>
            </a:graphic>
          </wp:anchor>
        </w:drawing>
      </w:r>
    </w:p>
    <w:p>
      <w:pPr>
        <w:sectPr>
          <w:pgSz w:w="11900" w:h="16838" w:orient="portrait"/>
          <w:cols w:equalWidth="0" w:num="1">
            <w:col w:w="10380"/>
          </w:cols>
          <w:pgMar w:left="760" w:top="298" w:right="759" w:bottom="1440" w:gutter="0" w:footer="0" w:header="0"/>
        </w:sectPr>
      </w:pPr>
    </w:p>
    <w:bookmarkStart w:id="35" w:name="page36"/>
    <w:bookmarkEnd w:id="35"/>
    <w:p>
      <w:pPr>
        <w:ind w:left="2380"/>
        <w:spacing w:after="0"/>
        <w:tabs>
          <w:tab w:leader="none" w:pos="2580" w:val="left"/>
          <w:tab w:leader="none" w:pos="7540"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48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4705" cy="548640"/>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06. Other Income</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Fee Income at BCP Stand-alone</w:t>
      </w:r>
    </w:p>
    <w:p>
      <w:pPr>
        <w:spacing w:after="0" w:line="6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 xml:space="preserve">Composition of Fee Income at BCP Stand-alone </w:t>
      </w:r>
      <w:r>
        <w:rPr>
          <w:rFonts w:ascii="Arial" w:cs="Arial" w:eastAsia="Arial" w:hAnsi="Arial"/>
          <w:sz w:val="22"/>
          <w:szCs w:val="2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0</wp:posOffset>
            </wp:positionV>
            <wp:extent cx="6597015" cy="7448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597015" cy="744855"/>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79"/>
        </w:trPr>
        <w:tc>
          <w:tcPr>
            <w:tcW w:w="4060" w:type="dxa"/>
            <w:vAlign w:val="bottom"/>
            <w:tcBorders>
              <w:top w:val="single" w:sz="8" w:color="auto"/>
            </w:tcBorders>
            <w:shd w:val="clear" w:color="auto" w:fill="2AD2C9"/>
          </w:tcPr>
          <w:p>
            <w:pPr>
              <w:ind w:left="20"/>
              <w:spacing w:after="0" w:line="79" w:lineRule="exact"/>
              <w:rPr>
                <w:sz w:val="20"/>
                <w:szCs w:val="20"/>
                <w:color w:val="auto"/>
              </w:rPr>
            </w:pPr>
            <w:r>
              <w:rPr>
                <w:rFonts w:ascii="Arial" w:cs="Arial" w:eastAsia="Arial" w:hAnsi="Arial"/>
                <w:sz w:val="8"/>
                <w:szCs w:val="8"/>
                <w:b w:val="1"/>
                <w:bCs w:val="1"/>
                <w:color w:val="FFFFFF"/>
              </w:rPr>
              <w:t>BCP Stand-alone Fees</w:t>
            </w:r>
          </w:p>
        </w:tc>
        <w:tc>
          <w:tcPr>
            <w:tcW w:w="660" w:type="dxa"/>
            <w:vAlign w:val="bottom"/>
            <w:tcBorders>
              <w:top w:val="single" w:sz="8" w:color="auto"/>
            </w:tcBorders>
            <w:shd w:val="clear" w:color="auto" w:fill="2AD2C9"/>
          </w:tcPr>
          <w:p>
            <w:pPr>
              <w:spacing w:after="0"/>
              <w:rPr>
                <w:sz w:val="6"/>
                <w:szCs w:val="6"/>
                <w:color w:val="auto"/>
              </w:rPr>
            </w:pPr>
          </w:p>
        </w:tc>
        <w:tc>
          <w:tcPr>
            <w:tcW w:w="920" w:type="dxa"/>
            <w:vAlign w:val="bottom"/>
            <w:tcBorders>
              <w:top w:val="single" w:sz="8" w:color="auto"/>
            </w:tcBorders>
            <w:shd w:val="clear" w:color="auto" w:fill="2AD2C9"/>
          </w:tcPr>
          <w:p>
            <w:pPr>
              <w:ind w:left="140"/>
              <w:spacing w:after="0" w:line="79" w:lineRule="exact"/>
              <w:rPr>
                <w:sz w:val="20"/>
                <w:szCs w:val="20"/>
                <w:color w:val="auto"/>
              </w:rPr>
            </w:pPr>
            <w:r>
              <w:rPr>
                <w:rFonts w:ascii="Arial" w:cs="Arial" w:eastAsia="Arial" w:hAnsi="Arial"/>
                <w:sz w:val="8"/>
                <w:szCs w:val="8"/>
                <w:b w:val="1"/>
                <w:bCs w:val="1"/>
                <w:color w:val="FFFFFF"/>
              </w:rPr>
              <w:t>Quarterly</w:t>
            </w:r>
          </w:p>
        </w:tc>
        <w:tc>
          <w:tcPr>
            <w:tcW w:w="780" w:type="dxa"/>
            <w:vAlign w:val="bottom"/>
            <w:tcBorders>
              <w:top w:val="single" w:sz="8" w:color="auto"/>
            </w:tcBorders>
            <w:shd w:val="clear" w:color="auto" w:fill="2AD2C9"/>
          </w:tcPr>
          <w:p>
            <w:pPr>
              <w:spacing w:after="0"/>
              <w:rPr>
                <w:sz w:val="6"/>
                <w:szCs w:val="6"/>
                <w:color w:val="auto"/>
              </w:rPr>
            </w:pPr>
          </w:p>
        </w:tc>
        <w:tc>
          <w:tcPr>
            <w:tcW w:w="540" w:type="dxa"/>
            <w:vAlign w:val="bottom"/>
            <w:tcBorders>
              <w:top w:val="single" w:sz="8" w:color="auto"/>
            </w:tcBorders>
            <w:shd w:val="clear" w:color="auto" w:fill="2AD2C9"/>
          </w:tcPr>
          <w:p>
            <w:pPr>
              <w:spacing w:after="0"/>
              <w:rPr>
                <w:sz w:val="6"/>
                <w:szCs w:val="6"/>
                <w:color w:val="auto"/>
              </w:rPr>
            </w:pPr>
          </w:p>
        </w:tc>
        <w:tc>
          <w:tcPr>
            <w:tcW w:w="1040" w:type="dxa"/>
            <w:vAlign w:val="bottom"/>
            <w:tcBorders>
              <w:top w:val="single" w:sz="8" w:color="auto"/>
            </w:tcBorders>
            <w:shd w:val="clear" w:color="auto" w:fill="2AD2C9"/>
          </w:tcPr>
          <w:p>
            <w:pPr>
              <w:ind w:left="20"/>
              <w:spacing w:after="0" w:line="79" w:lineRule="exact"/>
              <w:rPr>
                <w:sz w:val="20"/>
                <w:szCs w:val="20"/>
                <w:color w:val="auto"/>
              </w:rPr>
            </w:pPr>
            <w:r>
              <w:rPr>
                <w:rFonts w:ascii="Arial" w:cs="Arial" w:eastAsia="Arial" w:hAnsi="Arial"/>
                <w:sz w:val="8"/>
                <w:szCs w:val="8"/>
                <w:b w:val="1"/>
                <w:bCs w:val="1"/>
                <w:color w:val="FFFFFF"/>
              </w:rPr>
              <w:t>% Change</w:t>
            </w:r>
          </w:p>
        </w:tc>
        <w:tc>
          <w:tcPr>
            <w:tcW w:w="620" w:type="dxa"/>
            <w:vAlign w:val="bottom"/>
            <w:tcBorders>
              <w:top w:val="single" w:sz="8" w:color="auto"/>
            </w:tcBorders>
            <w:shd w:val="clear" w:color="auto" w:fill="2AD2C9"/>
          </w:tcPr>
          <w:p>
            <w:pPr>
              <w:spacing w:after="0"/>
              <w:rPr>
                <w:sz w:val="6"/>
                <w:szCs w:val="6"/>
                <w:color w:val="auto"/>
              </w:rPr>
            </w:pPr>
          </w:p>
        </w:tc>
        <w:tc>
          <w:tcPr>
            <w:tcW w:w="900" w:type="dxa"/>
            <w:vAlign w:val="bottom"/>
            <w:tcBorders>
              <w:top w:val="single" w:sz="8" w:color="auto"/>
            </w:tcBorders>
            <w:shd w:val="clear" w:color="auto" w:fill="2AD2C9"/>
          </w:tcPr>
          <w:p>
            <w:pPr>
              <w:ind w:left="60"/>
              <w:spacing w:after="0" w:line="79" w:lineRule="exact"/>
              <w:rPr>
                <w:sz w:val="20"/>
                <w:szCs w:val="20"/>
                <w:color w:val="auto"/>
              </w:rPr>
            </w:pPr>
            <w:r>
              <w:rPr>
                <w:rFonts w:ascii="Arial" w:cs="Arial" w:eastAsia="Arial" w:hAnsi="Arial"/>
                <w:sz w:val="8"/>
                <w:szCs w:val="8"/>
                <w:b w:val="1"/>
                <w:bCs w:val="1"/>
                <w:color w:val="FFFFFF"/>
              </w:rPr>
              <w:t>Up to</w:t>
            </w:r>
          </w:p>
        </w:tc>
        <w:tc>
          <w:tcPr>
            <w:tcW w:w="860" w:type="dxa"/>
            <w:vAlign w:val="bottom"/>
            <w:tcBorders>
              <w:top w:val="single" w:sz="8" w:color="auto"/>
            </w:tcBorders>
            <w:shd w:val="clear" w:color="auto" w:fill="2AD2C9"/>
          </w:tcPr>
          <w:p>
            <w:pPr>
              <w:jc w:val="center"/>
              <w:ind w:left="33"/>
              <w:spacing w:after="0" w:line="79" w:lineRule="exact"/>
              <w:rPr>
                <w:sz w:val="20"/>
                <w:szCs w:val="20"/>
                <w:color w:val="auto"/>
              </w:rPr>
            </w:pPr>
            <w:r>
              <w:rPr>
                <w:rFonts w:ascii="Arial" w:cs="Arial" w:eastAsia="Arial" w:hAnsi="Arial"/>
                <w:sz w:val="8"/>
                <w:szCs w:val="8"/>
                <w:b w:val="1"/>
                <w:bCs w:val="1"/>
                <w:color w:val="FFFFFF"/>
              </w:rPr>
              <w:t>% Change</w:t>
            </w:r>
          </w:p>
        </w:tc>
      </w:tr>
      <w:tr>
        <w:trPr>
          <w:trHeight w:val="117"/>
        </w:trPr>
        <w:tc>
          <w:tcPr>
            <w:tcW w:w="4060" w:type="dxa"/>
            <w:vAlign w:val="bottom"/>
            <w:tcBorders>
              <w:bottom w:val="single" w:sz="8" w:color="auto"/>
            </w:tcBorders>
            <w:shd w:val="clear" w:color="auto" w:fill="2AD2C9"/>
          </w:tcPr>
          <w:p>
            <w:pPr>
              <w:ind w:left="20"/>
              <w:spacing w:after="0"/>
              <w:rPr>
                <w:sz w:val="20"/>
                <w:szCs w:val="20"/>
                <w:color w:val="auto"/>
              </w:rPr>
            </w:pPr>
            <w:r>
              <w:rPr>
                <w:rFonts w:ascii="Arial" w:cs="Arial" w:eastAsia="Arial" w:hAnsi="Arial"/>
                <w:sz w:val="10"/>
                <w:szCs w:val="10"/>
                <w:b w:val="1"/>
                <w:bCs w:val="1"/>
                <w:color w:val="FFFFFF"/>
              </w:rPr>
              <w:t>(S/ 000,000)</w:t>
            </w:r>
          </w:p>
        </w:tc>
        <w:tc>
          <w:tcPr>
            <w:tcW w:w="660" w:type="dxa"/>
            <w:vAlign w:val="bottom"/>
            <w:tcBorders>
              <w:bottom w:val="single" w:sz="8" w:color="auto"/>
            </w:tcBorders>
            <w:shd w:val="clear" w:color="auto" w:fill="2AD2C9"/>
          </w:tcPr>
          <w:p>
            <w:pPr>
              <w:jc w:val="center"/>
              <w:ind w:left="93"/>
              <w:spacing w:after="0"/>
              <w:rPr>
                <w:sz w:val="20"/>
                <w:szCs w:val="20"/>
                <w:color w:val="auto"/>
              </w:rPr>
            </w:pPr>
            <w:r>
              <w:rPr>
                <w:rFonts w:ascii="Arial" w:cs="Arial" w:eastAsia="Arial" w:hAnsi="Arial"/>
                <w:sz w:val="10"/>
                <w:szCs w:val="10"/>
                <w:b w:val="1"/>
                <w:bCs w:val="1"/>
                <w:color w:val="FFFFFF"/>
                <w:w w:val="97"/>
              </w:rPr>
              <w:t>2Q23</w:t>
            </w:r>
          </w:p>
        </w:tc>
        <w:tc>
          <w:tcPr>
            <w:tcW w:w="920" w:type="dxa"/>
            <w:vAlign w:val="bottom"/>
            <w:tcBorders>
              <w:bottom w:val="single" w:sz="8" w:color="auto"/>
            </w:tcBorders>
            <w:shd w:val="clear" w:color="auto" w:fill="2AD2C9"/>
          </w:tcPr>
          <w:p>
            <w:pPr>
              <w:jc w:val="center"/>
              <w:ind w:left="73"/>
              <w:spacing w:after="0"/>
              <w:rPr>
                <w:sz w:val="20"/>
                <w:szCs w:val="20"/>
                <w:color w:val="auto"/>
              </w:rPr>
            </w:pPr>
            <w:r>
              <w:rPr>
                <w:rFonts w:ascii="Arial" w:cs="Arial" w:eastAsia="Arial" w:hAnsi="Arial"/>
                <w:sz w:val="10"/>
                <w:szCs w:val="10"/>
                <w:b w:val="1"/>
                <w:bCs w:val="1"/>
                <w:color w:val="FFFFFF"/>
                <w:w w:val="97"/>
              </w:rPr>
              <w:t>1Q24</w:t>
            </w:r>
          </w:p>
        </w:tc>
        <w:tc>
          <w:tcPr>
            <w:tcW w:w="7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7"/>
              </w:rPr>
              <w:t>2Q24</w:t>
            </w:r>
          </w:p>
        </w:tc>
        <w:tc>
          <w:tcPr>
            <w:tcW w:w="540" w:type="dxa"/>
            <w:vAlign w:val="bottom"/>
            <w:tcBorders>
              <w:bottom w:val="single" w:sz="8" w:color="auto"/>
            </w:tcBorders>
            <w:shd w:val="clear" w:color="auto" w:fill="2AD2C9"/>
          </w:tcPr>
          <w:p>
            <w:pPr>
              <w:ind w:left="300"/>
              <w:spacing w:after="0"/>
              <w:rPr>
                <w:sz w:val="20"/>
                <w:szCs w:val="20"/>
                <w:color w:val="auto"/>
              </w:rPr>
            </w:pPr>
            <w:r>
              <w:rPr>
                <w:rFonts w:ascii="Arial" w:cs="Arial" w:eastAsia="Arial" w:hAnsi="Arial"/>
                <w:sz w:val="10"/>
                <w:szCs w:val="10"/>
                <w:b w:val="1"/>
                <w:bCs w:val="1"/>
                <w:color w:val="FFFFFF"/>
              </w:rPr>
              <w:t>QoQ</w:t>
            </w:r>
          </w:p>
        </w:tc>
        <w:tc>
          <w:tcPr>
            <w:tcW w:w="1040" w:type="dxa"/>
            <w:vAlign w:val="bottom"/>
            <w:tcBorders>
              <w:bottom w:val="single" w:sz="8" w:color="auto"/>
            </w:tcBorders>
            <w:shd w:val="clear" w:color="auto" w:fill="2AD2C9"/>
          </w:tcPr>
          <w:p>
            <w:pPr>
              <w:ind w:left="560"/>
              <w:spacing w:after="0"/>
              <w:rPr>
                <w:sz w:val="20"/>
                <w:szCs w:val="20"/>
                <w:color w:val="auto"/>
              </w:rPr>
            </w:pPr>
            <w:r>
              <w:rPr>
                <w:rFonts w:ascii="Arial" w:cs="Arial" w:eastAsia="Arial" w:hAnsi="Arial"/>
                <w:sz w:val="10"/>
                <w:szCs w:val="10"/>
                <w:b w:val="1"/>
                <w:bCs w:val="1"/>
                <w:color w:val="FFFFFF"/>
              </w:rPr>
              <w:t>YoY</w:t>
            </w:r>
          </w:p>
        </w:tc>
        <w:tc>
          <w:tcPr>
            <w:tcW w:w="620" w:type="dxa"/>
            <w:vAlign w:val="bottom"/>
            <w:tcBorders>
              <w:bottom w:val="single" w:sz="8" w:color="auto"/>
            </w:tcBorders>
            <w:shd w:val="clear" w:color="auto" w:fill="2AD2C9"/>
          </w:tcPr>
          <w:p>
            <w:pPr>
              <w:jc w:val="center"/>
              <w:ind w:left="133"/>
              <w:spacing w:after="0"/>
              <w:rPr>
                <w:sz w:val="20"/>
                <w:szCs w:val="20"/>
                <w:color w:val="auto"/>
              </w:rPr>
            </w:pPr>
            <w:r>
              <w:rPr>
                <w:rFonts w:ascii="Arial" w:cs="Arial" w:eastAsia="Arial" w:hAnsi="Arial"/>
                <w:sz w:val="10"/>
                <w:szCs w:val="10"/>
                <w:b w:val="1"/>
                <w:bCs w:val="1"/>
                <w:color w:val="FFFFFF"/>
              </w:rPr>
              <w:t>1H23</w:t>
            </w:r>
          </w:p>
        </w:tc>
        <w:tc>
          <w:tcPr>
            <w:tcW w:w="900" w:type="dxa"/>
            <w:vAlign w:val="bottom"/>
            <w:tcBorders>
              <w:bottom w:val="single" w:sz="8" w:color="auto"/>
            </w:tcBorders>
            <w:shd w:val="clear" w:color="auto" w:fill="2AD2C9"/>
          </w:tcPr>
          <w:p>
            <w:pPr>
              <w:jc w:val="center"/>
              <w:ind w:left="193"/>
              <w:spacing w:after="0"/>
              <w:rPr>
                <w:sz w:val="20"/>
                <w:szCs w:val="20"/>
                <w:color w:val="auto"/>
              </w:rPr>
            </w:pPr>
            <w:r>
              <w:rPr>
                <w:rFonts w:ascii="Arial" w:cs="Arial" w:eastAsia="Arial" w:hAnsi="Arial"/>
                <w:sz w:val="10"/>
                <w:szCs w:val="10"/>
                <w:b w:val="1"/>
                <w:bCs w:val="1"/>
                <w:color w:val="FFFFFF"/>
                <w:w w:val="91"/>
              </w:rPr>
              <w:t>1H24</w:t>
            </w:r>
          </w:p>
        </w:tc>
        <w:tc>
          <w:tcPr>
            <w:tcW w:w="860" w:type="dxa"/>
            <w:vAlign w:val="bottom"/>
            <w:tcBorders>
              <w:bottom w:val="single" w:sz="8" w:color="auto"/>
            </w:tcBorders>
            <w:shd w:val="clear" w:color="auto" w:fill="2AD2C9"/>
          </w:tcPr>
          <w:p>
            <w:pPr>
              <w:jc w:val="center"/>
              <w:ind w:left="33"/>
              <w:spacing w:after="0"/>
              <w:rPr>
                <w:sz w:val="20"/>
                <w:szCs w:val="20"/>
                <w:color w:val="auto"/>
              </w:rPr>
            </w:pPr>
            <w:r>
              <w:rPr>
                <w:rFonts w:ascii="Arial" w:cs="Arial" w:eastAsia="Arial" w:hAnsi="Arial"/>
                <w:sz w:val="10"/>
                <w:szCs w:val="10"/>
                <w:b w:val="1"/>
                <w:bCs w:val="1"/>
                <w:color w:val="FFFFFF"/>
                <w:w w:val="96"/>
              </w:rPr>
              <w:t>1H24 / 1H23</w:t>
            </w:r>
          </w:p>
        </w:tc>
      </w:tr>
      <w:tr>
        <w:trPr>
          <w:trHeight w:val="81"/>
        </w:trPr>
        <w:tc>
          <w:tcPr>
            <w:tcW w:w="4060" w:type="dxa"/>
            <w:vAlign w:val="bottom"/>
          </w:tcPr>
          <w:p>
            <w:pPr>
              <w:ind w:left="20"/>
              <w:spacing w:after="0" w:line="81" w:lineRule="exact"/>
              <w:rPr>
                <w:sz w:val="20"/>
                <w:szCs w:val="20"/>
                <w:color w:val="auto"/>
              </w:rPr>
            </w:pPr>
            <w:r>
              <w:rPr>
                <w:rFonts w:ascii="Arial" w:cs="Arial" w:eastAsia="Arial" w:hAnsi="Arial"/>
                <w:sz w:val="6"/>
                <w:szCs w:val="6"/>
                <w:color w:val="auto"/>
              </w:rPr>
              <w:t xml:space="preserve">Payments and transactionals </w:t>
            </w:r>
            <w:r>
              <w:rPr>
                <w:rFonts w:ascii="Arial" w:cs="Arial" w:eastAsia="Arial" w:hAnsi="Arial"/>
                <w:sz w:val="9"/>
                <w:szCs w:val="9"/>
                <w:color w:val="auto"/>
                <w:vertAlign w:val="superscript"/>
              </w:rPr>
              <w:t>(1)</w:t>
            </w:r>
          </w:p>
        </w:tc>
        <w:tc>
          <w:tcPr>
            <w:tcW w:w="660" w:type="dxa"/>
            <w:vAlign w:val="bottom"/>
          </w:tcPr>
          <w:p>
            <w:pPr>
              <w:jc w:val="center"/>
              <w:ind w:left="93"/>
              <w:spacing w:after="0" w:line="81" w:lineRule="exact"/>
              <w:rPr>
                <w:sz w:val="20"/>
                <w:szCs w:val="20"/>
                <w:color w:val="auto"/>
              </w:rPr>
            </w:pPr>
            <w:r>
              <w:rPr>
                <w:rFonts w:ascii="Arial" w:cs="Arial" w:eastAsia="Arial" w:hAnsi="Arial"/>
                <w:sz w:val="8"/>
                <w:szCs w:val="8"/>
                <w:color w:val="auto"/>
              </w:rPr>
              <w:t>322.9</w:t>
            </w:r>
          </w:p>
        </w:tc>
        <w:tc>
          <w:tcPr>
            <w:tcW w:w="920" w:type="dxa"/>
            <w:vAlign w:val="bottom"/>
          </w:tcPr>
          <w:p>
            <w:pPr>
              <w:jc w:val="center"/>
              <w:ind w:left="73"/>
              <w:spacing w:after="0" w:line="81" w:lineRule="exact"/>
              <w:rPr>
                <w:sz w:val="20"/>
                <w:szCs w:val="20"/>
                <w:color w:val="auto"/>
              </w:rPr>
            </w:pPr>
            <w:r>
              <w:rPr>
                <w:rFonts w:ascii="Arial" w:cs="Arial" w:eastAsia="Arial" w:hAnsi="Arial"/>
                <w:sz w:val="8"/>
                <w:szCs w:val="8"/>
                <w:color w:val="auto"/>
              </w:rPr>
              <w:t>340.2</w:t>
            </w:r>
          </w:p>
        </w:tc>
        <w:tc>
          <w:tcPr>
            <w:tcW w:w="780" w:type="dxa"/>
            <w:vAlign w:val="bottom"/>
          </w:tcPr>
          <w:p>
            <w:pPr>
              <w:jc w:val="center"/>
              <w:spacing w:after="0" w:line="81" w:lineRule="exact"/>
              <w:rPr>
                <w:sz w:val="20"/>
                <w:szCs w:val="20"/>
                <w:color w:val="auto"/>
              </w:rPr>
            </w:pPr>
            <w:r>
              <w:rPr>
                <w:rFonts w:ascii="Arial" w:cs="Arial" w:eastAsia="Arial" w:hAnsi="Arial"/>
                <w:sz w:val="8"/>
                <w:szCs w:val="8"/>
                <w:color w:val="auto"/>
              </w:rPr>
              <w:t>333.6</w:t>
            </w:r>
          </w:p>
        </w:tc>
        <w:tc>
          <w:tcPr>
            <w:tcW w:w="540" w:type="dxa"/>
            <w:vAlign w:val="bottom"/>
          </w:tcPr>
          <w:p>
            <w:pPr>
              <w:jc w:val="center"/>
              <w:ind w:left="193"/>
              <w:spacing w:after="0" w:line="81" w:lineRule="exact"/>
              <w:rPr>
                <w:sz w:val="20"/>
                <w:szCs w:val="20"/>
                <w:color w:val="auto"/>
              </w:rPr>
            </w:pPr>
            <w:r>
              <w:rPr>
                <w:rFonts w:ascii="Arial" w:cs="Arial" w:eastAsia="Arial" w:hAnsi="Arial"/>
                <w:sz w:val="8"/>
                <w:szCs w:val="8"/>
                <w:color w:val="auto"/>
              </w:rPr>
              <w:t>-1.9%</w:t>
            </w:r>
          </w:p>
        </w:tc>
        <w:tc>
          <w:tcPr>
            <w:tcW w:w="1040" w:type="dxa"/>
            <w:vAlign w:val="bottom"/>
          </w:tcPr>
          <w:p>
            <w:pPr>
              <w:jc w:val="center"/>
              <w:ind w:left="213"/>
              <w:spacing w:after="0" w:line="81" w:lineRule="exact"/>
              <w:rPr>
                <w:sz w:val="20"/>
                <w:szCs w:val="20"/>
                <w:color w:val="auto"/>
              </w:rPr>
            </w:pPr>
            <w:r>
              <w:rPr>
                <w:rFonts w:ascii="Arial" w:cs="Arial" w:eastAsia="Arial" w:hAnsi="Arial"/>
                <w:sz w:val="8"/>
                <w:szCs w:val="8"/>
                <w:color w:val="auto"/>
              </w:rPr>
              <w:t>3.3%</w:t>
            </w:r>
          </w:p>
        </w:tc>
        <w:tc>
          <w:tcPr>
            <w:tcW w:w="620" w:type="dxa"/>
            <w:vAlign w:val="bottom"/>
          </w:tcPr>
          <w:p>
            <w:pPr>
              <w:jc w:val="center"/>
              <w:ind w:left="133"/>
              <w:spacing w:after="0" w:line="81" w:lineRule="exact"/>
              <w:rPr>
                <w:sz w:val="20"/>
                <w:szCs w:val="20"/>
                <w:color w:val="auto"/>
              </w:rPr>
            </w:pPr>
            <w:r>
              <w:rPr>
                <w:rFonts w:ascii="Arial" w:cs="Arial" w:eastAsia="Arial" w:hAnsi="Arial"/>
                <w:sz w:val="8"/>
                <w:szCs w:val="8"/>
                <w:color w:val="auto"/>
              </w:rPr>
              <w:t>644.0</w:t>
            </w:r>
          </w:p>
        </w:tc>
        <w:tc>
          <w:tcPr>
            <w:tcW w:w="900" w:type="dxa"/>
            <w:vAlign w:val="bottom"/>
          </w:tcPr>
          <w:p>
            <w:pPr>
              <w:jc w:val="center"/>
              <w:ind w:left="173"/>
              <w:spacing w:after="0" w:line="81" w:lineRule="exact"/>
              <w:rPr>
                <w:sz w:val="20"/>
                <w:szCs w:val="20"/>
                <w:color w:val="auto"/>
              </w:rPr>
            </w:pPr>
            <w:r>
              <w:rPr>
                <w:rFonts w:ascii="Arial" w:cs="Arial" w:eastAsia="Arial" w:hAnsi="Arial"/>
                <w:sz w:val="8"/>
                <w:szCs w:val="8"/>
                <w:color w:val="auto"/>
              </w:rPr>
              <w:t>673.8</w:t>
            </w:r>
          </w:p>
        </w:tc>
        <w:tc>
          <w:tcPr>
            <w:tcW w:w="860" w:type="dxa"/>
            <w:vAlign w:val="bottom"/>
          </w:tcPr>
          <w:p>
            <w:pPr>
              <w:jc w:val="center"/>
              <w:ind w:left="33"/>
              <w:spacing w:after="0" w:line="81" w:lineRule="exact"/>
              <w:rPr>
                <w:sz w:val="20"/>
                <w:szCs w:val="20"/>
                <w:color w:val="auto"/>
              </w:rPr>
            </w:pPr>
            <w:r>
              <w:rPr>
                <w:rFonts w:ascii="Arial" w:cs="Arial" w:eastAsia="Arial" w:hAnsi="Arial"/>
                <w:sz w:val="8"/>
                <w:szCs w:val="8"/>
                <w:color w:val="auto"/>
              </w:rPr>
              <w:t>4.6%</w:t>
            </w:r>
          </w:p>
        </w:tc>
      </w:tr>
      <w:tr>
        <w:trPr>
          <w:trHeight w:val="97"/>
        </w:trPr>
        <w:tc>
          <w:tcPr>
            <w:tcW w:w="4060" w:type="dxa"/>
            <w:vAlign w:val="bottom"/>
          </w:tcPr>
          <w:p>
            <w:pPr>
              <w:ind w:left="20"/>
              <w:spacing w:after="0" w:line="97" w:lineRule="exact"/>
              <w:rPr>
                <w:sz w:val="20"/>
                <w:szCs w:val="20"/>
                <w:color w:val="auto"/>
              </w:rPr>
            </w:pPr>
            <w:r>
              <w:rPr>
                <w:rFonts w:ascii="Arial" w:cs="Arial" w:eastAsia="Arial" w:hAnsi="Arial"/>
                <w:sz w:val="10"/>
                <w:szCs w:val="10"/>
                <w:color w:val="auto"/>
              </w:rPr>
              <w:t>Yape</w:t>
            </w:r>
          </w:p>
        </w:tc>
        <w:tc>
          <w:tcPr>
            <w:tcW w:w="660" w:type="dxa"/>
            <w:vAlign w:val="bottom"/>
          </w:tcPr>
          <w:p>
            <w:pPr>
              <w:jc w:val="center"/>
              <w:ind w:left="113"/>
              <w:spacing w:after="0" w:line="97" w:lineRule="exact"/>
              <w:rPr>
                <w:sz w:val="20"/>
                <w:szCs w:val="20"/>
                <w:color w:val="auto"/>
              </w:rPr>
            </w:pPr>
            <w:r>
              <w:rPr>
                <w:rFonts w:ascii="Arial" w:cs="Arial" w:eastAsia="Arial" w:hAnsi="Arial"/>
                <w:sz w:val="10"/>
                <w:szCs w:val="10"/>
                <w:color w:val="auto"/>
                <w:w w:val="92"/>
              </w:rPr>
              <w:t>20.2</w:t>
            </w:r>
          </w:p>
        </w:tc>
        <w:tc>
          <w:tcPr>
            <w:tcW w:w="920" w:type="dxa"/>
            <w:vAlign w:val="bottom"/>
          </w:tcPr>
          <w:p>
            <w:pPr>
              <w:jc w:val="center"/>
              <w:ind w:left="73"/>
              <w:spacing w:after="0" w:line="97" w:lineRule="exact"/>
              <w:rPr>
                <w:sz w:val="20"/>
                <w:szCs w:val="20"/>
                <w:color w:val="auto"/>
              </w:rPr>
            </w:pPr>
            <w:r>
              <w:rPr>
                <w:rFonts w:ascii="Arial" w:cs="Arial" w:eastAsia="Arial" w:hAnsi="Arial"/>
                <w:sz w:val="10"/>
                <w:szCs w:val="10"/>
                <w:color w:val="auto"/>
              </w:rPr>
              <w:t>56.0</w:t>
            </w:r>
          </w:p>
        </w:tc>
        <w:tc>
          <w:tcPr>
            <w:tcW w:w="780" w:type="dxa"/>
            <w:vAlign w:val="bottom"/>
          </w:tcPr>
          <w:p>
            <w:pPr>
              <w:jc w:val="center"/>
              <w:spacing w:after="0" w:line="97" w:lineRule="exact"/>
              <w:rPr>
                <w:sz w:val="20"/>
                <w:szCs w:val="20"/>
                <w:color w:val="auto"/>
              </w:rPr>
            </w:pPr>
            <w:r>
              <w:rPr>
                <w:rFonts w:ascii="Arial" w:cs="Arial" w:eastAsia="Arial" w:hAnsi="Arial"/>
                <w:sz w:val="10"/>
                <w:szCs w:val="10"/>
                <w:color w:val="auto"/>
              </w:rPr>
              <w:t>72.4</w:t>
            </w:r>
          </w:p>
        </w:tc>
        <w:tc>
          <w:tcPr>
            <w:tcW w:w="540" w:type="dxa"/>
            <w:vAlign w:val="bottom"/>
          </w:tcPr>
          <w:p>
            <w:pPr>
              <w:jc w:val="center"/>
              <w:ind w:left="213"/>
              <w:spacing w:after="0" w:line="97" w:lineRule="exact"/>
              <w:rPr>
                <w:sz w:val="20"/>
                <w:szCs w:val="20"/>
                <w:color w:val="auto"/>
              </w:rPr>
            </w:pPr>
            <w:r>
              <w:rPr>
                <w:rFonts w:ascii="Arial" w:cs="Arial" w:eastAsia="Arial" w:hAnsi="Arial"/>
                <w:sz w:val="10"/>
                <w:szCs w:val="10"/>
                <w:color w:val="auto"/>
                <w:w w:val="98"/>
              </w:rPr>
              <w:t>29.2%</w:t>
            </w:r>
          </w:p>
        </w:tc>
        <w:tc>
          <w:tcPr>
            <w:tcW w:w="1040" w:type="dxa"/>
            <w:vAlign w:val="bottom"/>
          </w:tcPr>
          <w:p>
            <w:pPr>
              <w:jc w:val="center"/>
              <w:ind w:left="193"/>
              <w:spacing w:after="0" w:line="97" w:lineRule="exact"/>
              <w:rPr>
                <w:sz w:val="20"/>
                <w:szCs w:val="20"/>
                <w:color w:val="auto"/>
              </w:rPr>
            </w:pPr>
            <w:r>
              <w:rPr>
                <w:rFonts w:ascii="Arial" w:cs="Arial" w:eastAsia="Arial" w:hAnsi="Arial"/>
                <w:sz w:val="10"/>
                <w:szCs w:val="10"/>
                <w:color w:val="auto"/>
                <w:w w:val="94"/>
              </w:rPr>
              <w:t>258.2%</w:t>
            </w:r>
          </w:p>
        </w:tc>
        <w:tc>
          <w:tcPr>
            <w:tcW w:w="620" w:type="dxa"/>
            <w:vAlign w:val="bottom"/>
          </w:tcPr>
          <w:p>
            <w:pPr>
              <w:jc w:val="center"/>
              <w:ind w:left="133"/>
              <w:spacing w:after="0" w:line="97" w:lineRule="exact"/>
              <w:rPr>
                <w:sz w:val="20"/>
                <w:szCs w:val="20"/>
                <w:color w:val="auto"/>
              </w:rPr>
            </w:pPr>
            <w:r>
              <w:rPr>
                <w:rFonts w:ascii="Arial" w:cs="Arial" w:eastAsia="Arial" w:hAnsi="Arial"/>
                <w:sz w:val="10"/>
                <w:szCs w:val="10"/>
                <w:color w:val="auto"/>
                <w:w w:val="85"/>
              </w:rPr>
              <w:t>8.7</w:t>
            </w:r>
          </w:p>
        </w:tc>
        <w:tc>
          <w:tcPr>
            <w:tcW w:w="900" w:type="dxa"/>
            <w:vAlign w:val="bottom"/>
          </w:tcPr>
          <w:p>
            <w:pPr>
              <w:jc w:val="center"/>
              <w:ind w:left="173"/>
              <w:spacing w:after="0" w:line="97" w:lineRule="exact"/>
              <w:rPr>
                <w:sz w:val="20"/>
                <w:szCs w:val="20"/>
                <w:color w:val="auto"/>
              </w:rPr>
            </w:pPr>
            <w:r>
              <w:rPr>
                <w:rFonts w:ascii="Arial" w:cs="Arial" w:eastAsia="Arial" w:hAnsi="Arial"/>
                <w:sz w:val="10"/>
                <w:szCs w:val="10"/>
                <w:color w:val="auto"/>
                <w:w w:val="95"/>
              </w:rPr>
              <w:t>128.4</w:t>
            </w:r>
          </w:p>
        </w:tc>
        <w:tc>
          <w:tcPr>
            <w:tcW w:w="860" w:type="dxa"/>
            <w:vAlign w:val="bottom"/>
          </w:tcPr>
          <w:p>
            <w:pPr>
              <w:jc w:val="center"/>
              <w:ind w:left="13"/>
              <w:spacing w:after="0" w:line="97" w:lineRule="exact"/>
              <w:rPr>
                <w:sz w:val="20"/>
                <w:szCs w:val="20"/>
                <w:color w:val="auto"/>
              </w:rPr>
            </w:pPr>
            <w:r>
              <w:rPr>
                <w:rFonts w:ascii="Arial" w:cs="Arial" w:eastAsia="Arial" w:hAnsi="Arial"/>
                <w:sz w:val="10"/>
                <w:szCs w:val="10"/>
                <w:color w:val="auto"/>
                <w:w w:val="95"/>
              </w:rPr>
              <w:t>n.a.</w:t>
            </w:r>
          </w:p>
        </w:tc>
      </w:tr>
      <w:tr>
        <w:trPr>
          <w:trHeight w:val="103"/>
        </w:trPr>
        <w:tc>
          <w:tcPr>
            <w:tcW w:w="4060" w:type="dxa"/>
            <w:vAlign w:val="bottom"/>
          </w:tcPr>
          <w:p>
            <w:pPr>
              <w:ind w:left="20"/>
              <w:spacing w:after="0" w:line="103" w:lineRule="exact"/>
              <w:rPr>
                <w:sz w:val="20"/>
                <w:szCs w:val="20"/>
                <w:color w:val="auto"/>
              </w:rPr>
            </w:pPr>
            <w:r>
              <w:rPr>
                <w:rFonts w:ascii="Arial" w:cs="Arial" w:eastAsia="Arial" w:hAnsi="Arial"/>
                <w:sz w:val="7"/>
                <w:szCs w:val="7"/>
                <w:color w:val="auto"/>
              </w:rPr>
              <w:t xml:space="preserve">Liability accounts </w:t>
            </w:r>
            <w:r>
              <w:rPr>
                <w:rFonts w:ascii="Arial" w:cs="Arial" w:eastAsia="Arial" w:hAnsi="Arial"/>
                <w:sz w:val="11"/>
                <w:szCs w:val="11"/>
                <w:color w:val="auto"/>
                <w:vertAlign w:val="superscript"/>
              </w:rPr>
              <w:t>(2)</w:t>
            </w:r>
          </w:p>
        </w:tc>
        <w:tc>
          <w:tcPr>
            <w:tcW w:w="660" w:type="dxa"/>
            <w:vAlign w:val="bottom"/>
          </w:tcPr>
          <w:p>
            <w:pPr>
              <w:jc w:val="center"/>
              <w:ind w:left="93"/>
              <w:spacing w:after="0" w:line="103" w:lineRule="exact"/>
              <w:rPr>
                <w:sz w:val="20"/>
                <w:szCs w:val="20"/>
                <w:color w:val="auto"/>
              </w:rPr>
            </w:pPr>
            <w:r>
              <w:rPr>
                <w:rFonts w:ascii="Arial" w:cs="Arial" w:eastAsia="Arial" w:hAnsi="Arial"/>
                <w:sz w:val="10"/>
                <w:szCs w:val="10"/>
                <w:color w:val="auto"/>
                <w:w w:val="95"/>
              </w:rPr>
              <w:t>182.0</w:t>
            </w:r>
          </w:p>
        </w:tc>
        <w:tc>
          <w:tcPr>
            <w:tcW w:w="920" w:type="dxa"/>
            <w:vAlign w:val="bottom"/>
          </w:tcPr>
          <w:p>
            <w:pPr>
              <w:jc w:val="center"/>
              <w:ind w:left="73"/>
              <w:spacing w:after="0" w:line="103" w:lineRule="exact"/>
              <w:rPr>
                <w:sz w:val="20"/>
                <w:szCs w:val="20"/>
                <w:color w:val="auto"/>
              </w:rPr>
            </w:pPr>
            <w:r>
              <w:rPr>
                <w:rFonts w:ascii="Arial" w:cs="Arial" w:eastAsia="Arial" w:hAnsi="Arial"/>
                <w:sz w:val="10"/>
                <w:szCs w:val="10"/>
                <w:color w:val="auto"/>
                <w:w w:val="95"/>
              </w:rPr>
              <w:t>179.3</w:t>
            </w:r>
          </w:p>
        </w:tc>
        <w:tc>
          <w:tcPr>
            <w:tcW w:w="780" w:type="dxa"/>
            <w:vAlign w:val="bottom"/>
          </w:tcPr>
          <w:p>
            <w:pPr>
              <w:jc w:val="center"/>
              <w:spacing w:after="0" w:line="103" w:lineRule="exact"/>
              <w:rPr>
                <w:sz w:val="20"/>
                <w:szCs w:val="20"/>
                <w:color w:val="auto"/>
              </w:rPr>
            </w:pPr>
            <w:r>
              <w:rPr>
                <w:rFonts w:ascii="Arial" w:cs="Arial" w:eastAsia="Arial" w:hAnsi="Arial"/>
                <w:sz w:val="10"/>
                <w:szCs w:val="10"/>
                <w:color w:val="auto"/>
                <w:w w:val="95"/>
              </w:rPr>
              <w:t>191.3</w:t>
            </w:r>
          </w:p>
        </w:tc>
        <w:tc>
          <w:tcPr>
            <w:tcW w:w="540" w:type="dxa"/>
            <w:vAlign w:val="bottom"/>
          </w:tcPr>
          <w:p>
            <w:pPr>
              <w:jc w:val="center"/>
              <w:ind w:left="193"/>
              <w:spacing w:after="0" w:line="103" w:lineRule="exact"/>
              <w:rPr>
                <w:sz w:val="20"/>
                <w:szCs w:val="20"/>
                <w:color w:val="auto"/>
              </w:rPr>
            </w:pPr>
            <w:r>
              <w:rPr>
                <w:rFonts w:ascii="Arial" w:cs="Arial" w:eastAsia="Arial" w:hAnsi="Arial"/>
                <w:sz w:val="10"/>
                <w:szCs w:val="10"/>
                <w:color w:val="auto"/>
                <w:w w:val="96"/>
              </w:rPr>
              <w:t>6.7%</w:t>
            </w:r>
          </w:p>
        </w:tc>
        <w:tc>
          <w:tcPr>
            <w:tcW w:w="1040" w:type="dxa"/>
            <w:vAlign w:val="bottom"/>
          </w:tcPr>
          <w:p>
            <w:pPr>
              <w:jc w:val="center"/>
              <w:ind w:left="213"/>
              <w:spacing w:after="0" w:line="103" w:lineRule="exact"/>
              <w:rPr>
                <w:sz w:val="20"/>
                <w:szCs w:val="20"/>
                <w:color w:val="auto"/>
              </w:rPr>
            </w:pPr>
            <w:r>
              <w:rPr>
                <w:rFonts w:ascii="Arial" w:cs="Arial" w:eastAsia="Arial" w:hAnsi="Arial"/>
                <w:sz w:val="10"/>
                <w:szCs w:val="10"/>
                <w:color w:val="auto"/>
                <w:w w:val="96"/>
              </w:rPr>
              <w:t>5.1%</w:t>
            </w:r>
          </w:p>
        </w:tc>
        <w:tc>
          <w:tcPr>
            <w:tcW w:w="620" w:type="dxa"/>
            <w:vAlign w:val="bottom"/>
          </w:tcPr>
          <w:p>
            <w:pPr>
              <w:jc w:val="center"/>
              <w:ind w:left="133"/>
              <w:spacing w:after="0" w:line="103" w:lineRule="exact"/>
              <w:rPr>
                <w:sz w:val="20"/>
                <w:szCs w:val="20"/>
                <w:color w:val="auto"/>
              </w:rPr>
            </w:pPr>
            <w:r>
              <w:rPr>
                <w:rFonts w:ascii="Arial" w:cs="Arial" w:eastAsia="Arial" w:hAnsi="Arial"/>
                <w:sz w:val="10"/>
                <w:szCs w:val="10"/>
                <w:color w:val="auto"/>
                <w:w w:val="95"/>
              </w:rPr>
              <w:t>360.0</w:t>
            </w:r>
          </w:p>
        </w:tc>
        <w:tc>
          <w:tcPr>
            <w:tcW w:w="900" w:type="dxa"/>
            <w:vAlign w:val="bottom"/>
          </w:tcPr>
          <w:p>
            <w:pPr>
              <w:jc w:val="center"/>
              <w:ind w:left="173"/>
              <w:spacing w:after="0" w:line="103" w:lineRule="exact"/>
              <w:rPr>
                <w:sz w:val="20"/>
                <w:szCs w:val="20"/>
                <w:color w:val="auto"/>
              </w:rPr>
            </w:pPr>
            <w:r>
              <w:rPr>
                <w:rFonts w:ascii="Arial" w:cs="Arial" w:eastAsia="Arial" w:hAnsi="Arial"/>
                <w:sz w:val="10"/>
                <w:szCs w:val="10"/>
                <w:color w:val="auto"/>
                <w:w w:val="95"/>
              </w:rPr>
              <w:t>370.6</w:t>
            </w:r>
          </w:p>
        </w:tc>
        <w:tc>
          <w:tcPr>
            <w:tcW w:w="860" w:type="dxa"/>
            <w:vAlign w:val="bottom"/>
          </w:tcPr>
          <w:p>
            <w:pPr>
              <w:jc w:val="center"/>
              <w:ind w:left="33"/>
              <w:spacing w:after="0" w:line="103" w:lineRule="exact"/>
              <w:rPr>
                <w:sz w:val="20"/>
                <w:szCs w:val="20"/>
                <w:color w:val="auto"/>
              </w:rPr>
            </w:pPr>
            <w:r>
              <w:rPr>
                <w:rFonts w:ascii="Arial" w:cs="Arial" w:eastAsia="Arial" w:hAnsi="Arial"/>
                <w:sz w:val="10"/>
                <w:szCs w:val="10"/>
                <w:color w:val="auto"/>
                <w:w w:val="96"/>
              </w:rPr>
              <w:t>3.0%</w:t>
            </w:r>
          </w:p>
        </w:tc>
      </w:tr>
      <w:tr>
        <w:trPr>
          <w:trHeight w:val="109"/>
        </w:trPr>
        <w:tc>
          <w:tcPr>
            <w:tcW w:w="4060" w:type="dxa"/>
            <w:vAlign w:val="bottom"/>
          </w:tcPr>
          <w:p>
            <w:pPr>
              <w:ind w:left="20"/>
              <w:spacing w:after="0" w:line="109" w:lineRule="exact"/>
              <w:rPr>
                <w:sz w:val="20"/>
                <w:szCs w:val="20"/>
                <w:color w:val="auto"/>
              </w:rPr>
            </w:pPr>
            <w:r>
              <w:rPr>
                <w:rFonts w:ascii="Arial" w:cs="Arial" w:eastAsia="Arial" w:hAnsi="Arial"/>
                <w:sz w:val="8"/>
                <w:szCs w:val="8"/>
                <w:color w:val="auto"/>
              </w:rPr>
              <w:t xml:space="preserve">Loan Disbursement </w:t>
            </w:r>
            <w:r>
              <w:rPr>
                <w:rFonts w:ascii="Arial" w:cs="Arial" w:eastAsia="Arial" w:hAnsi="Arial"/>
                <w:sz w:val="12"/>
                <w:szCs w:val="12"/>
                <w:color w:val="auto"/>
                <w:vertAlign w:val="superscript"/>
              </w:rPr>
              <w:t>(3)</w:t>
            </w:r>
          </w:p>
        </w:tc>
        <w:tc>
          <w:tcPr>
            <w:tcW w:w="660" w:type="dxa"/>
            <w:vAlign w:val="bottom"/>
          </w:tcPr>
          <w:p>
            <w:pPr>
              <w:jc w:val="center"/>
              <w:ind w:left="113"/>
              <w:spacing w:after="0" w:line="109" w:lineRule="exact"/>
              <w:rPr>
                <w:sz w:val="20"/>
                <w:szCs w:val="20"/>
                <w:color w:val="auto"/>
              </w:rPr>
            </w:pPr>
            <w:r>
              <w:rPr>
                <w:rFonts w:ascii="Arial" w:cs="Arial" w:eastAsia="Arial" w:hAnsi="Arial"/>
                <w:sz w:val="10"/>
                <w:szCs w:val="10"/>
                <w:color w:val="auto"/>
                <w:w w:val="92"/>
              </w:rPr>
              <w:t>91.6</w:t>
            </w:r>
          </w:p>
        </w:tc>
        <w:tc>
          <w:tcPr>
            <w:tcW w:w="920" w:type="dxa"/>
            <w:vAlign w:val="bottom"/>
          </w:tcPr>
          <w:p>
            <w:pPr>
              <w:jc w:val="center"/>
              <w:ind w:left="73"/>
              <w:spacing w:after="0" w:line="109" w:lineRule="exact"/>
              <w:rPr>
                <w:sz w:val="20"/>
                <w:szCs w:val="20"/>
                <w:color w:val="auto"/>
              </w:rPr>
            </w:pPr>
            <w:r>
              <w:rPr>
                <w:rFonts w:ascii="Arial" w:cs="Arial" w:eastAsia="Arial" w:hAnsi="Arial"/>
                <w:sz w:val="10"/>
                <w:szCs w:val="10"/>
                <w:color w:val="auto"/>
              </w:rPr>
              <w:t>90.1</w:t>
            </w:r>
          </w:p>
        </w:tc>
        <w:tc>
          <w:tcPr>
            <w:tcW w:w="780" w:type="dxa"/>
            <w:vAlign w:val="bottom"/>
          </w:tcPr>
          <w:p>
            <w:pPr>
              <w:jc w:val="center"/>
              <w:spacing w:after="0" w:line="109" w:lineRule="exact"/>
              <w:rPr>
                <w:sz w:val="20"/>
                <w:szCs w:val="20"/>
                <w:color w:val="auto"/>
              </w:rPr>
            </w:pPr>
            <w:r>
              <w:rPr>
                <w:rFonts w:ascii="Arial" w:cs="Arial" w:eastAsia="Arial" w:hAnsi="Arial"/>
                <w:sz w:val="10"/>
                <w:szCs w:val="10"/>
                <w:color w:val="auto"/>
                <w:w w:val="95"/>
              </w:rPr>
              <w:t>101.0</w:t>
            </w:r>
          </w:p>
        </w:tc>
        <w:tc>
          <w:tcPr>
            <w:tcW w:w="540" w:type="dxa"/>
            <w:vAlign w:val="bottom"/>
          </w:tcPr>
          <w:p>
            <w:pPr>
              <w:jc w:val="center"/>
              <w:ind w:left="213"/>
              <w:spacing w:after="0" w:line="109" w:lineRule="exact"/>
              <w:rPr>
                <w:sz w:val="20"/>
                <w:szCs w:val="20"/>
                <w:color w:val="auto"/>
              </w:rPr>
            </w:pPr>
            <w:r>
              <w:rPr>
                <w:rFonts w:ascii="Arial" w:cs="Arial" w:eastAsia="Arial" w:hAnsi="Arial"/>
                <w:sz w:val="10"/>
                <w:szCs w:val="10"/>
                <w:color w:val="auto"/>
                <w:w w:val="98"/>
              </w:rPr>
              <w:t>12.1%</w:t>
            </w:r>
          </w:p>
        </w:tc>
        <w:tc>
          <w:tcPr>
            <w:tcW w:w="1040" w:type="dxa"/>
            <w:vAlign w:val="bottom"/>
          </w:tcPr>
          <w:p>
            <w:pPr>
              <w:jc w:val="center"/>
              <w:ind w:left="193"/>
              <w:spacing w:after="0" w:line="109" w:lineRule="exact"/>
              <w:rPr>
                <w:sz w:val="20"/>
                <w:szCs w:val="20"/>
                <w:color w:val="auto"/>
              </w:rPr>
            </w:pPr>
            <w:r>
              <w:rPr>
                <w:rFonts w:ascii="Arial" w:cs="Arial" w:eastAsia="Arial" w:hAnsi="Arial"/>
                <w:sz w:val="10"/>
                <w:szCs w:val="10"/>
                <w:color w:val="auto"/>
                <w:w w:val="98"/>
              </w:rPr>
              <w:t>10.3%</w:t>
            </w:r>
          </w:p>
        </w:tc>
        <w:tc>
          <w:tcPr>
            <w:tcW w:w="620" w:type="dxa"/>
            <w:vAlign w:val="bottom"/>
          </w:tcPr>
          <w:p>
            <w:pPr>
              <w:jc w:val="center"/>
              <w:ind w:left="133"/>
              <w:spacing w:after="0" w:line="109" w:lineRule="exact"/>
              <w:rPr>
                <w:sz w:val="20"/>
                <w:szCs w:val="20"/>
                <w:color w:val="auto"/>
              </w:rPr>
            </w:pPr>
            <w:r>
              <w:rPr>
                <w:rFonts w:ascii="Arial" w:cs="Arial" w:eastAsia="Arial" w:hAnsi="Arial"/>
                <w:sz w:val="10"/>
                <w:szCs w:val="10"/>
                <w:color w:val="auto"/>
                <w:w w:val="95"/>
              </w:rPr>
              <w:t>186.8</w:t>
            </w:r>
          </w:p>
        </w:tc>
        <w:tc>
          <w:tcPr>
            <w:tcW w:w="900" w:type="dxa"/>
            <w:vAlign w:val="bottom"/>
          </w:tcPr>
          <w:p>
            <w:pPr>
              <w:jc w:val="center"/>
              <w:ind w:left="173"/>
              <w:spacing w:after="0" w:line="109" w:lineRule="exact"/>
              <w:rPr>
                <w:sz w:val="20"/>
                <w:szCs w:val="20"/>
                <w:color w:val="auto"/>
              </w:rPr>
            </w:pPr>
            <w:r>
              <w:rPr>
                <w:rFonts w:ascii="Arial" w:cs="Arial" w:eastAsia="Arial" w:hAnsi="Arial"/>
                <w:sz w:val="10"/>
                <w:szCs w:val="10"/>
                <w:color w:val="auto"/>
                <w:w w:val="95"/>
              </w:rPr>
              <w:t>191.1</w:t>
            </w:r>
          </w:p>
        </w:tc>
        <w:tc>
          <w:tcPr>
            <w:tcW w:w="860" w:type="dxa"/>
            <w:vAlign w:val="bottom"/>
          </w:tcPr>
          <w:p>
            <w:pPr>
              <w:jc w:val="center"/>
              <w:ind w:left="33"/>
              <w:spacing w:after="0" w:line="109" w:lineRule="exact"/>
              <w:rPr>
                <w:sz w:val="20"/>
                <w:szCs w:val="20"/>
                <w:color w:val="auto"/>
              </w:rPr>
            </w:pPr>
            <w:r>
              <w:rPr>
                <w:rFonts w:ascii="Arial" w:cs="Arial" w:eastAsia="Arial" w:hAnsi="Arial"/>
                <w:sz w:val="10"/>
                <w:szCs w:val="10"/>
                <w:color w:val="auto"/>
                <w:w w:val="96"/>
              </w:rPr>
              <w:t>2.3%</w:t>
            </w:r>
          </w:p>
        </w:tc>
      </w:tr>
      <w:tr>
        <w:trPr>
          <w:trHeight w:val="103"/>
        </w:trPr>
        <w:tc>
          <w:tcPr>
            <w:tcW w:w="4060" w:type="dxa"/>
            <w:vAlign w:val="bottom"/>
          </w:tcPr>
          <w:p>
            <w:pPr>
              <w:ind w:left="20"/>
              <w:spacing w:after="0" w:line="103" w:lineRule="exact"/>
              <w:rPr>
                <w:sz w:val="20"/>
                <w:szCs w:val="20"/>
                <w:color w:val="auto"/>
              </w:rPr>
            </w:pPr>
            <w:r>
              <w:rPr>
                <w:rFonts w:ascii="Arial" w:cs="Arial" w:eastAsia="Arial" w:hAnsi="Arial"/>
                <w:sz w:val="10"/>
                <w:szCs w:val="10"/>
                <w:color w:val="auto"/>
              </w:rPr>
              <w:t>Off-balance sheet</w:t>
            </w:r>
          </w:p>
        </w:tc>
        <w:tc>
          <w:tcPr>
            <w:tcW w:w="660" w:type="dxa"/>
            <w:vAlign w:val="bottom"/>
          </w:tcPr>
          <w:p>
            <w:pPr>
              <w:jc w:val="center"/>
              <w:ind w:left="113"/>
              <w:spacing w:after="0" w:line="103" w:lineRule="exact"/>
              <w:rPr>
                <w:sz w:val="20"/>
                <w:szCs w:val="20"/>
                <w:color w:val="auto"/>
              </w:rPr>
            </w:pPr>
            <w:r>
              <w:rPr>
                <w:rFonts w:ascii="Arial" w:cs="Arial" w:eastAsia="Arial" w:hAnsi="Arial"/>
                <w:sz w:val="10"/>
                <w:szCs w:val="10"/>
                <w:color w:val="auto"/>
                <w:w w:val="92"/>
              </w:rPr>
              <w:t>57.2</w:t>
            </w:r>
          </w:p>
        </w:tc>
        <w:tc>
          <w:tcPr>
            <w:tcW w:w="920" w:type="dxa"/>
            <w:vAlign w:val="bottom"/>
          </w:tcPr>
          <w:p>
            <w:pPr>
              <w:jc w:val="center"/>
              <w:ind w:left="73"/>
              <w:spacing w:after="0" w:line="103" w:lineRule="exact"/>
              <w:rPr>
                <w:sz w:val="20"/>
                <w:szCs w:val="20"/>
                <w:color w:val="auto"/>
              </w:rPr>
            </w:pPr>
            <w:r>
              <w:rPr>
                <w:rFonts w:ascii="Arial" w:cs="Arial" w:eastAsia="Arial" w:hAnsi="Arial"/>
                <w:sz w:val="10"/>
                <w:szCs w:val="10"/>
                <w:color w:val="auto"/>
              </w:rPr>
              <w:t>57.3</w:t>
            </w:r>
          </w:p>
        </w:tc>
        <w:tc>
          <w:tcPr>
            <w:tcW w:w="780" w:type="dxa"/>
            <w:vAlign w:val="bottom"/>
          </w:tcPr>
          <w:p>
            <w:pPr>
              <w:jc w:val="center"/>
              <w:spacing w:after="0" w:line="103" w:lineRule="exact"/>
              <w:rPr>
                <w:sz w:val="20"/>
                <w:szCs w:val="20"/>
                <w:color w:val="auto"/>
              </w:rPr>
            </w:pPr>
            <w:r>
              <w:rPr>
                <w:rFonts w:ascii="Arial" w:cs="Arial" w:eastAsia="Arial" w:hAnsi="Arial"/>
                <w:sz w:val="10"/>
                <w:szCs w:val="10"/>
                <w:color w:val="auto"/>
              </w:rPr>
              <w:t>55.0</w:t>
            </w:r>
          </w:p>
        </w:tc>
        <w:tc>
          <w:tcPr>
            <w:tcW w:w="540" w:type="dxa"/>
            <w:vAlign w:val="bottom"/>
          </w:tcPr>
          <w:p>
            <w:pPr>
              <w:jc w:val="center"/>
              <w:ind w:left="193"/>
              <w:spacing w:after="0" w:line="103" w:lineRule="exact"/>
              <w:rPr>
                <w:sz w:val="20"/>
                <w:szCs w:val="20"/>
                <w:color w:val="auto"/>
              </w:rPr>
            </w:pPr>
            <w:r>
              <w:rPr>
                <w:rFonts w:ascii="Arial" w:cs="Arial" w:eastAsia="Arial" w:hAnsi="Arial"/>
                <w:sz w:val="10"/>
                <w:szCs w:val="10"/>
                <w:color w:val="auto"/>
                <w:w w:val="99"/>
              </w:rPr>
              <w:t>-4.0%</w:t>
            </w:r>
          </w:p>
        </w:tc>
        <w:tc>
          <w:tcPr>
            <w:tcW w:w="1040" w:type="dxa"/>
            <w:vAlign w:val="bottom"/>
          </w:tcPr>
          <w:p>
            <w:pPr>
              <w:jc w:val="center"/>
              <w:ind w:left="193"/>
              <w:spacing w:after="0" w:line="103" w:lineRule="exact"/>
              <w:rPr>
                <w:sz w:val="20"/>
                <w:szCs w:val="20"/>
                <w:color w:val="auto"/>
              </w:rPr>
            </w:pPr>
            <w:r>
              <w:rPr>
                <w:rFonts w:ascii="Arial" w:cs="Arial" w:eastAsia="Arial" w:hAnsi="Arial"/>
                <w:sz w:val="10"/>
                <w:szCs w:val="10"/>
                <w:color w:val="auto"/>
                <w:w w:val="91"/>
              </w:rPr>
              <w:t>-3.7%</w:t>
            </w:r>
          </w:p>
        </w:tc>
        <w:tc>
          <w:tcPr>
            <w:tcW w:w="620" w:type="dxa"/>
            <w:vAlign w:val="bottom"/>
          </w:tcPr>
          <w:p>
            <w:pPr>
              <w:jc w:val="center"/>
              <w:ind w:left="133"/>
              <w:spacing w:after="0" w:line="103" w:lineRule="exact"/>
              <w:rPr>
                <w:sz w:val="20"/>
                <w:szCs w:val="20"/>
                <w:color w:val="auto"/>
              </w:rPr>
            </w:pPr>
            <w:r>
              <w:rPr>
                <w:rFonts w:ascii="Arial" w:cs="Arial" w:eastAsia="Arial" w:hAnsi="Arial"/>
                <w:sz w:val="10"/>
                <w:szCs w:val="10"/>
                <w:color w:val="auto"/>
                <w:w w:val="95"/>
              </w:rPr>
              <w:t>118.8</w:t>
            </w:r>
          </w:p>
        </w:tc>
        <w:tc>
          <w:tcPr>
            <w:tcW w:w="900" w:type="dxa"/>
            <w:vAlign w:val="bottom"/>
          </w:tcPr>
          <w:p>
            <w:pPr>
              <w:jc w:val="center"/>
              <w:ind w:left="173"/>
              <w:spacing w:after="0" w:line="103" w:lineRule="exact"/>
              <w:rPr>
                <w:sz w:val="20"/>
                <w:szCs w:val="20"/>
                <w:color w:val="auto"/>
              </w:rPr>
            </w:pPr>
            <w:r>
              <w:rPr>
                <w:rFonts w:ascii="Arial" w:cs="Arial" w:eastAsia="Arial" w:hAnsi="Arial"/>
                <w:sz w:val="10"/>
                <w:szCs w:val="10"/>
                <w:color w:val="auto"/>
                <w:w w:val="95"/>
              </w:rPr>
              <w:t>112.3</w:t>
            </w:r>
          </w:p>
        </w:tc>
        <w:tc>
          <w:tcPr>
            <w:tcW w:w="860" w:type="dxa"/>
            <w:vAlign w:val="bottom"/>
          </w:tcPr>
          <w:p>
            <w:pPr>
              <w:jc w:val="center"/>
              <w:ind w:left="13"/>
              <w:spacing w:after="0" w:line="103" w:lineRule="exact"/>
              <w:rPr>
                <w:sz w:val="20"/>
                <w:szCs w:val="20"/>
                <w:color w:val="auto"/>
              </w:rPr>
            </w:pPr>
            <w:r>
              <w:rPr>
                <w:rFonts w:ascii="Arial" w:cs="Arial" w:eastAsia="Arial" w:hAnsi="Arial"/>
                <w:sz w:val="10"/>
                <w:szCs w:val="10"/>
                <w:color w:val="auto"/>
                <w:w w:val="91"/>
              </w:rPr>
              <w:t>-5.4%</w:t>
            </w:r>
          </w:p>
        </w:tc>
      </w:tr>
      <w:tr>
        <w:trPr>
          <w:trHeight w:val="103"/>
        </w:trPr>
        <w:tc>
          <w:tcPr>
            <w:tcW w:w="4060" w:type="dxa"/>
            <w:vAlign w:val="bottom"/>
          </w:tcPr>
          <w:p>
            <w:pPr>
              <w:ind w:left="20"/>
              <w:spacing w:after="0" w:line="103" w:lineRule="exact"/>
              <w:rPr>
                <w:sz w:val="20"/>
                <w:szCs w:val="20"/>
                <w:color w:val="auto"/>
              </w:rPr>
            </w:pPr>
            <w:r>
              <w:rPr>
                <w:rFonts w:ascii="Arial" w:cs="Arial" w:eastAsia="Arial" w:hAnsi="Arial"/>
                <w:sz w:val="10"/>
                <w:szCs w:val="10"/>
                <w:color w:val="auto"/>
              </w:rPr>
              <w:t>Insurances</w:t>
            </w:r>
          </w:p>
        </w:tc>
        <w:tc>
          <w:tcPr>
            <w:tcW w:w="660" w:type="dxa"/>
            <w:vAlign w:val="bottom"/>
          </w:tcPr>
          <w:p>
            <w:pPr>
              <w:jc w:val="center"/>
              <w:ind w:left="113"/>
              <w:spacing w:after="0" w:line="103" w:lineRule="exact"/>
              <w:rPr>
                <w:sz w:val="20"/>
                <w:szCs w:val="20"/>
                <w:color w:val="auto"/>
              </w:rPr>
            </w:pPr>
            <w:r>
              <w:rPr>
                <w:rFonts w:ascii="Arial" w:cs="Arial" w:eastAsia="Arial" w:hAnsi="Arial"/>
                <w:sz w:val="10"/>
                <w:szCs w:val="10"/>
                <w:color w:val="auto"/>
                <w:w w:val="92"/>
              </w:rPr>
              <w:t>30.5</w:t>
            </w:r>
          </w:p>
        </w:tc>
        <w:tc>
          <w:tcPr>
            <w:tcW w:w="920" w:type="dxa"/>
            <w:vAlign w:val="bottom"/>
          </w:tcPr>
          <w:p>
            <w:pPr>
              <w:jc w:val="center"/>
              <w:ind w:left="73"/>
              <w:spacing w:after="0" w:line="103" w:lineRule="exact"/>
              <w:rPr>
                <w:sz w:val="20"/>
                <w:szCs w:val="20"/>
                <w:color w:val="auto"/>
              </w:rPr>
            </w:pPr>
            <w:r>
              <w:rPr>
                <w:rFonts w:ascii="Arial" w:cs="Arial" w:eastAsia="Arial" w:hAnsi="Arial"/>
                <w:sz w:val="10"/>
                <w:szCs w:val="10"/>
                <w:color w:val="auto"/>
              </w:rPr>
              <w:t>33.6</w:t>
            </w:r>
          </w:p>
        </w:tc>
        <w:tc>
          <w:tcPr>
            <w:tcW w:w="780" w:type="dxa"/>
            <w:vAlign w:val="bottom"/>
          </w:tcPr>
          <w:p>
            <w:pPr>
              <w:jc w:val="center"/>
              <w:spacing w:after="0" w:line="103" w:lineRule="exact"/>
              <w:rPr>
                <w:sz w:val="20"/>
                <w:szCs w:val="20"/>
                <w:color w:val="auto"/>
              </w:rPr>
            </w:pPr>
            <w:r>
              <w:rPr>
                <w:rFonts w:ascii="Arial" w:cs="Arial" w:eastAsia="Arial" w:hAnsi="Arial"/>
                <w:sz w:val="10"/>
                <w:szCs w:val="10"/>
                <w:color w:val="auto"/>
              </w:rPr>
              <w:t>34.7</w:t>
            </w:r>
          </w:p>
        </w:tc>
        <w:tc>
          <w:tcPr>
            <w:tcW w:w="540" w:type="dxa"/>
            <w:vAlign w:val="bottom"/>
          </w:tcPr>
          <w:p>
            <w:pPr>
              <w:jc w:val="center"/>
              <w:ind w:left="193"/>
              <w:spacing w:after="0" w:line="103" w:lineRule="exact"/>
              <w:rPr>
                <w:sz w:val="20"/>
                <w:szCs w:val="20"/>
                <w:color w:val="auto"/>
              </w:rPr>
            </w:pPr>
            <w:r>
              <w:rPr>
                <w:rFonts w:ascii="Arial" w:cs="Arial" w:eastAsia="Arial" w:hAnsi="Arial"/>
                <w:sz w:val="10"/>
                <w:szCs w:val="10"/>
                <w:color w:val="auto"/>
                <w:w w:val="96"/>
              </w:rPr>
              <w:t>3.2%</w:t>
            </w:r>
          </w:p>
        </w:tc>
        <w:tc>
          <w:tcPr>
            <w:tcW w:w="1040" w:type="dxa"/>
            <w:vAlign w:val="bottom"/>
          </w:tcPr>
          <w:p>
            <w:pPr>
              <w:jc w:val="center"/>
              <w:ind w:left="193"/>
              <w:spacing w:after="0" w:line="103" w:lineRule="exact"/>
              <w:rPr>
                <w:sz w:val="20"/>
                <w:szCs w:val="20"/>
                <w:color w:val="auto"/>
              </w:rPr>
            </w:pPr>
            <w:r>
              <w:rPr>
                <w:rFonts w:ascii="Arial" w:cs="Arial" w:eastAsia="Arial" w:hAnsi="Arial"/>
                <w:sz w:val="10"/>
                <w:szCs w:val="10"/>
                <w:color w:val="auto"/>
                <w:w w:val="98"/>
              </w:rPr>
              <w:t>13.6%</w:t>
            </w:r>
          </w:p>
        </w:tc>
        <w:tc>
          <w:tcPr>
            <w:tcW w:w="620" w:type="dxa"/>
            <w:vAlign w:val="bottom"/>
          </w:tcPr>
          <w:p>
            <w:pPr>
              <w:jc w:val="center"/>
              <w:ind w:left="133"/>
              <w:spacing w:after="0" w:line="103" w:lineRule="exact"/>
              <w:rPr>
                <w:sz w:val="20"/>
                <w:szCs w:val="20"/>
                <w:color w:val="auto"/>
              </w:rPr>
            </w:pPr>
            <w:r>
              <w:rPr>
                <w:rFonts w:ascii="Arial" w:cs="Arial" w:eastAsia="Arial" w:hAnsi="Arial"/>
                <w:sz w:val="10"/>
                <w:szCs w:val="10"/>
                <w:color w:val="auto"/>
              </w:rPr>
              <w:t>61.6</w:t>
            </w:r>
          </w:p>
        </w:tc>
        <w:tc>
          <w:tcPr>
            <w:tcW w:w="900" w:type="dxa"/>
            <w:vAlign w:val="bottom"/>
          </w:tcPr>
          <w:p>
            <w:pPr>
              <w:jc w:val="center"/>
              <w:ind w:left="193"/>
              <w:spacing w:after="0" w:line="103" w:lineRule="exact"/>
              <w:rPr>
                <w:sz w:val="20"/>
                <w:szCs w:val="20"/>
                <w:color w:val="auto"/>
              </w:rPr>
            </w:pPr>
            <w:r>
              <w:rPr>
                <w:rFonts w:ascii="Arial" w:cs="Arial" w:eastAsia="Arial" w:hAnsi="Arial"/>
                <w:sz w:val="10"/>
                <w:szCs w:val="10"/>
                <w:color w:val="auto"/>
                <w:w w:val="92"/>
              </w:rPr>
              <w:t>68.4</w:t>
            </w:r>
          </w:p>
        </w:tc>
        <w:tc>
          <w:tcPr>
            <w:tcW w:w="860" w:type="dxa"/>
            <w:vAlign w:val="bottom"/>
          </w:tcPr>
          <w:p>
            <w:pPr>
              <w:jc w:val="center"/>
              <w:ind w:left="13"/>
              <w:spacing w:after="0" w:line="103" w:lineRule="exact"/>
              <w:rPr>
                <w:sz w:val="20"/>
                <w:szCs w:val="20"/>
                <w:color w:val="auto"/>
              </w:rPr>
            </w:pPr>
            <w:r>
              <w:rPr>
                <w:rFonts w:ascii="Arial" w:cs="Arial" w:eastAsia="Arial" w:hAnsi="Arial"/>
                <w:sz w:val="10"/>
                <w:szCs w:val="10"/>
                <w:color w:val="auto"/>
                <w:w w:val="98"/>
              </w:rPr>
              <w:t>10.9%</w:t>
            </w:r>
          </w:p>
        </w:tc>
      </w:tr>
      <w:tr>
        <w:trPr>
          <w:trHeight w:val="97"/>
        </w:trPr>
        <w:tc>
          <w:tcPr>
            <w:tcW w:w="4060" w:type="dxa"/>
            <w:vAlign w:val="bottom"/>
          </w:tcPr>
          <w:p>
            <w:pPr>
              <w:ind w:left="20"/>
              <w:spacing w:after="0" w:line="97" w:lineRule="exact"/>
              <w:rPr>
                <w:sz w:val="20"/>
                <w:szCs w:val="20"/>
                <w:color w:val="auto"/>
              </w:rPr>
            </w:pPr>
            <w:r>
              <w:rPr>
                <w:rFonts w:ascii="Arial" w:cs="Arial" w:eastAsia="Arial" w:hAnsi="Arial"/>
                <w:sz w:val="10"/>
                <w:szCs w:val="10"/>
                <w:color w:val="auto"/>
              </w:rPr>
              <w:t>ASB</w:t>
            </w:r>
          </w:p>
        </w:tc>
        <w:tc>
          <w:tcPr>
            <w:tcW w:w="660" w:type="dxa"/>
            <w:vAlign w:val="bottom"/>
          </w:tcPr>
          <w:p>
            <w:pPr>
              <w:jc w:val="center"/>
              <w:ind w:left="113"/>
              <w:spacing w:after="0" w:line="97" w:lineRule="exact"/>
              <w:rPr>
                <w:sz w:val="20"/>
                <w:szCs w:val="20"/>
                <w:color w:val="auto"/>
              </w:rPr>
            </w:pPr>
            <w:r>
              <w:rPr>
                <w:rFonts w:ascii="Arial" w:cs="Arial" w:eastAsia="Arial" w:hAnsi="Arial"/>
                <w:sz w:val="10"/>
                <w:szCs w:val="10"/>
                <w:color w:val="auto"/>
              </w:rPr>
              <w:t>8.5</w:t>
            </w:r>
          </w:p>
        </w:tc>
        <w:tc>
          <w:tcPr>
            <w:tcW w:w="920" w:type="dxa"/>
            <w:vAlign w:val="bottom"/>
          </w:tcPr>
          <w:p>
            <w:pPr>
              <w:jc w:val="center"/>
              <w:ind w:left="73"/>
              <w:spacing w:after="0" w:line="97" w:lineRule="exact"/>
              <w:rPr>
                <w:sz w:val="20"/>
                <w:szCs w:val="20"/>
                <w:color w:val="auto"/>
              </w:rPr>
            </w:pPr>
            <w:r>
              <w:rPr>
                <w:rFonts w:ascii="Arial" w:cs="Arial" w:eastAsia="Arial" w:hAnsi="Arial"/>
                <w:sz w:val="10"/>
                <w:szCs w:val="10"/>
                <w:color w:val="auto"/>
                <w:w w:val="85"/>
              </w:rPr>
              <w:t>9.5</w:t>
            </w:r>
          </w:p>
        </w:tc>
        <w:tc>
          <w:tcPr>
            <w:tcW w:w="780" w:type="dxa"/>
            <w:vAlign w:val="bottom"/>
          </w:tcPr>
          <w:p>
            <w:pPr>
              <w:jc w:val="center"/>
              <w:spacing w:after="0" w:line="97" w:lineRule="exact"/>
              <w:rPr>
                <w:sz w:val="20"/>
                <w:szCs w:val="20"/>
                <w:color w:val="auto"/>
              </w:rPr>
            </w:pPr>
            <w:r>
              <w:rPr>
                <w:rFonts w:ascii="Arial" w:cs="Arial" w:eastAsia="Arial" w:hAnsi="Arial"/>
                <w:sz w:val="10"/>
                <w:szCs w:val="10"/>
                <w:color w:val="auto"/>
              </w:rPr>
              <w:t>17.7</w:t>
            </w:r>
          </w:p>
        </w:tc>
        <w:tc>
          <w:tcPr>
            <w:tcW w:w="540" w:type="dxa"/>
            <w:vAlign w:val="bottom"/>
          </w:tcPr>
          <w:p>
            <w:pPr>
              <w:jc w:val="center"/>
              <w:ind w:left="213"/>
              <w:spacing w:after="0" w:line="97" w:lineRule="exact"/>
              <w:rPr>
                <w:sz w:val="20"/>
                <w:szCs w:val="20"/>
                <w:color w:val="auto"/>
              </w:rPr>
            </w:pPr>
            <w:r>
              <w:rPr>
                <w:rFonts w:ascii="Arial" w:cs="Arial" w:eastAsia="Arial" w:hAnsi="Arial"/>
                <w:sz w:val="10"/>
                <w:szCs w:val="10"/>
                <w:color w:val="auto"/>
                <w:w w:val="98"/>
              </w:rPr>
              <w:t>86.5%</w:t>
            </w:r>
          </w:p>
        </w:tc>
        <w:tc>
          <w:tcPr>
            <w:tcW w:w="1040" w:type="dxa"/>
            <w:vAlign w:val="bottom"/>
          </w:tcPr>
          <w:p>
            <w:pPr>
              <w:jc w:val="center"/>
              <w:ind w:left="193"/>
              <w:spacing w:after="0" w:line="97" w:lineRule="exact"/>
              <w:rPr>
                <w:sz w:val="20"/>
                <w:szCs w:val="20"/>
                <w:color w:val="auto"/>
              </w:rPr>
            </w:pPr>
            <w:r>
              <w:rPr>
                <w:rFonts w:ascii="Arial" w:cs="Arial" w:eastAsia="Arial" w:hAnsi="Arial"/>
                <w:sz w:val="10"/>
                <w:szCs w:val="10"/>
                <w:color w:val="auto"/>
                <w:w w:val="94"/>
              </w:rPr>
              <w:t>107.0%</w:t>
            </w:r>
          </w:p>
        </w:tc>
        <w:tc>
          <w:tcPr>
            <w:tcW w:w="620" w:type="dxa"/>
            <w:vAlign w:val="bottom"/>
          </w:tcPr>
          <w:p>
            <w:pPr>
              <w:jc w:val="center"/>
              <w:ind w:left="133"/>
              <w:spacing w:after="0" w:line="97" w:lineRule="exact"/>
              <w:rPr>
                <w:sz w:val="20"/>
                <w:szCs w:val="20"/>
                <w:color w:val="auto"/>
              </w:rPr>
            </w:pPr>
            <w:r>
              <w:rPr>
                <w:rFonts w:ascii="Arial" w:cs="Arial" w:eastAsia="Arial" w:hAnsi="Arial"/>
                <w:sz w:val="10"/>
                <w:szCs w:val="10"/>
                <w:color w:val="auto"/>
              </w:rPr>
              <w:t>18.3</w:t>
            </w:r>
          </w:p>
        </w:tc>
        <w:tc>
          <w:tcPr>
            <w:tcW w:w="900" w:type="dxa"/>
            <w:vAlign w:val="bottom"/>
          </w:tcPr>
          <w:p>
            <w:pPr>
              <w:jc w:val="center"/>
              <w:ind w:left="193"/>
              <w:spacing w:after="0" w:line="97" w:lineRule="exact"/>
              <w:rPr>
                <w:sz w:val="20"/>
                <w:szCs w:val="20"/>
                <w:color w:val="auto"/>
              </w:rPr>
            </w:pPr>
            <w:r>
              <w:rPr>
                <w:rFonts w:ascii="Arial" w:cs="Arial" w:eastAsia="Arial" w:hAnsi="Arial"/>
                <w:sz w:val="10"/>
                <w:szCs w:val="10"/>
                <w:color w:val="auto"/>
                <w:w w:val="92"/>
              </w:rPr>
              <w:t>27.1</w:t>
            </w:r>
          </w:p>
        </w:tc>
        <w:tc>
          <w:tcPr>
            <w:tcW w:w="860" w:type="dxa"/>
            <w:vAlign w:val="bottom"/>
          </w:tcPr>
          <w:p>
            <w:pPr>
              <w:jc w:val="center"/>
              <w:ind w:left="13"/>
              <w:spacing w:after="0" w:line="97" w:lineRule="exact"/>
              <w:rPr>
                <w:sz w:val="20"/>
                <w:szCs w:val="20"/>
                <w:color w:val="auto"/>
              </w:rPr>
            </w:pPr>
            <w:r>
              <w:rPr>
                <w:rFonts w:ascii="Arial" w:cs="Arial" w:eastAsia="Arial" w:hAnsi="Arial"/>
                <w:sz w:val="10"/>
                <w:szCs w:val="10"/>
                <w:color w:val="auto"/>
                <w:w w:val="98"/>
              </w:rPr>
              <w:t>48.1%</w:t>
            </w:r>
          </w:p>
        </w:tc>
      </w:tr>
      <w:tr>
        <w:trPr>
          <w:trHeight w:val="121"/>
        </w:trPr>
        <w:tc>
          <w:tcPr>
            <w:tcW w:w="4060" w:type="dxa"/>
            <w:vAlign w:val="bottom"/>
            <w:tcBorders>
              <w:bottom w:val="single" w:sz="8" w:color="auto"/>
            </w:tcBorders>
          </w:tcPr>
          <w:p>
            <w:pPr>
              <w:ind w:left="20"/>
              <w:spacing w:after="0" w:line="122" w:lineRule="exact"/>
              <w:rPr>
                <w:sz w:val="20"/>
                <w:szCs w:val="20"/>
                <w:color w:val="auto"/>
              </w:rPr>
            </w:pPr>
            <w:r>
              <w:rPr>
                <w:rFonts w:ascii="Arial" w:cs="Arial" w:eastAsia="Arial" w:hAnsi="Arial"/>
                <w:sz w:val="9"/>
                <w:szCs w:val="9"/>
                <w:color w:val="auto"/>
              </w:rPr>
              <w:t xml:space="preserve">Others </w:t>
            </w:r>
            <w:r>
              <w:rPr>
                <w:rFonts w:ascii="Arial" w:cs="Arial" w:eastAsia="Arial" w:hAnsi="Arial"/>
                <w:sz w:val="14"/>
                <w:szCs w:val="14"/>
                <w:color w:val="auto"/>
                <w:vertAlign w:val="superscript"/>
              </w:rPr>
              <w:t>(4)</w:t>
            </w:r>
          </w:p>
        </w:tc>
        <w:tc>
          <w:tcPr>
            <w:tcW w:w="660" w:type="dxa"/>
            <w:vAlign w:val="bottom"/>
            <w:tcBorders>
              <w:bottom w:val="single" w:sz="8" w:color="auto"/>
            </w:tcBorders>
          </w:tcPr>
          <w:p>
            <w:pPr>
              <w:jc w:val="center"/>
              <w:ind w:left="113"/>
              <w:spacing w:after="0"/>
              <w:rPr>
                <w:sz w:val="20"/>
                <w:szCs w:val="20"/>
                <w:color w:val="auto"/>
              </w:rPr>
            </w:pPr>
            <w:r>
              <w:rPr>
                <w:rFonts w:ascii="Arial" w:cs="Arial" w:eastAsia="Arial" w:hAnsi="Arial"/>
                <w:sz w:val="10"/>
                <w:szCs w:val="10"/>
                <w:color w:val="auto"/>
                <w:w w:val="92"/>
              </w:rPr>
              <w:t>10.4</w:t>
            </w:r>
          </w:p>
        </w:tc>
        <w:tc>
          <w:tcPr>
            <w:tcW w:w="920" w:type="dxa"/>
            <w:vAlign w:val="bottom"/>
            <w:tcBorders>
              <w:bottom w:val="single" w:sz="8" w:color="auto"/>
            </w:tcBorders>
          </w:tcPr>
          <w:p>
            <w:pPr>
              <w:jc w:val="center"/>
              <w:ind w:left="73"/>
              <w:spacing w:after="0"/>
              <w:rPr>
                <w:sz w:val="20"/>
                <w:szCs w:val="20"/>
                <w:color w:val="auto"/>
              </w:rPr>
            </w:pPr>
            <w:r>
              <w:rPr>
                <w:rFonts w:ascii="Arial" w:cs="Arial" w:eastAsia="Arial" w:hAnsi="Arial"/>
                <w:sz w:val="10"/>
                <w:szCs w:val="10"/>
                <w:color w:val="auto"/>
                <w:w w:val="85"/>
              </w:rPr>
              <w:t>5.4</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5"/>
              </w:rPr>
              <w:t>6.8</w:t>
            </w:r>
          </w:p>
        </w:tc>
        <w:tc>
          <w:tcPr>
            <w:tcW w:w="540" w:type="dxa"/>
            <w:vAlign w:val="bottom"/>
            <w:tcBorders>
              <w:bottom w:val="single" w:sz="8" w:color="auto"/>
            </w:tcBorders>
          </w:tcPr>
          <w:p>
            <w:pPr>
              <w:jc w:val="center"/>
              <w:ind w:left="213"/>
              <w:spacing w:after="0"/>
              <w:rPr>
                <w:sz w:val="20"/>
                <w:szCs w:val="20"/>
                <w:color w:val="auto"/>
              </w:rPr>
            </w:pPr>
            <w:r>
              <w:rPr>
                <w:rFonts w:ascii="Arial" w:cs="Arial" w:eastAsia="Arial" w:hAnsi="Arial"/>
                <w:sz w:val="10"/>
                <w:szCs w:val="10"/>
                <w:color w:val="auto"/>
                <w:w w:val="98"/>
              </w:rPr>
              <w:t>25.6%</w:t>
            </w:r>
          </w:p>
        </w:tc>
        <w:tc>
          <w:tcPr>
            <w:tcW w:w="1040" w:type="dxa"/>
            <w:vAlign w:val="bottom"/>
            <w:tcBorders>
              <w:bottom w:val="single" w:sz="8" w:color="auto"/>
            </w:tcBorders>
          </w:tcPr>
          <w:p>
            <w:pPr>
              <w:jc w:val="center"/>
              <w:ind w:left="193"/>
              <w:spacing w:after="0"/>
              <w:rPr>
                <w:sz w:val="20"/>
                <w:szCs w:val="20"/>
                <w:color w:val="auto"/>
              </w:rPr>
            </w:pPr>
            <w:r>
              <w:rPr>
                <w:rFonts w:ascii="Arial" w:cs="Arial" w:eastAsia="Arial" w:hAnsi="Arial"/>
                <w:sz w:val="10"/>
                <w:szCs w:val="10"/>
                <w:color w:val="auto"/>
              </w:rPr>
              <w:t>-35.0%</w:t>
            </w:r>
          </w:p>
        </w:tc>
        <w:tc>
          <w:tcPr>
            <w:tcW w:w="620" w:type="dxa"/>
            <w:vAlign w:val="bottom"/>
            <w:tcBorders>
              <w:bottom w:val="single" w:sz="8" w:color="auto"/>
            </w:tcBorders>
          </w:tcPr>
          <w:p>
            <w:pPr>
              <w:jc w:val="center"/>
              <w:ind w:left="133"/>
              <w:spacing w:after="0"/>
              <w:rPr>
                <w:sz w:val="20"/>
                <w:szCs w:val="20"/>
                <w:color w:val="auto"/>
              </w:rPr>
            </w:pPr>
            <w:r>
              <w:rPr>
                <w:rFonts w:ascii="Arial" w:cs="Arial" w:eastAsia="Arial" w:hAnsi="Arial"/>
                <w:sz w:val="10"/>
                <w:szCs w:val="10"/>
                <w:color w:val="auto"/>
              </w:rPr>
              <w:t>23.3</w:t>
            </w:r>
          </w:p>
        </w:tc>
        <w:tc>
          <w:tcPr>
            <w:tcW w:w="900" w:type="dxa"/>
            <w:vAlign w:val="bottom"/>
            <w:tcBorders>
              <w:bottom w:val="single" w:sz="8" w:color="auto"/>
            </w:tcBorders>
          </w:tcPr>
          <w:p>
            <w:pPr>
              <w:jc w:val="center"/>
              <w:ind w:left="193"/>
              <w:spacing w:after="0"/>
              <w:rPr>
                <w:sz w:val="20"/>
                <w:szCs w:val="20"/>
                <w:color w:val="auto"/>
              </w:rPr>
            </w:pPr>
            <w:r>
              <w:rPr>
                <w:rFonts w:ascii="Arial" w:cs="Arial" w:eastAsia="Arial" w:hAnsi="Arial"/>
                <w:sz w:val="10"/>
                <w:szCs w:val="10"/>
                <w:color w:val="auto"/>
                <w:w w:val="92"/>
              </w:rPr>
              <w:t>12.1</w:t>
            </w:r>
          </w:p>
        </w:tc>
        <w:tc>
          <w:tcPr>
            <w:tcW w:w="860" w:type="dxa"/>
            <w:vAlign w:val="bottom"/>
            <w:tcBorders>
              <w:bottom w:val="single" w:sz="8" w:color="auto"/>
            </w:tcBorders>
          </w:tcPr>
          <w:p>
            <w:pPr>
              <w:jc w:val="center"/>
              <w:ind w:left="33"/>
              <w:spacing w:after="0"/>
              <w:rPr>
                <w:sz w:val="20"/>
                <w:szCs w:val="20"/>
                <w:color w:val="auto"/>
              </w:rPr>
            </w:pPr>
            <w:r>
              <w:rPr>
                <w:rFonts w:ascii="Arial" w:cs="Arial" w:eastAsia="Arial" w:hAnsi="Arial"/>
                <w:sz w:val="10"/>
                <w:szCs w:val="10"/>
                <w:color w:val="auto"/>
                <w:w w:val="94"/>
              </w:rPr>
              <w:t>-47.9%</w:t>
            </w:r>
          </w:p>
        </w:tc>
      </w:tr>
      <w:tr>
        <w:trPr>
          <w:trHeight w:val="99"/>
        </w:trPr>
        <w:tc>
          <w:tcPr>
            <w:tcW w:w="4060" w:type="dxa"/>
            <w:vAlign w:val="bottom"/>
          </w:tcPr>
          <w:p>
            <w:pPr>
              <w:ind w:left="20"/>
              <w:spacing w:after="0" w:line="99" w:lineRule="exact"/>
              <w:rPr>
                <w:sz w:val="20"/>
                <w:szCs w:val="20"/>
                <w:color w:val="auto"/>
              </w:rPr>
            </w:pPr>
            <w:r>
              <w:rPr>
                <w:rFonts w:ascii="Arial" w:cs="Arial" w:eastAsia="Arial" w:hAnsi="Arial"/>
                <w:sz w:val="10"/>
                <w:szCs w:val="10"/>
                <w:b w:val="1"/>
                <w:bCs w:val="1"/>
                <w:color w:val="auto"/>
              </w:rPr>
              <w:t>Total</w:t>
            </w:r>
          </w:p>
        </w:tc>
        <w:tc>
          <w:tcPr>
            <w:tcW w:w="660" w:type="dxa"/>
            <w:vAlign w:val="bottom"/>
          </w:tcPr>
          <w:p>
            <w:pPr>
              <w:jc w:val="center"/>
              <w:ind w:left="93"/>
              <w:spacing w:after="0" w:line="99" w:lineRule="exact"/>
              <w:rPr>
                <w:sz w:val="20"/>
                <w:szCs w:val="20"/>
                <w:color w:val="auto"/>
              </w:rPr>
            </w:pPr>
            <w:r>
              <w:rPr>
                <w:rFonts w:ascii="Arial" w:cs="Arial" w:eastAsia="Arial" w:hAnsi="Arial"/>
                <w:sz w:val="10"/>
                <w:szCs w:val="10"/>
                <w:b w:val="1"/>
                <w:bCs w:val="1"/>
                <w:color w:val="auto"/>
                <w:w w:val="95"/>
              </w:rPr>
              <w:t>723.3</w:t>
            </w:r>
          </w:p>
        </w:tc>
        <w:tc>
          <w:tcPr>
            <w:tcW w:w="920" w:type="dxa"/>
            <w:vAlign w:val="bottom"/>
          </w:tcPr>
          <w:p>
            <w:pPr>
              <w:jc w:val="center"/>
              <w:ind w:left="73"/>
              <w:spacing w:after="0" w:line="99" w:lineRule="exact"/>
              <w:rPr>
                <w:sz w:val="20"/>
                <w:szCs w:val="20"/>
                <w:color w:val="auto"/>
              </w:rPr>
            </w:pPr>
            <w:r>
              <w:rPr>
                <w:rFonts w:ascii="Arial" w:cs="Arial" w:eastAsia="Arial" w:hAnsi="Arial"/>
                <w:sz w:val="10"/>
                <w:szCs w:val="10"/>
                <w:b w:val="1"/>
                <w:bCs w:val="1"/>
                <w:color w:val="auto"/>
                <w:w w:val="95"/>
              </w:rPr>
              <w:t>771.5</w:t>
            </w:r>
          </w:p>
        </w:tc>
        <w:tc>
          <w:tcPr>
            <w:tcW w:w="78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5"/>
              </w:rPr>
              <w:t>812.5</w:t>
            </w:r>
          </w:p>
        </w:tc>
        <w:tc>
          <w:tcPr>
            <w:tcW w:w="540" w:type="dxa"/>
            <w:vAlign w:val="bottom"/>
          </w:tcPr>
          <w:p>
            <w:pPr>
              <w:jc w:val="center"/>
              <w:ind w:left="193"/>
              <w:spacing w:after="0" w:line="99" w:lineRule="exact"/>
              <w:rPr>
                <w:sz w:val="20"/>
                <w:szCs w:val="20"/>
                <w:color w:val="auto"/>
              </w:rPr>
            </w:pPr>
            <w:r>
              <w:rPr>
                <w:rFonts w:ascii="Arial" w:cs="Arial" w:eastAsia="Arial" w:hAnsi="Arial"/>
                <w:sz w:val="10"/>
                <w:szCs w:val="10"/>
                <w:b w:val="1"/>
                <w:bCs w:val="1"/>
                <w:color w:val="auto"/>
                <w:w w:val="96"/>
              </w:rPr>
              <w:t>5.3%</w:t>
            </w:r>
          </w:p>
        </w:tc>
        <w:tc>
          <w:tcPr>
            <w:tcW w:w="1040" w:type="dxa"/>
            <w:vAlign w:val="bottom"/>
          </w:tcPr>
          <w:p>
            <w:pPr>
              <w:jc w:val="center"/>
              <w:ind w:left="193"/>
              <w:spacing w:after="0" w:line="99" w:lineRule="exact"/>
              <w:rPr>
                <w:sz w:val="20"/>
                <w:szCs w:val="20"/>
                <w:color w:val="auto"/>
              </w:rPr>
            </w:pPr>
            <w:r>
              <w:rPr>
                <w:rFonts w:ascii="Arial" w:cs="Arial" w:eastAsia="Arial" w:hAnsi="Arial"/>
                <w:sz w:val="10"/>
                <w:szCs w:val="10"/>
                <w:b w:val="1"/>
                <w:bCs w:val="1"/>
                <w:color w:val="auto"/>
                <w:w w:val="98"/>
              </w:rPr>
              <w:t>12.3%</w:t>
            </w:r>
          </w:p>
        </w:tc>
        <w:tc>
          <w:tcPr>
            <w:tcW w:w="620" w:type="dxa"/>
            <w:vAlign w:val="bottom"/>
          </w:tcPr>
          <w:p>
            <w:pPr>
              <w:jc w:val="center"/>
              <w:ind w:left="133"/>
              <w:spacing w:after="0" w:line="99" w:lineRule="exact"/>
              <w:rPr>
                <w:sz w:val="20"/>
                <w:szCs w:val="20"/>
                <w:color w:val="auto"/>
              </w:rPr>
            </w:pPr>
            <w:r>
              <w:rPr>
                <w:rFonts w:ascii="Arial" w:cs="Arial" w:eastAsia="Arial" w:hAnsi="Arial"/>
                <w:sz w:val="10"/>
                <w:szCs w:val="10"/>
                <w:b w:val="1"/>
                <w:bCs w:val="1"/>
                <w:color w:val="auto"/>
                <w:w w:val="95"/>
              </w:rPr>
              <w:t>1,421.5</w:t>
            </w:r>
          </w:p>
        </w:tc>
        <w:tc>
          <w:tcPr>
            <w:tcW w:w="900" w:type="dxa"/>
            <w:vAlign w:val="bottom"/>
          </w:tcPr>
          <w:p>
            <w:pPr>
              <w:jc w:val="center"/>
              <w:ind w:left="173"/>
              <w:spacing w:after="0" w:line="99" w:lineRule="exact"/>
              <w:rPr>
                <w:sz w:val="20"/>
                <w:szCs w:val="20"/>
                <w:color w:val="auto"/>
              </w:rPr>
            </w:pPr>
            <w:r>
              <w:rPr>
                <w:rFonts w:ascii="Arial" w:cs="Arial" w:eastAsia="Arial" w:hAnsi="Arial"/>
                <w:sz w:val="10"/>
                <w:szCs w:val="10"/>
                <w:b w:val="1"/>
                <w:bCs w:val="1"/>
                <w:color w:val="auto"/>
                <w:w w:val="95"/>
              </w:rPr>
              <w:t>1,584.0</w:t>
            </w:r>
          </w:p>
        </w:tc>
        <w:tc>
          <w:tcPr>
            <w:tcW w:w="860" w:type="dxa"/>
            <w:vAlign w:val="bottom"/>
          </w:tcPr>
          <w:p>
            <w:pPr>
              <w:jc w:val="center"/>
              <w:ind w:left="13"/>
              <w:spacing w:after="0" w:line="99" w:lineRule="exact"/>
              <w:rPr>
                <w:sz w:val="20"/>
                <w:szCs w:val="20"/>
                <w:color w:val="auto"/>
              </w:rPr>
            </w:pPr>
            <w:r>
              <w:rPr>
                <w:rFonts w:ascii="Arial" w:cs="Arial" w:eastAsia="Arial" w:hAnsi="Arial"/>
                <w:sz w:val="10"/>
                <w:szCs w:val="10"/>
                <w:b w:val="1"/>
                <w:bCs w:val="1"/>
                <w:color w:val="auto"/>
                <w:w w:val="98"/>
              </w:rPr>
              <w:t>11.4%</w:t>
            </w:r>
          </w:p>
        </w:tc>
      </w:tr>
    </w:tbl>
    <w:p>
      <w:pPr>
        <w:ind w:left="120"/>
        <w:spacing w:after="0" w:line="214" w:lineRule="auto"/>
        <w:rPr>
          <w:sz w:val="20"/>
          <w:szCs w:val="20"/>
          <w:color w:val="auto"/>
        </w:rPr>
      </w:pPr>
      <w:r>
        <w:rPr>
          <w:rFonts w:ascii="Arial" w:cs="Arial" w:eastAsia="Arial" w:hAnsi="Arial"/>
          <w:sz w:val="10"/>
          <w:szCs w:val="10"/>
          <w:color w:val="auto"/>
        </w:rPr>
        <w:t>(*) This table corresponds to management numbers.</w:t>
      </w:r>
    </w:p>
    <w:p>
      <w:pPr>
        <w:ind w:left="280" w:hanging="151"/>
        <w:spacing w:after="0" w:line="215" w:lineRule="auto"/>
        <w:tabs>
          <w:tab w:leader="none" w:pos="280" w:val="left"/>
        </w:tabs>
        <w:numPr>
          <w:ilvl w:val="0"/>
          <w:numId w:val="29"/>
        </w:numPr>
        <w:rPr>
          <w:rFonts w:ascii="Arial" w:cs="Arial" w:eastAsia="Arial" w:hAnsi="Arial"/>
          <w:sz w:val="10"/>
          <w:szCs w:val="10"/>
          <w:color w:val="auto"/>
        </w:rPr>
      </w:pPr>
      <w:r>
        <w:rPr>
          <w:rFonts w:ascii="Arial" w:cs="Arial" w:eastAsia="Arial" w:hAnsi="Arial"/>
          <w:sz w:val="10"/>
          <w:szCs w:val="10"/>
          <w:color w:val="auto"/>
        </w:rPr>
        <w:t>Corresponds to fees from credit and debit cards; payments and collections. It is not comparable with the same line of previous reports given the change in details.</w:t>
      </w:r>
    </w:p>
    <w:p>
      <w:pPr>
        <w:ind w:left="280" w:hanging="151"/>
        <w:spacing w:after="0" w:line="214" w:lineRule="auto"/>
        <w:tabs>
          <w:tab w:leader="none" w:pos="280" w:val="left"/>
        </w:tabs>
        <w:numPr>
          <w:ilvl w:val="0"/>
          <w:numId w:val="29"/>
        </w:numPr>
        <w:rPr>
          <w:rFonts w:ascii="Arial" w:cs="Arial" w:eastAsia="Arial" w:hAnsi="Arial"/>
          <w:sz w:val="10"/>
          <w:szCs w:val="10"/>
          <w:color w:val="auto"/>
        </w:rPr>
      </w:pPr>
      <w:r>
        <w:rPr>
          <w:rFonts w:ascii="Arial" w:cs="Arial" w:eastAsia="Arial" w:hAnsi="Arial"/>
          <w:sz w:val="10"/>
          <w:szCs w:val="10"/>
          <w:color w:val="auto"/>
        </w:rPr>
        <w:t>Corresponds to fees from Account maintenance, interbank transfers, national money orders, and international transfers.</w:t>
      </w:r>
    </w:p>
    <w:p>
      <w:pPr>
        <w:ind w:left="280" w:hanging="151"/>
        <w:spacing w:after="0" w:line="214" w:lineRule="auto"/>
        <w:tabs>
          <w:tab w:leader="none" w:pos="280" w:val="left"/>
        </w:tabs>
        <w:numPr>
          <w:ilvl w:val="0"/>
          <w:numId w:val="29"/>
        </w:numPr>
        <w:rPr>
          <w:rFonts w:ascii="Arial" w:cs="Arial" w:eastAsia="Arial" w:hAnsi="Arial"/>
          <w:sz w:val="10"/>
          <w:szCs w:val="10"/>
          <w:color w:val="auto"/>
        </w:rPr>
      </w:pPr>
      <w:r>
        <w:rPr>
          <w:rFonts w:ascii="Arial" w:cs="Arial" w:eastAsia="Arial" w:hAnsi="Arial"/>
          <w:sz w:val="10"/>
          <w:szCs w:val="10"/>
          <w:color w:val="auto"/>
        </w:rPr>
        <w:t>Corresponds to fees from retail and wholesale loan disbursements.</w:t>
      </w:r>
    </w:p>
    <w:p>
      <w:pPr>
        <w:ind w:left="280" w:hanging="151"/>
        <w:spacing w:after="0"/>
        <w:tabs>
          <w:tab w:leader="none" w:pos="280" w:val="left"/>
        </w:tabs>
        <w:numPr>
          <w:ilvl w:val="0"/>
          <w:numId w:val="29"/>
        </w:numPr>
        <w:rPr>
          <w:rFonts w:ascii="Arial" w:cs="Arial" w:eastAsia="Arial" w:hAnsi="Arial"/>
          <w:sz w:val="10"/>
          <w:szCs w:val="10"/>
          <w:color w:val="auto"/>
        </w:rPr>
      </w:pPr>
      <w:r>
        <w:rPr>
          <w:rFonts w:ascii="Arial" w:cs="Arial" w:eastAsia="Arial" w:hAnsi="Arial"/>
          <w:sz w:val="10"/>
          <w:szCs w:val="10"/>
          <w:color w:val="auto"/>
        </w:rPr>
        <w:t>Use of third-party networks, other services to third parties, and Commissions in foreign branches.</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QoQ, </w:t>
      </w:r>
      <w:r>
        <w:rPr>
          <w:rFonts w:ascii="Arial" w:cs="Arial" w:eastAsia="Arial" w:hAnsi="Arial"/>
          <w:sz w:val="14"/>
          <w:szCs w:val="14"/>
          <w:color w:val="auto"/>
        </w:rPr>
        <w:t>fee income grew 5.3%, driven mainly by growth in the fee volume through:</w:t>
      </w:r>
    </w:p>
    <w:p>
      <w:pPr>
        <w:spacing w:after="0" w:line="7" w:lineRule="exact"/>
        <w:rPr>
          <w:sz w:val="20"/>
          <w:szCs w:val="20"/>
          <w:color w:val="auto"/>
        </w:rPr>
      </w:pPr>
    </w:p>
    <w:p>
      <w:pPr>
        <w:ind w:left="600" w:hanging="238"/>
        <w:spacing w:after="0" w:line="230" w:lineRule="auto"/>
        <w:tabs>
          <w:tab w:leader="none" w:pos="595" w:val="left"/>
        </w:tabs>
        <w:numPr>
          <w:ilvl w:val="0"/>
          <w:numId w:val="30"/>
        </w:numPr>
        <w:rPr>
          <w:rFonts w:ascii="Arial" w:cs="Arial" w:eastAsia="Arial" w:hAnsi="Arial"/>
          <w:sz w:val="14"/>
          <w:szCs w:val="14"/>
          <w:color w:val="auto"/>
        </w:rPr>
      </w:pPr>
      <w:r>
        <w:rPr>
          <w:rFonts w:ascii="Arial" w:cs="Arial" w:eastAsia="Arial" w:hAnsi="Arial"/>
          <w:sz w:val="14"/>
          <w:szCs w:val="14"/>
          <w:color w:val="auto"/>
        </w:rPr>
        <w:t>Yape, which represents 40% of the growth in commissions at BCP and where the uptick in income was led by bill payments, followed by merchant fees and mobile top-ups.</w:t>
      </w:r>
    </w:p>
    <w:p>
      <w:pPr>
        <w:ind w:left="600" w:hanging="238"/>
        <w:spacing w:after="0" w:line="229" w:lineRule="auto"/>
        <w:tabs>
          <w:tab w:leader="none" w:pos="6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Liability and transactional accounts, due to an increase in the volume of inter-bank transfers.</w:t>
      </w:r>
    </w:p>
    <w:p>
      <w:pPr>
        <w:ind w:left="580" w:hanging="218"/>
        <w:spacing w:after="0"/>
        <w:tabs>
          <w:tab w:leader="none" w:pos="5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An extraordinary income from the structuring business.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YoY</w:t>
      </w:r>
      <w:r>
        <w:rPr>
          <w:rFonts w:ascii="Arial" w:cs="Arial" w:eastAsia="Arial" w:hAnsi="Arial"/>
          <w:sz w:val="14"/>
          <w:szCs w:val="14"/>
          <w:color w:val="auto"/>
        </w:rPr>
        <w:t>, fee income rose 12.3%, spurred mainly by growth in fee levels through:</w:t>
      </w:r>
    </w:p>
    <w:p>
      <w:pPr>
        <w:spacing w:after="0" w:line="7" w:lineRule="exact"/>
        <w:rPr>
          <w:sz w:val="20"/>
          <w:szCs w:val="20"/>
          <w:color w:val="auto"/>
        </w:rPr>
      </w:pPr>
    </w:p>
    <w:p>
      <w:pPr>
        <w:ind w:left="600" w:hanging="238"/>
        <w:spacing w:after="0" w:line="230" w:lineRule="auto"/>
        <w:tabs>
          <w:tab w:leader="none" w:pos="622" w:val="left"/>
        </w:tabs>
        <w:numPr>
          <w:ilvl w:val="0"/>
          <w:numId w:val="31"/>
        </w:numPr>
        <w:rPr>
          <w:rFonts w:ascii="Arial" w:cs="Arial" w:eastAsia="Arial" w:hAnsi="Arial"/>
          <w:sz w:val="14"/>
          <w:szCs w:val="14"/>
          <w:color w:val="auto"/>
        </w:rPr>
      </w:pPr>
      <w:r>
        <w:rPr>
          <w:rFonts w:ascii="Arial" w:cs="Arial" w:eastAsia="Arial" w:hAnsi="Arial"/>
          <w:sz w:val="14"/>
          <w:szCs w:val="14"/>
          <w:color w:val="auto"/>
        </w:rPr>
        <w:t>Yape, which represents 58% of the growth in commissions at BCP and where growth in income was led by bill payments, followed by merchant fees and mobile top-ups.</w:t>
      </w:r>
    </w:p>
    <w:p>
      <w:pPr>
        <w:ind w:left="600" w:hanging="238"/>
        <w:spacing w:after="0" w:line="230" w:lineRule="auto"/>
        <w:tabs>
          <w:tab w:leader="none" w:pos="6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Payment and transactionals, primarily through credit and debit card fees, which grew 10.3%.</w:t>
      </w:r>
    </w:p>
    <w:p>
      <w:pPr>
        <w:ind w:left="600" w:hanging="238"/>
        <w:spacing w:after="0" w:line="229" w:lineRule="auto"/>
        <w:tabs>
          <w:tab w:leader="none" w:pos="6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Liability and transactional accounts, via an increase in the volume of inter-bank transfers.</w:t>
      </w:r>
    </w:p>
    <w:p>
      <w:pPr>
        <w:ind w:left="600" w:hanging="238"/>
        <w:spacing w:after="0"/>
        <w:tabs>
          <w:tab w:leader="none" w:pos="6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Extraordinary income from the structuring business.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YTD, </w:t>
      </w:r>
      <w:r>
        <w:rPr>
          <w:rFonts w:ascii="Arial" w:cs="Arial" w:eastAsia="Arial" w:hAnsi="Arial"/>
          <w:sz w:val="14"/>
          <w:szCs w:val="14"/>
          <w:color w:val="auto"/>
        </w:rPr>
        <w:t>fee income increased 11.4%, which primarily reflects growth in the fee level received from:</w:t>
      </w:r>
    </w:p>
    <w:p>
      <w:pPr>
        <w:spacing w:after="0" w:line="7" w:lineRule="exact"/>
        <w:rPr>
          <w:sz w:val="20"/>
          <w:szCs w:val="20"/>
          <w:color w:val="auto"/>
        </w:rPr>
      </w:pPr>
    </w:p>
    <w:p>
      <w:pPr>
        <w:ind w:left="600" w:hanging="238"/>
        <w:spacing w:after="0" w:line="230" w:lineRule="auto"/>
        <w:tabs>
          <w:tab w:leader="none" w:pos="595" w:val="left"/>
        </w:tabs>
        <w:numPr>
          <w:ilvl w:val="0"/>
          <w:numId w:val="32"/>
        </w:numPr>
        <w:rPr>
          <w:rFonts w:ascii="Arial" w:cs="Arial" w:eastAsia="Arial" w:hAnsi="Arial"/>
          <w:sz w:val="14"/>
          <w:szCs w:val="14"/>
          <w:color w:val="auto"/>
        </w:rPr>
      </w:pPr>
      <w:r>
        <w:rPr>
          <w:rFonts w:ascii="Arial" w:cs="Arial" w:eastAsia="Arial" w:hAnsi="Arial"/>
          <w:sz w:val="14"/>
          <w:szCs w:val="14"/>
          <w:color w:val="auto"/>
        </w:rPr>
        <w:t>Yape, which represents 74% of the growth in commissions at BCP where the uptick in income was led by service payments, followed by merchant fees and mobile top-ups.</w:t>
      </w:r>
    </w:p>
    <w:p>
      <w:pPr>
        <w:ind w:left="600" w:hanging="238"/>
        <w:spacing w:after="0" w:line="229" w:lineRule="auto"/>
        <w:tabs>
          <w:tab w:leader="none" w:pos="6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Payments and transactionals, primarily through credit and debit card fees, which grew 7.8%.</w:t>
      </w:r>
    </w:p>
    <w:p>
      <w:pPr>
        <w:ind w:left="600" w:hanging="238"/>
        <w:spacing w:after="0"/>
        <w:tabs>
          <w:tab w:leader="none" w:pos="6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Liability and transactional accounts due to growth in the inter-bank transfer volume.</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6.2 Other Non-Core Income</w:t>
      </w:r>
    </w:p>
    <w:p>
      <w:pPr>
        <w:spacing w:after="0" w:line="142" w:lineRule="exact"/>
        <w:rPr>
          <w:sz w:val="20"/>
          <w:szCs w:val="20"/>
          <w:color w:val="auto"/>
        </w:rPr>
      </w:pPr>
    </w:p>
    <w:tbl>
      <w:tblPr>
        <w:tblLayout w:type="fixed"/>
        <w:tblInd w:w="130" w:type="dxa"/>
        <w:tblCellMar>
          <w:top w:w="0" w:type="dxa"/>
          <w:left w:w="0" w:type="dxa"/>
          <w:bottom w:w="0" w:type="dxa"/>
          <w:right w:w="0" w:type="dxa"/>
        </w:tblCellMar>
      </w:tblPr>
      <w:tr>
        <w:trPr>
          <w:trHeight w:val="99"/>
        </w:trPr>
        <w:tc>
          <w:tcPr>
            <w:tcW w:w="4080" w:type="dxa"/>
            <w:vAlign w:val="bottom"/>
            <w:tcBorders>
              <w:top w:val="single" w:sz="8" w:color="auto"/>
              <w:left w:val="single" w:sz="8" w:color="auto"/>
              <w:right w:val="single" w:sz="8" w:color="auto"/>
            </w:tcBorders>
            <w:shd w:val="clear" w:color="auto" w:fill="2AD2C9"/>
          </w:tcPr>
          <w:p>
            <w:pPr>
              <w:ind w:left="20"/>
              <w:spacing w:after="0" w:line="99" w:lineRule="exact"/>
              <w:rPr>
                <w:sz w:val="20"/>
                <w:szCs w:val="20"/>
                <w:color w:val="auto"/>
              </w:rPr>
            </w:pPr>
            <w:r>
              <w:rPr>
                <w:rFonts w:ascii="Arial" w:cs="Arial" w:eastAsia="Arial" w:hAnsi="Arial"/>
                <w:sz w:val="10"/>
                <w:szCs w:val="10"/>
                <w:b w:val="1"/>
                <w:bCs w:val="1"/>
                <w:color w:val="FFFFFF"/>
              </w:rPr>
              <w:t>Other Non-Core Income</w:t>
            </w:r>
          </w:p>
        </w:tc>
        <w:tc>
          <w:tcPr>
            <w:tcW w:w="760" w:type="dxa"/>
            <w:vAlign w:val="bottom"/>
            <w:tcBorders>
              <w:top w:val="single" w:sz="8" w:color="auto"/>
            </w:tcBorders>
            <w:shd w:val="clear" w:color="auto" w:fill="2AD2C9"/>
          </w:tcPr>
          <w:p>
            <w:pPr>
              <w:spacing w:after="0"/>
              <w:rPr>
                <w:sz w:val="8"/>
                <w:szCs w:val="8"/>
                <w:color w:val="auto"/>
              </w:rPr>
            </w:pPr>
          </w:p>
        </w:tc>
        <w:tc>
          <w:tcPr>
            <w:tcW w:w="780" w:type="dxa"/>
            <w:vAlign w:val="bottom"/>
            <w:tcBorders>
              <w:top w:val="single" w:sz="8" w:color="auto"/>
            </w:tcBorders>
            <w:shd w:val="clear" w:color="auto" w:fill="2AD2C9"/>
          </w:tcPr>
          <w:p>
            <w:pPr>
              <w:ind w:left="220"/>
              <w:spacing w:after="0" w:line="99" w:lineRule="exact"/>
              <w:rPr>
                <w:sz w:val="20"/>
                <w:szCs w:val="20"/>
                <w:color w:val="auto"/>
              </w:rPr>
            </w:pPr>
            <w:r>
              <w:rPr>
                <w:rFonts w:ascii="Arial" w:cs="Arial" w:eastAsia="Arial" w:hAnsi="Arial"/>
                <w:sz w:val="10"/>
                <w:szCs w:val="10"/>
                <w:b w:val="1"/>
                <w:bCs w:val="1"/>
                <w:color w:val="FFFFFF"/>
              </w:rPr>
              <w:t>Quarter</w:t>
            </w:r>
          </w:p>
        </w:tc>
        <w:tc>
          <w:tcPr>
            <w:tcW w:w="800" w:type="dxa"/>
            <w:vAlign w:val="bottom"/>
            <w:tcBorders>
              <w:top w:val="single" w:sz="8" w:color="auto"/>
              <w:right w:val="single" w:sz="8" w:color="auto"/>
            </w:tcBorders>
            <w:shd w:val="clear" w:color="auto" w:fill="2AD2C9"/>
          </w:tcPr>
          <w:p>
            <w:pPr>
              <w:spacing w:after="0"/>
              <w:rPr>
                <w:sz w:val="8"/>
                <w:szCs w:val="8"/>
                <w:color w:val="auto"/>
              </w:rPr>
            </w:pPr>
          </w:p>
        </w:tc>
        <w:tc>
          <w:tcPr>
            <w:tcW w:w="540" w:type="dxa"/>
            <w:vAlign w:val="bottom"/>
            <w:tcBorders>
              <w:top w:val="single" w:sz="8" w:color="auto"/>
            </w:tcBorders>
            <w:shd w:val="clear" w:color="auto" w:fill="2AD2C9"/>
          </w:tcPr>
          <w:p>
            <w:pPr>
              <w:spacing w:after="0"/>
              <w:rPr>
                <w:sz w:val="8"/>
                <w:szCs w:val="8"/>
                <w:color w:val="auto"/>
              </w:rPr>
            </w:pPr>
          </w:p>
        </w:tc>
        <w:tc>
          <w:tcPr>
            <w:tcW w:w="1040" w:type="dxa"/>
            <w:vAlign w:val="bottom"/>
            <w:tcBorders>
              <w:top w:val="single" w:sz="8" w:color="auto"/>
              <w:right w:val="single" w:sz="8" w:color="auto"/>
            </w:tcBorders>
            <w:shd w:val="clear" w:color="auto" w:fill="2AD2C9"/>
          </w:tcPr>
          <w:p>
            <w:pPr>
              <w:spacing w:after="0" w:line="99" w:lineRule="exact"/>
              <w:rPr>
                <w:sz w:val="20"/>
                <w:szCs w:val="20"/>
                <w:color w:val="auto"/>
              </w:rPr>
            </w:pPr>
            <w:r>
              <w:rPr>
                <w:rFonts w:ascii="Arial" w:cs="Arial" w:eastAsia="Arial" w:hAnsi="Arial"/>
                <w:sz w:val="10"/>
                <w:szCs w:val="10"/>
                <w:b w:val="1"/>
                <w:bCs w:val="1"/>
                <w:color w:val="FFFFFF"/>
              </w:rPr>
              <w:t>% Change</w:t>
            </w:r>
          </w:p>
        </w:tc>
        <w:tc>
          <w:tcPr>
            <w:tcW w:w="620" w:type="dxa"/>
            <w:vAlign w:val="bottom"/>
            <w:tcBorders>
              <w:top w:val="single" w:sz="8" w:color="auto"/>
            </w:tcBorders>
            <w:shd w:val="clear" w:color="auto" w:fill="2AD2C9"/>
          </w:tcPr>
          <w:p>
            <w:pPr>
              <w:spacing w:after="0"/>
              <w:rPr>
                <w:sz w:val="8"/>
                <w:szCs w:val="8"/>
                <w:color w:val="auto"/>
              </w:rPr>
            </w:pPr>
          </w:p>
        </w:tc>
        <w:tc>
          <w:tcPr>
            <w:tcW w:w="980" w:type="dxa"/>
            <w:vAlign w:val="bottom"/>
            <w:tcBorders>
              <w:top w:val="single" w:sz="8" w:color="auto"/>
              <w:right w:val="single" w:sz="8" w:color="auto"/>
            </w:tcBorders>
            <w:shd w:val="clear" w:color="auto" w:fill="2AD2C9"/>
          </w:tcPr>
          <w:p>
            <w:pPr>
              <w:ind w:left="40"/>
              <w:spacing w:after="0" w:line="99" w:lineRule="exact"/>
              <w:rPr>
                <w:sz w:val="20"/>
                <w:szCs w:val="20"/>
                <w:color w:val="auto"/>
              </w:rPr>
            </w:pPr>
            <w:r>
              <w:rPr>
                <w:rFonts w:ascii="Arial" w:cs="Arial" w:eastAsia="Arial" w:hAnsi="Arial"/>
                <w:sz w:val="10"/>
                <w:szCs w:val="10"/>
                <w:b w:val="1"/>
                <w:bCs w:val="1"/>
                <w:color w:val="FFFFFF"/>
              </w:rPr>
              <w:t>Up to</w:t>
            </w:r>
          </w:p>
        </w:tc>
        <w:tc>
          <w:tcPr>
            <w:tcW w:w="780" w:type="dxa"/>
            <w:vAlign w:val="bottom"/>
            <w:tcBorders>
              <w:top w:val="single" w:sz="8" w:color="auto"/>
              <w:right w:val="single" w:sz="8" w:color="auto"/>
            </w:tcBorders>
            <w:shd w:val="clear" w:color="auto" w:fill="2AD2C9"/>
          </w:tcPr>
          <w:p>
            <w:pPr>
              <w:ind w:left="140"/>
              <w:spacing w:after="0" w:line="99" w:lineRule="exact"/>
              <w:rPr>
                <w:sz w:val="20"/>
                <w:szCs w:val="20"/>
                <w:color w:val="auto"/>
              </w:rPr>
            </w:pPr>
            <w:r>
              <w:rPr>
                <w:rFonts w:ascii="Arial" w:cs="Arial" w:eastAsia="Arial" w:hAnsi="Arial"/>
                <w:sz w:val="10"/>
                <w:szCs w:val="10"/>
                <w:b w:val="1"/>
                <w:bCs w:val="1"/>
                <w:color w:val="FFFFFF"/>
              </w:rPr>
              <w:t>% Change</w:t>
            </w:r>
          </w:p>
        </w:tc>
      </w:tr>
      <w:tr>
        <w:trPr>
          <w:trHeight w:val="117"/>
        </w:trPr>
        <w:tc>
          <w:tcPr>
            <w:tcW w:w="408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0"/>
                <w:szCs w:val="10"/>
                <w:b w:val="1"/>
                <w:bCs w:val="1"/>
                <w:color w:val="FFFFFF"/>
              </w:rPr>
              <w:t>S/ (000)</w:t>
            </w:r>
          </w:p>
        </w:tc>
        <w:tc>
          <w:tcPr>
            <w:tcW w:w="7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7"/>
              </w:rPr>
              <w:t>2Q23</w:t>
            </w:r>
          </w:p>
        </w:tc>
        <w:tc>
          <w:tcPr>
            <w:tcW w:w="7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89"/>
              </w:rPr>
              <w:t>1Q24</w:t>
            </w:r>
          </w:p>
        </w:tc>
        <w:tc>
          <w:tcPr>
            <w:tcW w:w="8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89"/>
              </w:rPr>
              <w:t>2Q24</w:t>
            </w:r>
          </w:p>
        </w:tc>
        <w:tc>
          <w:tcPr>
            <w:tcW w:w="540" w:type="dxa"/>
            <w:vAlign w:val="bottom"/>
            <w:tcBorders>
              <w:bottom w:val="single" w:sz="8" w:color="auto"/>
            </w:tcBorders>
            <w:shd w:val="clear" w:color="auto" w:fill="2AD2C9"/>
          </w:tcPr>
          <w:p>
            <w:pPr>
              <w:ind w:left="280"/>
              <w:spacing w:after="0"/>
              <w:rPr>
                <w:sz w:val="20"/>
                <w:szCs w:val="20"/>
                <w:color w:val="auto"/>
              </w:rPr>
            </w:pPr>
            <w:r>
              <w:rPr>
                <w:rFonts w:ascii="Arial" w:cs="Arial" w:eastAsia="Arial" w:hAnsi="Arial"/>
                <w:sz w:val="10"/>
                <w:szCs w:val="10"/>
                <w:b w:val="1"/>
                <w:bCs w:val="1"/>
                <w:color w:val="FFFFFF"/>
              </w:rPr>
              <w:t>QoQ</w:t>
            </w:r>
          </w:p>
        </w:tc>
        <w:tc>
          <w:tcPr>
            <w:tcW w:w="1040" w:type="dxa"/>
            <w:vAlign w:val="bottom"/>
            <w:tcBorders>
              <w:bottom w:val="single" w:sz="8" w:color="auto"/>
              <w:right w:val="single" w:sz="8" w:color="auto"/>
            </w:tcBorders>
            <w:shd w:val="clear" w:color="auto" w:fill="2AD2C9"/>
          </w:tcPr>
          <w:p>
            <w:pPr>
              <w:ind w:left="540"/>
              <w:spacing w:after="0"/>
              <w:rPr>
                <w:sz w:val="20"/>
                <w:szCs w:val="20"/>
                <w:color w:val="auto"/>
              </w:rPr>
            </w:pPr>
            <w:r>
              <w:rPr>
                <w:rFonts w:ascii="Arial" w:cs="Arial" w:eastAsia="Arial" w:hAnsi="Arial"/>
                <w:sz w:val="10"/>
                <w:szCs w:val="10"/>
                <w:b w:val="1"/>
                <w:bCs w:val="1"/>
                <w:color w:val="FFFFFF"/>
              </w:rPr>
              <w:t>YoY</w:t>
            </w:r>
          </w:p>
        </w:tc>
        <w:tc>
          <w:tcPr>
            <w:tcW w:w="620" w:type="dxa"/>
            <w:vAlign w:val="bottom"/>
            <w:tcBorders>
              <w:bottom w:val="single" w:sz="8" w:color="auto"/>
            </w:tcBorders>
            <w:shd w:val="clear" w:color="auto" w:fill="2AD2C9"/>
          </w:tcPr>
          <w:p>
            <w:pPr>
              <w:jc w:val="center"/>
              <w:ind w:left="113"/>
              <w:spacing w:after="0"/>
              <w:rPr>
                <w:sz w:val="20"/>
                <w:szCs w:val="20"/>
                <w:color w:val="auto"/>
              </w:rPr>
            </w:pPr>
            <w:r>
              <w:rPr>
                <w:rFonts w:ascii="Arial" w:cs="Arial" w:eastAsia="Arial" w:hAnsi="Arial"/>
                <w:sz w:val="10"/>
                <w:szCs w:val="10"/>
                <w:b w:val="1"/>
                <w:bCs w:val="1"/>
                <w:color w:val="FFFFFF"/>
                <w:w w:val="91"/>
              </w:rPr>
              <w:t>1H23</w:t>
            </w:r>
          </w:p>
        </w:tc>
        <w:tc>
          <w:tcPr>
            <w:tcW w:w="980" w:type="dxa"/>
            <w:vAlign w:val="bottom"/>
            <w:tcBorders>
              <w:bottom w:val="single" w:sz="8" w:color="auto"/>
              <w:right w:val="single" w:sz="8" w:color="auto"/>
            </w:tcBorders>
            <w:shd w:val="clear" w:color="auto" w:fill="2AD2C9"/>
          </w:tcPr>
          <w:p>
            <w:pPr>
              <w:jc w:val="center"/>
              <w:ind w:left="73"/>
              <w:spacing w:after="0"/>
              <w:rPr>
                <w:sz w:val="20"/>
                <w:szCs w:val="20"/>
                <w:color w:val="auto"/>
              </w:rPr>
            </w:pPr>
            <w:r>
              <w:rPr>
                <w:rFonts w:ascii="Arial" w:cs="Arial" w:eastAsia="Arial" w:hAnsi="Arial"/>
                <w:sz w:val="10"/>
                <w:szCs w:val="10"/>
                <w:b w:val="1"/>
                <w:bCs w:val="1"/>
                <w:color w:val="FFFFFF"/>
                <w:w w:val="91"/>
              </w:rPr>
              <w:t>1H24</w:t>
            </w:r>
          </w:p>
        </w:tc>
        <w:tc>
          <w:tcPr>
            <w:tcW w:w="7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6"/>
              </w:rPr>
              <w:t>1H24 / 1H23</w:t>
            </w:r>
          </w:p>
        </w:tc>
      </w:tr>
      <w:tr>
        <w:trPr>
          <w:trHeight w:val="75"/>
        </w:trPr>
        <w:tc>
          <w:tcPr>
            <w:tcW w:w="4080" w:type="dxa"/>
            <w:vAlign w:val="bottom"/>
            <w:tcBorders>
              <w:left w:val="single" w:sz="8" w:color="auto"/>
              <w:right w:val="single" w:sz="8" w:color="auto"/>
            </w:tcBorders>
          </w:tcPr>
          <w:p>
            <w:pPr>
              <w:ind w:left="20"/>
              <w:spacing w:after="0" w:line="75" w:lineRule="exact"/>
              <w:rPr>
                <w:sz w:val="20"/>
                <w:szCs w:val="20"/>
                <w:color w:val="auto"/>
              </w:rPr>
            </w:pPr>
            <w:r>
              <w:rPr>
                <w:rFonts w:ascii="Arial" w:cs="Arial" w:eastAsia="Arial" w:hAnsi="Arial"/>
                <w:sz w:val="8"/>
                <w:szCs w:val="8"/>
                <w:color w:val="auto"/>
              </w:rPr>
              <w:t>Net Gain Securities</w:t>
            </w:r>
          </w:p>
        </w:tc>
        <w:tc>
          <w:tcPr>
            <w:tcW w:w="760" w:type="dxa"/>
            <w:vAlign w:val="bottom"/>
          </w:tcPr>
          <w:p>
            <w:pPr>
              <w:jc w:val="center"/>
              <w:spacing w:after="0" w:line="75" w:lineRule="exact"/>
              <w:rPr>
                <w:sz w:val="20"/>
                <w:szCs w:val="20"/>
                <w:color w:val="auto"/>
              </w:rPr>
            </w:pPr>
            <w:r>
              <w:rPr>
                <w:rFonts w:ascii="Arial" w:cs="Arial" w:eastAsia="Arial" w:hAnsi="Arial"/>
                <w:sz w:val="8"/>
                <w:szCs w:val="8"/>
                <w:color w:val="auto"/>
              </w:rPr>
              <w:t>68,603</w:t>
            </w:r>
          </w:p>
        </w:tc>
        <w:tc>
          <w:tcPr>
            <w:tcW w:w="780" w:type="dxa"/>
            <w:vAlign w:val="bottom"/>
          </w:tcPr>
          <w:p>
            <w:pPr>
              <w:jc w:val="center"/>
              <w:spacing w:after="0" w:line="75" w:lineRule="exact"/>
              <w:rPr>
                <w:sz w:val="20"/>
                <w:szCs w:val="20"/>
                <w:color w:val="auto"/>
              </w:rPr>
            </w:pPr>
            <w:r>
              <w:rPr>
                <w:rFonts w:ascii="Arial" w:cs="Arial" w:eastAsia="Arial" w:hAnsi="Arial"/>
                <w:sz w:val="8"/>
                <w:szCs w:val="8"/>
                <w:color w:val="auto"/>
              </w:rPr>
              <w:t>61,745</w:t>
            </w:r>
          </w:p>
        </w:tc>
        <w:tc>
          <w:tcPr>
            <w:tcW w:w="800" w:type="dxa"/>
            <w:vAlign w:val="bottom"/>
            <w:tcBorders>
              <w:right w:val="single" w:sz="8" w:color="auto"/>
            </w:tcBorders>
          </w:tcPr>
          <w:p>
            <w:pPr>
              <w:jc w:val="center"/>
              <w:spacing w:after="0" w:line="75" w:lineRule="exact"/>
              <w:rPr>
                <w:sz w:val="20"/>
                <w:szCs w:val="20"/>
                <w:color w:val="auto"/>
              </w:rPr>
            </w:pPr>
            <w:r>
              <w:rPr>
                <w:rFonts w:ascii="Arial" w:cs="Arial" w:eastAsia="Arial" w:hAnsi="Arial"/>
                <w:sz w:val="8"/>
                <w:szCs w:val="8"/>
                <w:color w:val="auto"/>
              </w:rPr>
              <w:t>92,711</w:t>
            </w:r>
          </w:p>
        </w:tc>
        <w:tc>
          <w:tcPr>
            <w:tcW w:w="540" w:type="dxa"/>
            <w:vAlign w:val="bottom"/>
          </w:tcPr>
          <w:p>
            <w:pPr>
              <w:jc w:val="center"/>
              <w:ind w:left="173"/>
              <w:spacing w:after="0" w:line="75" w:lineRule="exact"/>
              <w:rPr>
                <w:sz w:val="20"/>
                <w:szCs w:val="20"/>
                <w:color w:val="auto"/>
              </w:rPr>
            </w:pPr>
            <w:r>
              <w:rPr>
                <w:rFonts w:ascii="Arial" w:cs="Arial" w:eastAsia="Arial" w:hAnsi="Arial"/>
                <w:sz w:val="8"/>
                <w:szCs w:val="8"/>
                <w:color w:val="auto"/>
              </w:rPr>
              <w:t>50.2%</w:t>
            </w:r>
          </w:p>
        </w:tc>
        <w:tc>
          <w:tcPr>
            <w:tcW w:w="1040" w:type="dxa"/>
            <w:vAlign w:val="bottom"/>
            <w:tcBorders>
              <w:right w:val="single" w:sz="8" w:color="auto"/>
            </w:tcBorders>
          </w:tcPr>
          <w:p>
            <w:pPr>
              <w:jc w:val="center"/>
              <w:ind w:left="173"/>
              <w:spacing w:after="0" w:line="75" w:lineRule="exact"/>
              <w:rPr>
                <w:sz w:val="20"/>
                <w:szCs w:val="20"/>
                <w:color w:val="auto"/>
              </w:rPr>
            </w:pPr>
            <w:r>
              <w:rPr>
                <w:rFonts w:ascii="Arial" w:cs="Arial" w:eastAsia="Arial" w:hAnsi="Arial"/>
                <w:sz w:val="8"/>
                <w:szCs w:val="8"/>
                <w:color w:val="auto"/>
              </w:rPr>
              <w:t>35.1%</w:t>
            </w:r>
          </w:p>
        </w:tc>
        <w:tc>
          <w:tcPr>
            <w:tcW w:w="620" w:type="dxa"/>
            <w:vAlign w:val="bottom"/>
          </w:tcPr>
          <w:p>
            <w:pPr>
              <w:jc w:val="center"/>
              <w:ind w:left="113"/>
              <w:spacing w:after="0" w:line="75" w:lineRule="exact"/>
              <w:rPr>
                <w:sz w:val="20"/>
                <w:szCs w:val="20"/>
                <w:color w:val="auto"/>
              </w:rPr>
            </w:pPr>
            <w:r>
              <w:rPr>
                <w:rFonts w:ascii="Arial" w:cs="Arial" w:eastAsia="Arial" w:hAnsi="Arial"/>
                <w:sz w:val="8"/>
                <w:szCs w:val="8"/>
                <w:color w:val="auto"/>
              </w:rPr>
              <w:t>138,639</w:t>
            </w:r>
          </w:p>
        </w:tc>
        <w:tc>
          <w:tcPr>
            <w:tcW w:w="980" w:type="dxa"/>
            <w:vAlign w:val="bottom"/>
            <w:tcBorders>
              <w:right w:val="single" w:sz="8" w:color="auto"/>
            </w:tcBorders>
          </w:tcPr>
          <w:p>
            <w:pPr>
              <w:jc w:val="center"/>
              <w:ind w:left="73"/>
              <w:spacing w:after="0" w:line="75" w:lineRule="exact"/>
              <w:rPr>
                <w:sz w:val="20"/>
                <w:szCs w:val="20"/>
                <w:color w:val="auto"/>
              </w:rPr>
            </w:pPr>
            <w:r>
              <w:rPr>
                <w:rFonts w:ascii="Arial" w:cs="Arial" w:eastAsia="Arial" w:hAnsi="Arial"/>
                <w:sz w:val="8"/>
                <w:szCs w:val="8"/>
                <w:color w:val="auto"/>
              </w:rPr>
              <w:t>154,456</w:t>
            </w:r>
          </w:p>
        </w:tc>
        <w:tc>
          <w:tcPr>
            <w:tcW w:w="780" w:type="dxa"/>
            <w:vAlign w:val="bottom"/>
            <w:tcBorders>
              <w:right w:val="single" w:sz="8" w:color="auto"/>
            </w:tcBorders>
          </w:tcPr>
          <w:p>
            <w:pPr>
              <w:jc w:val="center"/>
              <w:spacing w:after="0" w:line="75" w:lineRule="exact"/>
              <w:rPr>
                <w:sz w:val="20"/>
                <w:szCs w:val="20"/>
                <w:color w:val="auto"/>
              </w:rPr>
            </w:pPr>
            <w:r>
              <w:rPr>
                <w:rFonts w:ascii="Arial" w:cs="Arial" w:eastAsia="Arial" w:hAnsi="Arial"/>
                <w:sz w:val="8"/>
                <w:szCs w:val="8"/>
                <w:color w:val="auto"/>
              </w:rPr>
              <w:t>11.4%</w:t>
            </w:r>
          </w:p>
        </w:tc>
      </w:tr>
      <w:tr>
        <w:trPr>
          <w:trHeight w:val="109"/>
        </w:trPr>
        <w:tc>
          <w:tcPr>
            <w:tcW w:w="4080" w:type="dxa"/>
            <w:vAlign w:val="bottom"/>
            <w:tcBorders>
              <w:left w:val="single" w:sz="8" w:color="auto"/>
              <w:right w:val="single" w:sz="8" w:color="auto"/>
            </w:tcBorders>
          </w:tcPr>
          <w:p>
            <w:pPr>
              <w:ind w:left="20"/>
              <w:spacing w:after="0" w:line="109" w:lineRule="exact"/>
              <w:rPr>
                <w:sz w:val="20"/>
                <w:szCs w:val="20"/>
                <w:color w:val="auto"/>
              </w:rPr>
            </w:pPr>
            <w:r>
              <w:rPr>
                <w:rFonts w:ascii="Arial" w:cs="Arial" w:eastAsia="Arial" w:hAnsi="Arial"/>
                <w:sz w:val="8"/>
                <w:szCs w:val="8"/>
                <w:color w:val="auto"/>
              </w:rPr>
              <w:t xml:space="preserve">Net Gain from associates </w:t>
            </w:r>
            <w:r>
              <w:rPr>
                <w:rFonts w:ascii="Arial" w:cs="Arial" w:eastAsia="Arial" w:hAnsi="Arial"/>
                <w:sz w:val="12"/>
                <w:szCs w:val="12"/>
                <w:color w:val="auto"/>
                <w:vertAlign w:val="superscript"/>
              </w:rPr>
              <w:t>(1)</w:t>
            </w:r>
          </w:p>
        </w:tc>
        <w:tc>
          <w:tcPr>
            <w:tcW w:w="760" w:type="dxa"/>
            <w:vAlign w:val="bottom"/>
          </w:tcPr>
          <w:p>
            <w:pPr>
              <w:jc w:val="center"/>
              <w:spacing w:after="0" w:line="109" w:lineRule="exact"/>
              <w:rPr>
                <w:sz w:val="20"/>
                <w:szCs w:val="20"/>
                <w:color w:val="auto"/>
              </w:rPr>
            </w:pPr>
            <w:r>
              <w:rPr>
                <w:rFonts w:ascii="Arial" w:cs="Arial" w:eastAsia="Arial" w:hAnsi="Arial"/>
                <w:sz w:val="10"/>
                <w:szCs w:val="10"/>
                <w:color w:val="auto"/>
                <w:w w:val="97"/>
              </w:rPr>
              <w:t>23,689</w:t>
            </w:r>
          </w:p>
        </w:tc>
        <w:tc>
          <w:tcPr>
            <w:tcW w:w="780" w:type="dxa"/>
            <w:vAlign w:val="bottom"/>
          </w:tcPr>
          <w:p>
            <w:pPr>
              <w:jc w:val="center"/>
              <w:spacing w:after="0" w:line="109" w:lineRule="exact"/>
              <w:rPr>
                <w:sz w:val="20"/>
                <w:szCs w:val="20"/>
                <w:color w:val="auto"/>
              </w:rPr>
            </w:pPr>
            <w:r>
              <w:rPr>
                <w:rFonts w:ascii="Arial" w:cs="Arial" w:eastAsia="Arial" w:hAnsi="Arial"/>
                <w:sz w:val="10"/>
                <w:szCs w:val="10"/>
                <w:color w:val="auto"/>
                <w:w w:val="97"/>
              </w:rPr>
              <w:t>32,295</w:t>
            </w:r>
          </w:p>
        </w:tc>
        <w:tc>
          <w:tcPr>
            <w:tcW w:w="80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0"/>
                <w:szCs w:val="10"/>
                <w:color w:val="auto"/>
                <w:w w:val="97"/>
              </w:rPr>
              <w:t>28,728</w:t>
            </w:r>
          </w:p>
        </w:tc>
        <w:tc>
          <w:tcPr>
            <w:tcW w:w="540" w:type="dxa"/>
            <w:vAlign w:val="bottom"/>
          </w:tcPr>
          <w:p>
            <w:pPr>
              <w:jc w:val="center"/>
              <w:ind w:left="193"/>
              <w:spacing w:after="0" w:line="109" w:lineRule="exact"/>
              <w:rPr>
                <w:sz w:val="20"/>
                <w:szCs w:val="20"/>
                <w:color w:val="auto"/>
              </w:rPr>
            </w:pPr>
            <w:r>
              <w:rPr>
                <w:rFonts w:ascii="Arial" w:cs="Arial" w:eastAsia="Arial" w:hAnsi="Arial"/>
                <w:sz w:val="10"/>
                <w:szCs w:val="10"/>
                <w:color w:val="auto"/>
                <w:w w:val="94"/>
              </w:rPr>
              <w:t>-11.0%</w:t>
            </w:r>
          </w:p>
        </w:tc>
        <w:tc>
          <w:tcPr>
            <w:tcW w:w="1040" w:type="dxa"/>
            <w:vAlign w:val="bottom"/>
            <w:tcBorders>
              <w:right w:val="single" w:sz="8" w:color="auto"/>
            </w:tcBorders>
          </w:tcPr>
          <w:p>
            <w:pPr>
              <w:jc w:val="center"/>
              <w:ind w:left="173"/>
              <w:spacing w:after="0" w:line="109" w:lineRule="exact"/>
              <w:rPr>
                <w:sz w:val="20"/>
                <w:szCs w:val="20"/>
                <w:color w:val="auto"/>
              </w:rPr>
            </w:pPr>
            <w:r>
              <w:rPr>
                <w:rFonts w:ascii="Arial" w:cs="Arial" w:eastAsia="Arial" w:hAnsi="Arial"/>
                <w:sz w:val="10"/>
                <w:szCs w:val="10"/>
                <w:color w:val="auto"/>
                <w:w w:val="91"/>
              </w:rPr>
              <w:t>21.3%</w:t>
            </w:r>
          </w:p>
        </w:tc>
        <w:tc>
          <w:tcPr>
            <w:tcW w:w="620" w:type="dxa"/>
            <w:vAlign w:val="bottom"/>
          </w:tcPr>
          <w:p>
            <w:pPr>
              <w:jc w:val="center"/>
              <w:ind w:left="113"/>
              <w:spacing w:after="0" w:line="109" w:lineRule="exact"/>
              <w:rPr>
                <w:sz w:val="20"/>
                <w:szCs w:val="20"/>
                <w:color w:val="auto"/>
              </w:rPr>
            </w:pPr>
            <w:r>
              <w:rPr>
                <w:rFonts w:ascii="Arial" w:cs="Arial" w:eastAsia="Arial" w:hAnsi="Arial"/>
                <w:sz w:val="10"/>
                <w:szCs w:val="10"/>
                <w:color w:val="auto"/>
                <w:w w:val="97"/>
              </w:rPr>
              <w:t>50,901</w:t>
            </w:r>
          </w:p>
        </w:tc>
        <w:tc>
          <w:tcPr>
            <w:tcW w:w="980" w:type="dxa"/>
            <w:vAlign w:val="bottom"/>
            <w:tcBorders>
              <w:right w:val="single" w:sz="8" w:color="auto"/>
            </w:tcBorders>
          </w:tcPr>
          <w:p>
            <w:pPr>
              <w:jc w:val="center"/>
              <w:ind w:left="73"/>
              <w:spacing w:after="0" w:line="109" w:lineRule="exact"/>
              <w:rPr>
                <w:sz w:val="20"/>
                <w:szCs w:val="20"/>
                <w:color w:val="auto"/>
              </w:rPr>
            </w:pPr>
            <w:r>
              <w:rPr>
                <w:rFonts w:ascii="Arial" w:cs="Arial" w:eastAsia="Arial" w:hAnsi="Arial"/>
                <w:sz w:val="10"/>
                <w:szCs w:val="10"/>
                <w:color w:val="auto"/>
                <w:w w:val="97"/>
              </w:rPr>
              <w:t>61,023</w:t>
            </w:r>
          </w:p>
        </w:tc>
        <w:tc>
          <w:tcPr>
            <w:tcW w:w="78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0"/>
                <w:szCs w:val="10"/>
                <w:color w:val="auto"/>
                <w:w w:val="91"/>
              </w:rPr>
              <w:t>19.9%</w:t>
            </w:r>
          </w:p>
        </w:tc>
      </w:tr>
      <w:tr>
        <w:trPr>
          <w:trHeight w:val="103"/>
        </w:trPr>
        <w:tc>
          <w:tcPr>
            <w:tcW w:w="408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Net Gain of derivatives held for trading</w:t>
            </w:r>
          </w:p>
        </w:tc>
        <w:tc>
          <w:tcPr>
            <w:tcW w:w="760" w:type="dxa"/>
            <w:vAlign w:val="bottom"/>
          </w:tcPr>
          <w:p>
            <w:pPr>
              <w:jc w:val="center"/>
              <w:spacing w:after="0" w:line="103" w:lineRule="exact"/>
              <w:rPr>
                <w:sz w:val="20"/>
                <w:szCs w:val="20"/>
                <w:color w:val="auto"/>
              </w:rPr>
            </w:pPr>
            <w:r>
              <w:rPr>
                <w:rFonts w:ascii="Arial" w:cs="Arial" w:eastAsia="Arial" w:hAnsi="Arial"/>
                <w:sz w:val="10"/>
                <w:szCs w:val="10"/>
                <w:color w:val="auto"/>
                <w:w w:val="97"/>
              </w:rPr>
              <w:t>16,671</w:t>
            </w:r>
          </w:p>
        </w:tc>
        <w:tc>
          <w:tcPr>
            <w:tcW w:w="780" w:type="dxa"/>
            <w:vAlign w:val="bottom"/>
          </w:tcPr>
          <w:p>
            <w:pPr>
              <w:jc w:val="center"/>
              <w:spacing w:after="0" w:line="103" w:lineRule="exact"/>
              <w:rPr>
                <w:sz w:val="20"/>
                <w:szCs w:val="20"/>
                <w:color w:val="auto"/>
              </w:rPr>
            </w:pPr>
            <w:r>
              <w:rPr>
                <w:rFonts w:ascii="Arial" w:cs="Arial" w:eastAsia="Arial" w:hAnsi="Arial"/>
                <w:sz w:val="10"/>
                <w:szCs w:val="10"/>
                <w:color w:val="auto"/>
                <w:w w:val="97"/>
              </w:rPr>
              <w:t>39,984</w:t>
            </w:r>
          </w:p>
        </w:tc>
        <w:tc>
          <w:tcPr>
            <w:tcW w:w="8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7"/>
              </w:rPr>
              <w:t>41,748</w:t>
            </w:r>
          </w:p>
        </w:tc>
        <w:tc>
          <w:tcPr>
            <w:tcW w:w="540" w:type="dxa"/>
            <w:vAlign w:val="bottom"/>
          </w:tcPr>
          <w:p>
            <w:pPr>
              <w:jc w:val="center"/>
              <w:ind w:left="193"/>
              <w:spacing w:after="0" w:line="103" w:lineRule="exact"/>
              <w:rPr>
                <w:sz w:val="20"/>
                <w:szCs w:val="20"/>
                <w:color w:val="auto"/>
              </w:rPr>
            </w:pPr>
            <w:r>
              <w:rPr>
                <w:rFonts w:ascii="Arial" w:cs="Arial" w:eastAsia="Arial" w:hAnsi="Arial"/>
                <w:sz w:val="10"/>
                <w:szCs w:val="10"/>
                <w:color w:val="auto"/>
                <w:w w:val="96"/>
              </w:rPr>
              <w:t>4.4%</w:t>
            </w:r>
          </w:p>
        </w:tc>
        <w:tc>
          <w:tcPr>
            <w:tcW w:w="1040" w:type="dxa"/>
            <w:vAlign w:val="bottom"/>
            <w:tcBorders>
              <w:right w:val="single" w:sz="8" w:color="auto"/>
            </w:tcBorders>
          </w:tcPr>
          <w:p>
            <w:pPr>
              <w:jc w:val="center"/>
              <w:ind w:left="173"/>
              <w:spacing w:after="0" w:line="103" w:lineRule="exact"/>
              <w:rPr>
                <w:sz w:val="20"/>
                <w:szCs w:val="20"/>
                <w:color w:val="auto"/>
              </w:rPr>
            </w:pPr>
            <w:r>
              <w:rPr>
                <w:rFonts w:ascii="Arial" w:cs="Arial" w:eastAsia="Arial" w:hAnsi="Arial"/>
                <w:sz w:val="10"/>
                <w:szCs w:val="10"/>
                <w:color w:val="auto"/>
              </w:rPr>
              <w:t>150.4%</w:t>
            </w:r>
          </w:p>
        </w:tc>
        <w:tc>
          <w:tcPr>
            <w:tcW w:w="620" w:type="dxa"/>
            <w:vAlign w:val="bottom"/>
          </w:tcPr>
          <w:p>
            <w:pPr>
              <w:jc w:val="center"/>
              <w:ind w:left="113"/>
              <w:spacing w:after="0" w:line="103" w:lineRule="exact"/>
              <w:rPr>
                <w:sz w:val="20"/>
                <w:szCs w:val="20"/>
                <w:color w:val="auto"/>
              </w:rPr>
            </w:pPr>
            <w:r>
              <w:rPr>
                <w:rFonts w:ascii="Arial" w:cs="Arial" w:eastAsia="Arial" w:hAnsi="Arial"/>
                <w:sz w:val="10"/>
                <w:szCs w:val="10"/>
                <w:color w:val="auto"/>
                <w:w w:val="97"/>
              </w:rPr>
              <w:t>10,101</w:t>
            </w:r>
          </w:p>
        </w:tc>
        <w:tc>
          <w:tcPr>
            <w:tcW w:w="980" w:type="dxa"/>
            <w:vAlign w:val="bottom"/>
            <w:tcBorders>
              <w:right w:val="single" w:sz="8" w:color="auto"/>
            </w:tcBorders>
          </w:tcPr>
          <w:p>
            <w:pPr>
              <w:jc w:val="center"/>
              <w:ind w:left="73"/>
              <w:spacing w:after="0" w:line="103" w:lineRule="exact"/>
              <w:rPr>
                <w:sz w:val="20"/>
                <w:szCs w:val="20"/>
                <w:color w:val="auto"/>
              </w:rPr>
            </w:pPr>
            <w:r>
              <w:rPr>
                <w:rFonts w:ascii="Arial" w:cs="Arial" w:eastAsia="Arial" w:hAnsi="Arial"/>
                <w:sz w:val="10"/>
                <w:szCs w:val="10"/>
                <w:color w:val="auto"/>
                <w:w w:val="97"/>
              </w:rPr>
              <w:t>81,732</w:t>
            </w:r>
          </w:p>
        </w:tc>
        <w:tc>
          <w:tcPr>
            <w:tcW w:w="7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rPr>
              <w:t>709.1%</w:t>
            </w:r>
          </w:p>
        </w:tc>
      </w:tr>
      <w:tr>
        <w:trPr>
          <w:trHeight w:val="103"/>
        </w:trPr>
        <w:tc>
          <w:tcPr>
            <w:tcW w:w="408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Net Gain from exchange differences</w:t>
            </w:r>
          </w:p>
        </w:tc>
        <w:tc>
          <w:tcPr>
            <w:tcW w:w="760" w:type="dxa"/>
            <w:vAlign w:val="bottom"/>
          </w:tcPr>
          <w:p>
            <w:pPr>
              <w:jc w:val="center"/>
              <w:spacing w:after="0" w:line="103" w:lineRule="exact"/>
              <w:rPr>
                <w:sz w:val="20"/>
                <w:szCs w:val="20"/>
                <w:color w:val="auto"/>
              </w:rPr>
            </w:pPr>
            <w:r>
              <w:rPr>
                <w:rFonts w:ascii="Arial" w:cs="Arial" w:eastAsia="Arial" w:hAnsi="Arial"/>
                <w:sz w:val="10"/>
                <w:szCs w:val="10"/>
                <w:color w:val="auto"/>
                <w:w w:val="95"/>
              </w:rPr>
              <w:t>2,996</w:t>
            </w:r>
          </w:p>
        </w:tc>
        <w:tc>
          <w:tcPr>
            <w:tcW w:w="780" w:type="dxa"/>
            <w:vAlign w:val="bottom"/>
          </w:tcPr>
          <w:p>
            <w:pPr>
              <w:jc w:val="center"/>
              <w:spacing w:after="0" w:line="103" w:lineRule="exact"/>
              <w:rPr>
                <w:sz w:val="20"/>
                <w:szCs w:val="20"/>
                <w:color w:val="auto"/>
              </w:rPr>
            </w:pPr>
            <w:r>
              <w:rPr>
                <w:rFonts w:ascii="Arial" w:cs="Arial" w:eastAsia="Arial" w:hAnsi="Arial"/>
                <w:sz w:val="10"/>
                <w:szCs w:val="10"/>
                <w:color w:val="auto"/>
                <w:w w:val="91"/>
              </w:rPr>
              <w:t>-5,621</w:t>
            </w:r>
          </w:p>
        </w:tc>
        <w:tc>
          <w:tcPr>
            <w:tcW w:w="8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1"/>
              </w:rPr>
              <w:t>-7,933</w:t>
            </w:r>
          </w:p>
        </w:tc>
        <w:tc>
          <w:tcPr>
            <w:tcW w:w="540" w:type="dxa"/>
            <w:vAlign w:val="bottom"/>
          </w:tcPr>
          <w:p>
            <w:pPr>
              <w:jc w:val="center"/>
              <w:ind w:left="173"/>
              <w:spacing w:after="0" w:line="103" w:lineRule="exact"/>
              <w:rPr>
                <w:sz w:val="20"/>
                <w:szCs w:val="20"/>
                <w:color w:val="auto"/>
              </w:rPr>
            </w:pPr>
            <w:r>
              <w:rPr>
                <w:rFonts w:ascii="Arial" w:cs="Arial" w:eastAsia="Arial" w:hAnsi="Arial"/>
                <w:sz w:val="10"/>
                <w:szCs w:val="10"/>
                <w:color w:val="auto"/>
                <w:w w:val="98"/>
              </w:rPr>
              <w:t>41.1%</w:t>
            </w:r>
          </w:p>
        </w:tc>
        <w:tc>
          <w:tcPr>
            <w:tcW w:w="1040" w:type="dxa"/>
            <w:vAlign w:val="bottom"/>
            <w:tcBorders>
              <w:right w:val="single" w:sz="8" w:color="auto"/>
            </w:tcBorders>
          </w:tcPr>
          <w:p>
            <w:pPr>
              <w:jc w:val="center"/>
              <w:ind w:left="173"/>
              <w:spacing w:after="0" w:line="103" w:lineRule="exact"/>
              <w:rPr>
                <w:sz w:val="20"/>
                <w:szCs w:val="20"/>
                <w:color w:val="auto"/>
              </w:rPr>
            </w:pPr>
            <w:r>
              <w:rPr>
                <w:rFonts w:ascii="Arial" w:cs="Arial" w:eastAsia="Arial" w:hAnsi="Arial"/>
                <w:sz w:val="10"/>
                <w:szCs w:val="10"/>
                <w:color w:val="auto"/>
                <w:w w:val="91"/>
              </w:rPr>
              <w:t>-364.8%</w:t>
            </w:r>
          </w:p>
        </w:tc>
        <w:tc>
          <w:tcPr>
            <w:tcW w:w="620" w:type="dxa"/>
            <w:vAlign w:val="bottom"/>
          </w:tcPr>
          <w:p>
            <w:pPr>
              <w:jc w:val="center"/>
              <w:ind w:left="113"/>
              <w:spacing w:after="0" w:line="103" w:lineRule="exact"/>
              <w:rPr>
                <w:sz w:val="20"/>
                <w:szCs w:val="20"/>
                <w:color w:val="auto"/>
              </w:rPr>
            </w:pPr>
            <w:r>
              <w:rPr>
                <w:rFonts w:ascii="Arial" w:cs="Arial" w:eastAsia="Arial" w:hAnsi="Arial"/>
                <w:sz w:val="10"/>
                <w:szCs w:val="10"/>
                <w:color w:val="auto"/>
                <w:w w:val="97"/>
              </w:rPr>
              <w:t>25,959</w:t>
            </w:r>
          </w:p>
        </w:tc>
        <w:tc>
          <w:tcPr>
            <w:tcW w:w="980" w:type="dxa"/>
            <w:vAlign w:val="bottom"/>
            <w:tcBorders>
              <w:right w:val="single" w:sz="8" w:color="auto"/>
            </w:tcBorders>
          </w:tcPr>
          <w:p>
            <w:pPr>
              <w:jc w:val="center"/>
              <w:ind w:left="93"/>
              <w:spacing w:after="0" w:line="103" w:lineRule="exact"/>
              <w:rPr>
                <w:sz w:val="20"/>
                <w:szCs w:val="20"/>
                <w:color w:val="auto"/>
              </w:rPr>
            </w:pPr>
            <w:r>
              <w:rPr>
                <w:rFonts w:ascii="Arial" w:cs="Arial" w:eastAsia="Arial" w:hAnsi="Arial"/>
                <w:sz w:val="10"/>
                <w:szCs w:val="10"/>
                <w:color w:val="auto"/>
                <w:w w:val="94"/>
              </w:rPr>
              <w:t>-13,554</w:t>
            </w:r>
          </w:p>
        </w:tc>
        <w:tc>
          <w:tcPr>
            <w:tcW w:w="7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-152.2%</w:t>
            </w:r>
          </w:p>
        </w:tc>
      </w:tr>
      <w:tr>
        <w:trPr>
          <w:trHeight w:val="115"/>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Other non-operative income</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3"/>
              </w:rPr>
              <w:t>149,671</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3"/>
              </w:rPr>
              <w:t>102,221</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3"/>
              </w:rPr>
              <w:t>139,499</w:t>
            </w:r>
          </w:p>
        </w:tc>
        <w:tc>
          <w:tcPr>
            <w:tcW w:w="540" w:type="dxa"/>
            <w:vAlign w:val="bottom"/>
            <w:tcBorders>
              <w:bottom w:val="single" w:sz="8" w:color="auto"/>
            </w:tcBorders>
          </w:tcPr>
          <w:p>
            <w:pPr>
              <w:jc w:val="center"/>
              <w:ind w:left="173"/>
              <w:spacing w:after="0"/>
              <w:rPr>
                <w:sz w:val="20"/>
                <w:szCs w:val="20"/>
                <w:color w:val="auto"/>
              </w:rPr>
            </w:pPr>
            <w:r>
              <w:rPr>
                <w:rFonts w:ascii="Arial" w:cs="Arial" w:eastAsia="Arial" w:hAnsi="Arial"/>
                <w:sz w:val="10"/>
                <w:szCs w:val="10"/>
                <w:color w:val="auto"/>
                <w:w w:val="98"/>
              </w:rPr>
              <w:t>36.5%</w:t>
            </w:r>
          </w:p>
        </w:tc>
        <w:tc>
          <w:tcPr>
            <w:tcW w:w="1040" w:type="dxa"/>
            <w:vAlign w:val="bottom"/>
            <w:tcBorders>
              <w:bottom w:val="single" w:sz="8" w:color="auto"/>
              <w:right w:val="single" w:sz="8" w:color="auto"/>
            </w:tcBorders>
          </w:tcPr>
          <w:p>
            <w:pPr>
              <w:jc w:val="center"/>
              <w:ind w:left="173"/>
              <w:spacing w:after="0"/>
              <w:rPr>
                <w:sz w:val="20"/>
                <w:szCs w:val="20"/>
                <w:color w:val="auto"/>
              </w:rPr>
            </w:pPr>
            <w:r>
              <w:rPr>
                <w:rFonts w:ascii="Arial" w:cs="Arial" w:eastAsia="Arial" w:hAnsi="Arial"/>
                <w:sz w:val="10"/>
                <w:szCs w:val="10"/>
                <w:color w:val="auto"/>
                <w:w w:val="99"/>
              </w:rPr>
              <w:t>-6.8%</w:t>
            </w:r>
          </w:p>
        </w:tc>
        <w:tc>
          <w:tcPr>
            <w:tcW w:w="620" w:type="dxa"/>
            <w:vAlign w:val="bottom"/>
            <w:tcBorders>
              <w:bottom w:val="single" w:sz="8" w:color="auto"/>
            </w:tcBorders>
          </w:tcPr>
          <w:p>
            <w:pPr>
              <w:jc w:val="center"/>
              <w:ind w:left="113"/>
              <w:spacing w:after="0"/>
              <w:rPr>
                <w:sz w:val="20"/>
                <w:szCs w:val="20"/>
                <w:color w:val="auto"/>
              </w:rPr>
            </w:pPr>
            <w:r>
              <w:rPr>
                <w:rFonts w:ascii="Arial" w:cs="Arial" w:eastAsia="Arial" w:hAnsi="Arial"/>
                <w:sz w:val="10"/>
                <w:szCs w:val="10"/>
                <w:color w:val="auto"/>
                <w:w w:val="93"/>
              </w:rPr>
              <w:t>239,009</w:t>
            </w:r>
          </w:p>
        </w:tc>
        <w:tc>
          <w:tcPr>
            <w:tcW w:w="980" w:type="dxa"/>
            <w:vAlign w:val="bottom"/>
            <w:tcBorders>
              <w:bottom w:val="single" w:sz="8" w:color="auto"/>
              <w:right w:val="single" w:sz="8" w:color="auto"/>
            </w:tcBorders>
          </w:tcPr>
          <w:p>
            <w:pPr>
              <w:jc w:val="center"/>
              <w:ind w:left="73"/>
              <w:spacing w:after="0"/>
              <w:rPr>
                <w:sz w:val="20"/>
                <w:szCs w:val="20"/>
                <w:color w:val="auto"/>
              </w:rPr>
            </w:pPr>
            <w:r>
              <w:rPr>
                <w:rFonts w:ascii="Arial" w:cs="Arial" w:eastAsia="Arial" w:hAnsi="Arial"/>
                <w:sz w:val="10"/>
                <w:szCs w:val="10"/>
                <w:color w:val="auto"/>
                <w:w w:val="93"/>
              </w:rPr>
              <w:t>241,720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1.1%</w:t>
            </w:r>
          </w:p>
        </w:tc>
      </w:tr>
      <w:tr>
        <w:trPr>
          <w:trHeight w:val="93"/>
        </w:trPr>
        <w:tc>
          <w:tcPr>
            <w:tcW w:w="4080" w:type="dxa"/>
            <w:vAlign w:val="bottom"/>
            <w:tcBorders>
              <w:left w:val="single" w:sz="8" w:color="auto"/>
              <w:bottom w:val="single" w:sz="8" w:color="auto"/>
              <w:right w:val="single" w:sz="8" w:color="auto"/>
            </w:tcBorders>
          </w:tcPr>
          <w:p>
            <w:pPr>
              <w:ind w:left="20"/>
              <w:spacing w:after="0" w:line="93" w:lineRule="exact"/>
              <w:rPr>
                <w:sz w:val="20"/>
                <w:szCs w:val="20"/>
                <w:color w:val="auto"/>
              </w:rPr>
            </w:pPr>
            <w:r>
              <w:rPr>
                <w:rFonts w:ascii="Arial" w:cs="Arial" w:eastAsia="Arial" w:hAnsi="Arial"/>
                <w:sz w:val="10"/>
                <w:szCs w:val="10"/>
                <w:b w:val="1"/>
                <w:bCs w:val="1"/>
                <w:color w:val="auto"/>
              </w:rPr>
              <w:t>Total Other Non-Core Income</w:t>
            </w:r>
          </w:p>
        </w:tc>
        <w:tc>
          <w:tcPr>
            <w:tcW w:w="76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3"/>
              </w:rPr>
              <w:t>261,630</w:t>
            </w:r>
          </w:p>
        </w:tc>
        <w:tc>
          <w:tcPr>
            <w:tcW w:w="78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3"/>
              </w:rPr>
              <w:t>230,624</w:t>
            </w:r>
          </w:p>
        </w:tc>
        <w:tc>
          <w:tcPr>
            <w:tcW w:w="80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3"/>
              </w:rPr>
              <w:t>294,753</w:t>
            </w:r>
          </w:p>
        </w:tc>
        <w:tc>
          <w:tcPr>
            <w:tcW w:w="540" w:type="dxa"/>
            <w:vAlign w:val="bottom"/>
            <w:tcBorders>
              <w:bottom w:val="single" w:sz="8" w:color="auto"/>
            </w:tcBorders>
          </w:tcPr>
          <w:p>
            <w:pPr>
              <w:jc w:val="center"/>
              <w:ind w:left="173"/>
              <w:spacing w:after="0" w:line="93" w:lineRule="exact"/>
              <w:rPr>
                <w:sz w:val="20"/>
                <w:szCs w:val="20"/>
                <w:color w:val="auto"/>
              </w:rPr>
            </w:pPr>
            <w:r>
              <w:rPr>
                <w:rFonts w:ascii="Arial" w:cs="Arial" w:eastAsia="Arial" w:hAnsi="Arial"/>
                <w:sz w:val="10"/>
                <w:szCs w:val="10"/>
                <w:b w:val="1"/>
                <w:bCs w:val="1"/>
                <w:color w:val="auto"/>
                <w:w w:val="98"/>
              </w:rPr>
              <w:t>27.8%</w:t>
            </w:r>
          </w:p>
        </w:tc>
        <w:tc>
          <w:tcPr>
            <w:tcW w:w="1040" w:type="dxa"/>
            <w:vAlign w:val="bottom"/>
            <w:tcBorders>
              <w:bottom w:val="single" w:sz="8" w:color="auto"/>
              <w:right w:val="single" w:sz="8" w:color="auto"/>
            </w:tcBorders>
          </w:tcPr>
          <w:p>
            <w:pPr>
              <w:jc w:val="center"/>
              <w:ind w:left="173"/>
              <w:spacing w:after="0" w:line="93" w:lineRule="exact"/>
              <w:rPr>
                <w:sz w:val="20"/>
                <w:szCs w:val="20"/>
                <w:color w:val="auto"/>
              </w:rPr>
            </w:pPr>
            <w:r>
              <w:rPr>
                <w:rFonts w:ascii="Arial" w:cs="Arial" w:eastAsia="Arial" w:hAnsi="Arial"/>
                <w:sz w:val="10"/>
                <w:szCs w:val="10"/>
                <w:b w:val="1"/>
                <w:bCs w:val="1"/>
                <w:color w:val="auto"/>
                <w:w w:val="91"/>
              </w:rPr>
              <w:t>12.7%</w:t>
            </w:r>
          </w:p>
        </w:tc>
        <w:tc>
          <w:tcPr>
            <w:tcW w:w="620" w:type="dxa"/>
            <w:vAlign w:val="bottom"/>
            <w:tcBorders>
              <w:bottom w:val="single" w:sz="8" w:color="auto"/>
            </w:tcBorders>
          </w:tcPr>
          <w:p>
            <w:pPr>
              <w:jc w:val="center"/>
              <w:ind w:left="113"/>
              <w:spacing w:after="0" w:line="93" w:lineRule="exact"/>
              <w:rPr>
                <w:sz w:val="20"/>
                <w:szCs w:val="20"/>
                <w:color w:val="auto"/>
              </w:rPr>
            </w:pPr>
            <w:r>
              <w:rPr>
                <w:rFonts w:ascii="Arial" w:cs="Arial" w:eastAsia="Arial" w:hAnsi="Arial"/>
                <w:sz w:val="10"/>
                <w:szCs w:val="10"/>
                <w:b w:val="1"/>
                <w:bCs w:val="1"/>
                <w:color w:val="auto"/>
                <w:w w:val="93"/>
              </w:rPr>
              <w:t>464,609</w:t>
            </w:r>
          </w:p>
        </w:tc>
        <w:tc>
          <w:tcPr>
            <w:tcW w:w="980" w:type="dxa"/>
            <w:vAlign w:val="bottom"/>
            <w:tcBorders>
              <w:bottom w:val="single" w:sz="8" w:color="auto"/>
              <w:right w:val="single" w:sz="8" w:color="auto"/>
            </w:tcBorders>
          </w:tcPr>
          <w:p>
            <w:pPr>
              <w:jc w:val="center"/>
              <w:ind w:left="73"/>
              <w:spacing w:after="0" w:line="93" w:lineRule="exact"/>
              <w:rPr>
                <w:sz w:val="20"/>
                <w:szCs w:val="20"/>
                <w:color w:val="auto"/>
              </w:rPr>
            </w:pPr>
            <w:r>
              <w:rPr>
                <w:rFonts w:ascii="Arial" w:cs="Arial" w:eastAsia="Arial" w:hAnsi="Arial"/>
                <w:sz w:val="10"/>
                <w:szCs w:val="10"/>
                <w:b w:val="1"/>
                <w:bCs w:val="1"/>
                <w:color w:val="auto"/>
                <w:w w:val="93"/>
              </w:rPr>
              <w:t>525,377</w:t>
            </w:r>
          </w:p>
        </w:tc>
        <w:tc>
          <w:tcPr>
            <w:tcW w:w="78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1"/>
              </w:rPr>
              <w:t>13.1%</w:t>
            </w:r>
          </w:p>
        </w:tc>
      </w:tr>
    </w:tbl>
    <w:p>
      <w:pPr>
        <w:spacing w:after="0" w:line="8" w:lineRule="exact"/>
        <w:rPr>
          <w:sz w:val="20"/>
          <w:szCs w:val="20"/>
          <w:color w:val="auto"/>
        </w:rPr>
      </w:pPr>
    </w:p>
    <w:p>
      <w:pPr>
        <w:ind w:left="120"/>
        <w:spacing w:after="0"/>
        <w:rPr>
          <w:sz w:val="20"/>
          <w:szCs w:val="20"/>
          <w:color w:val="auto"/>
        </w:rPr>
      </w:pPr>
      <w:r>
        <w:rPr>
          <w:rFonts w:ascii="Arial" w:cs="Arial" w:eastAsia="Arial" w:hAnsi="Arial"/>
          <w:sz w:val="10"/>
          <w:szCs w:val="10"/>
          <w:color w:val="auto"/>
        </w:rPr>
        <w:t>(1) Includes gains on other investments, which are mainly attributable to the Banmedica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627380</wp:posOffset>
            </wp:positionV>
            <wp:extent cx="7164705" cy="133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98425</wp:posOffset>
            </wp:positionV>
            <wp:extent cx="1502410" cy="4438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241935</wp:posOffset>
            </wp:positionV>
            <wp:extent cx="1724025" cy="3003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24025" cy="300355"/>
                    </a:xfrm>
                    <a:prstGeom prst="rect">
                      <a:avLst/>
                    </a:prstGeom>
                    <a:noFill/>
                  </pic:spPr>
                </pic:pic>
              </a:graphicData>
            </a:graphic>
          </wp:anchor>
        </w:drawing>
      </w:r>
    </w:p>
    <w:p>
      <w:pPr>
        <w:sectPr>
          <w:pgSz w:w="11900" w:h="16838" w:orient="portrait"/>
          <w:cols w:equalWidth="0" w:num="1">
            <w:col w:w="10500"/>
          </w:cols>
          <w:pgMar w:left="640" w:top="287" w:right="759" w:bottom="1440" w:gutter="0" w:footer="0" w:header="0"/>
        </w:sectPr>
      </w:pPr>
    </w:p>
    <w:bookmarkStart w:id="36" w:name="page37"/>
    <w:bookmarkEnd w:id="36"/>
    <w:p>
      <w:pPr>
        <w:ind w:left="2380"/>
        <w:spacing w:after="0"/>
        <w:tabs>
          <w:tab w:leader="none" w:pos="2580" w:val="left"/>
          <w:tab w:leader="none" w:pos="7540"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48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4705" cy="548640"/>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06. Other Income</w:t>
      </w:r>
    </w:p>
    <w:p>
      <w:pPr>
        <w:spacing w:after="0" w:line="237"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3460" w:type="dxa"/>
            <w:vAlign w:val="bottom"/>
          </w:tcPr>
          <w:p>
            <w:pPr>
              <w:jc w:val="center"/>
              <w:ind w:right="1831"/>
              <w:spacing w:after="0"/>
              <w:rPr>
                <w:sz w:val="20"/>
                <w:szCs w:val="20"/>
                <w:color w:val="auto"/>
              </w:rPr>
            </w:pPr>
            <w:r>
              <w:rPr>
                <w:rFonts w:ascii="Arial" w:cs="Arial" w:eastAsia="Arial" w:hAnsi="Arial"/>
                <w:sz w:val="14"/>
                <w:szCs w:val="14"/>
                <w:b w:val="1"/>
                <w:bCs w:val="1"/>
                <w:color w:val="auto"/>
                <w:w w:val="98"/>
              </w:rPr>
              <w:t>Other Non-Core Income</w:t>
            </w:r>
          </w:p>
        </w:tc>
        <w:tc>
          <w:tcPr>
            <w:tcW w:w="3440" w:type="dxa"/>
            <w:vAlign w:val="bottom"/>
          </w:tcPr>
          <w:p>
            <w:pPr>
              <w:jc w:val="center"/>
              <w:ind w:left="1831"/>
              <w:spacing w:after="0"/>
              <w:rPr>
                <w:sz w:val="20"/>
                <w:szCs w:val="20"/>
                <w:color w:val="auto"/>
              </w:rPr>
            </w:pPr>
            <w:r>
              <w:rPr>
                <w:rFonts w:ascii="Arial" w:cs="Arial" w:eastAsia="Arial" w:hAnsi="Arial"/>
                <w:sz w:val="14"/>
                <w:szCs w:val="14"/>
                <w:b w:val="1"/>
                <w:bCs w:val="1"/>
                <w:color w:val="auto"/>
                <w:w w:val="97"/>
              </w:rPr>
              <w:t>Other Non-Core Income</w:t>
            </w:r>
          </w:p>
        </w:tc>
      </w:tr>
      <w:tr>
        <w:trPr>
          <w:trHeight w:val="156"/>
        </w:trPr>
        <w:tc>
          <w:tcPr>
            <w:tcW w:w="3460" w:type="dxa"/>
            <w:vAlign w:val="bottom"/>
          </w:tcPr>
          <w:p>
            <w:pPr>
              <w:jc w:val="center"/>
              <w:ind w:right="1871"/>
              <w:spacing w:after="0" w:line="156" w:lineRule="exact"/>
              <w:rPr>
                <w:sz w:val="20"/>
                <w:szCs w:val="20"/>
                <w:color w:val="auto"/>
              </w:rPr>
            </w:pPr>
            <w:r>
              <w:rPr>
                <w:rFonts w:ascii="Arial" w:cs="Arial" w:eastAsia="Arial" w:hAnsi="Arial"/>
                <w:sz w:val="14"/>
                <w:szCs w:val="14"/>
                <w:b w:val="1"/>
                <w:bCs w:val="1"/>
                <w:color w:val="auto"/>
                <w:w w:val="99"/>
              </w:rPr>
              <w:t>QoQ evolution</w:t>
            </w:r>
          </w:p>
        </w:tc>
        <w:tc>
          <w:tcPr>
            <w:tcW w:w="3440" w:type="dxa"/>
            <w:vAlign w:val="bottom"/>
          </w:tcPr>
          <w:p>
            <w:pPr>
              <w:jc w:val="center"/>
              <w:ind w:left="1831"/>
              <w:spacing w:after="0" w:line="156" w:lineRule="exact"/>
              <w:rPr>
                <w:sz w:val="20"/>
                <w:szCs w:val="20"/>
                <w:color w:val="auto"/>
              </w:rPr>
            </w:pPr>
            <w:r>
              <w:rPr>
                <w:rFonts w:ascii="Arial" w:cs="Arial" w:eastAsia="Arial" w:hAnsi="Arial"/>
                <w:sz w:val="14"/>
                <w:szCs w:val="14"/>
                <w:b w:val="1"/>
                <w:bCs w:val="1"/>
                <w:color w:val="auto"/>
                <w:w w:val="96"/>
              </w:rPr>
              <w:t>YoY evolution</w:t>
            </w:r>
          </w:p>
        </w:tc>
      </w:tr>
      <w:tr>
        <w:trPr>
          <w:trHeight w:val="180"/>
        </w:trPr>
        <w:tc>
          <w:tcPr>
            <w:tcW w:w="3460" w:type="dxa"/>
            <w:vAlign w:val="bottom"/>
          </w:tcPr>
          <w:p>
            <w:pPr>
              <w:jc w:val="center"/>
              <w:ind w:right="1831"/>
              <w:spacing w:after="0"/>
              <w:rPr>
                <w:sz w:val="20"/>
                <w:szCs w:val="20"/>
                <w:color w:val="auto"/>
              </w:rPr>
            </w:pPr>
            <w:r>
              <w:rPr>
                <w:rFonts w:ascii="Arial" w:cs="Arial" w:eastAsia="Arial" w:hAnsi="Arial"/>
                <w:sz w:val="14"/>
                <w:szCs w:val="14"/>
                <w:color w:val="auto"/>
                <w:w w:val="97"/>
              </w:rPr>
              <w:t>(Thousands of soles)</w:t>
            </w:r>
          </w:p>
        </w:tc>
        <w:tc>
          <w:tcPr>
            <w:tcW w:w="3440" w:type="dxa"/>
            <w:vAlign w:val="bottom"/>
          </w:tcPr>
          <w:p>
            <w:pPr>
              <w:jc w:val="center"/>
              <w:ind w:left="1851"/>
              <w:spacing w:after="0"/>
              <w:rPr>
                <w:sz w:val="20"/>
                <w:szCs w:val="20"/>
                <w:color w:val="auto"/>
              </w:rPr>
            </w:pPr>
            <w:r>
              <w:rPr>
                <w:rFonts w:ascii="Arial" w:cs="Arial" w:eastAsia="Arial" w:hAnsi="Arial"/>
                <w:sz w:val="14"/>
                <w:szCs w:val="14"/>
                <w:color w:val="auto"/>
                <w:w w:val="97"/>
              </w:rPr>
              <w:t>(Thousands of soles)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882650</wp:posOffset>
            </wp:positionH>
            <wp:positionV relativeFrom="paragraph">
              <wp:posOffset>89535</wp:posOffset>
            </wp:positionV>
            <wp:extent cx="1534795" cy="12020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534795" cy="1202055"/>
                    </a:xfrm>
                    <a:prstGeom prst="rect">
                      <a:avLst/>
                    </a:prstGeom>
                    <a:noFill/>
                  </pic:spPr>
                </pic:pic>
              </a:graphicData>
            </a:graphic>
          </wp:anchor>
        </w:drawing>
        <w:drawing>
          <wp:anchor simplePos="0" relativeHeight="251657728" behindDoc="1" locked="0" layoutInCell="0" allowOverlap="1">
            <wp:simplePos x="0" y="0"/>
            <wp:positionH relativeFrom="column">
              <wp:posOffset>4324985</wp:posOffset>
            </wp:positionH>
            <wp:positionV relativeFrom="paragraph">
              <wp:posOffset>89535</wp:posOffset>
            </wp:positionV>
            <wp:extent cx="1469390" cy="12541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69390" cy="1254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Other Non-Core Income</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YTD evolution</w:t>
      </w:r>
    </w:p>
    <w:p>
      <w:pPr>
        <w:ind w:left="4620"/>
        <w:spacing w:after="0"/>
        <w:rPr>
          <w:sz w:val="20"/>
          <w:szCs w:val="20"/>
          <w:color w:val="auto"/>
        </w:rPr>
      </w:pPr>
      <w:r>
        <w:rPr>
          <w:rFonts w:ascii="Arial" w:cs="Arial" w:eastAsia="Arial" w:hAnsi="Arial"/>
          <w:sz w:val="14"/>
          <w:szCs w:val="14"/>
          <w:color w:val="auto"/>
        </w:rPr>
        <w:t>(Thousands of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2535555</wp:posOffset>
            </wp:positionH>
            <wp:positionV relativeFrom="paragraph">
              <wp:posOffset>93980</wp:posOffset>
            </wp:positionV>
            <wp:extent cx="1600200" cy="11950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600200" cy="1195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spacing w:after="0"/>
        <w:rPr>
          <w:sz w:val="20"/>
          <w:szCs w:val="20"/>
          <w:color w:val="auto"/>
        </w:rPr>
      </w:pPr>
      <w:r>
        <w:rPr>
          <w:rFonts w:ascii="Arial" w:cs="Arial" w:eastAsia="Arial" w:hAnsi="Arial"/>
          <w:sz w:val="10"/>
          <w:szCs w:val="10"/>
          <w:color w:val="auto"/>
        </w:rPr>
        <w:t>(1) Others: includes Grupo Crédito, Credicorp Individual, eliminations and others.</w:t>
      </w:r>
    </w:p>
    <w:p>
      <w:pPr>
        <w:spacing w:after="0" w:line="140" w:lineRule="exact"/>
        <w:rPr>
          <w:sz w:val="20"/>
          <w:szCs w:val="20"/>
          <w:color w:val="auto"/>
        </w:rPr>
      </w:pPr>
    </w:p>
    <w:p>
      <w:pPr>
        <w:jc w:val="both"/>
        <w:spacing w:after="0" w:line="250" w:lineRule="auto"/>
        <w:rPr>
          <w:sz w:val="20"/>
          <w:szCs w:val="20"/>
          <w:color w:val="auto"/>
        </w:rPr>
      </w:pPr>
      <w:r>
        <w:rPr>
          <w:rFonts w:ascii="Arial" w:cs="Arial" w:eastAsia="Arial" w:hAnsi="Arial"/>
          <w:sz w:val="14"/>
          <w:szCs w:val="14"/>
          <w:b w:val="1"/>
          <w:bCs w:val="1"/>
          <w:color w:val="auto"/>
        </w:rPr>
        <w:t>QoQ</w:t>
      </w:r>
      <w:r>
        <w:rPr>
          <w:rFonts w:ascii="Arial" w:cs="Arial" w:eastAsia="Arial" w:hAnsi="Arial"/>
          <w:sz w:val="14"/>
          <w:szCs w:val="14"/>
          <w:color w:val="auto"/>
        </w:rPr>
        <w:t>,</w:t>
      </w:r>
      <w:r>
        <w:rPr>
          <w:rFonts w:ascii="Arial" w:cs="Arial" w:eastAsia="Arial" w:hAnsi="Arial"/>
          <w:sz w:val="14"/>
          <w:szCs w:val="14"/>
          <w:b w:val="1"/>
          <w:bCs w:val="1"/>
          <w:color w:val="auto"/>
        </w:rPr>
        <w:t xml:space="preserve"> Other Non-Core </w:t>
      </w:r>
      <w:r>
        <w:rPr>
          <w:rFonts w:ascii="Arial" w:cs="Arial" w:eastAsia="Arial" w:hAnsi="Arial"/>
          <w:sz w:val="14"/>
          <w:szCs w:val="14"/>
          <w:color w:val="auto"/>
        </w:rPr>
        <w:t>income increased. This evolution was mainly driven by growth in (i)</w:t>
      </w:r>
      <w:r>
        <w:rPr>
          <w:rFonts w:ascii="Arial" w:cs="Arial" w:eastAsia="Arial" w:hAnsi="Arial"/>
          <w:sz w:val="14"/>
          <w:szCs w:val="14"/>
          <w:b w:val="1"/>
          <w:bCs w:val="1"/>
          <w:color w:val="auto"/>
        </w:rPr>
        <w:t xml:space="preserve"> Other Income </w:t>
      </w:r>
      <w:r>
        <w:rPr>
          <w:rFonts w:ascii="Arial" w:cs="Arial" w:eastAsia="Arial" w:hAnsi="Arial"/>
          <w:sz w:val="14"/>
          <w:szCs w:val="14"/>
          <w:color w:val="auto"/>
        </w:rPr>
        <w:t>at</w:t>
      </w:r>
      <w:r>
        <w:rPr>
          <w:rFonts w:ascii="Arial" w:cs="Arial" w:eastAsia="Arial" w:hAnsi="Arial"/>
          <w:sz w:val="14"/>
          <w:szCs w:val="14"/>
          <w:b w:val="1"/>
          <w:bCs w:val="1"/>
          <w:color w:val="auto"/>
        </w:rPr>
        <w:t xml:space="preserve"> BCP Stand-</w:t>
      </w:r>
      <w:r>
        <w:rPr>
          <w:rFonts w:ascii="Arial" w:cs="Arial" w:eastAsia="Arial" w:hAnsi="Arial"/>
          <w:sz w:val="14"/>
          <w:szCs w:val="14"/>
          <w:color w:val="auto"/>
        </w:rPr>
        <w:t>alone, which was bolstered by a property sale, and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at </w:t>
      </w:r>
      <w:r>
        <w:rPr>
          <w:rFonts w:ascii="Arial" w:cs="Arial" w:eastAsia="Arial" w:hAnsi="Arial"/>
          <w:sz w:val="14"/>
          <w:szCs w:val="14"/>
          <w:b w:val="1"/>
          <w:bCs w:val="1"/>
          <w:color w:val="auto"/>
        </w:rPr>
        <w:t>Pacífico</w:t>
      </w:r>
      <w:r>
        <w:rPr>
          <w:rFonts w:ascii="Arial" w:cs="Arial" w:eastAsia="Arial" w:hAnsi="Arial"/>
          <w:sz w:val="14"/>
          <w:szCs w:val="14"/>
          <w:color w:val="auto"/>
        </w:rPr>
        <w:t xml:space="preserve">, due to a reversal of provisions to adjust to projected earnings; and (ii) growth in the </w:t>
      </w:r>
      <w:r>
        <w:rPr>
          <w:rFonts w:ascii="Arial" w:cs="Arial" w:eastAsia="Arial" w:hAnsi="Arial"/>
          <w:sz w:val="14"/>
          <w:szCs w:val="14"/>
          <w:b w:val="1"/>
          <w:bCs w:val="1"/>
          <w:color w:val="auto"/>
        </w:rPr>
        <w:t>Net gain on securities</w:t>
      </w:r>
      <w:r>
        <w:rPr>
          <w:rFonts w:ascii="Arial" w:cs="Arial" w:eastAsia="Arial" w:hAnsi="Arial"/>
          <w:sz w:val="14"/>
          <w:szCs w:val="14"/>
          <w:color w:val="auto"/>
        </w:rPr>
        <w:t xml:space="preserve">, which was fueled mainly by the revaluation of the trading portfolio at </w:t>
      </w:r>
      <w:r>
        <w:rPr>
          <w:rFonts w:ascii="Arial" w:cs="Arial" w:eastAsia="Arial" w:hAnsi="Arial"/>
          <w:sz w:val="14"/>
          <w:szCs w:val="14"/>
          <w:b w:val="1"/>
          <w:bCs w:val="1"/>
          <w:color w:val="auto"/>
        </w:rPr>
        <w:t>BCP Stand-alone</w:t>
      </w:r>
      <w:r>
        <w:rPr>
          <w:rFonts w:ascii="Arial" w:cs="Arial" w:eastAsia="Arial" w:hAnsi="Arial"/>
          <w:sz w:val="14"/>
          <w:szCs w:val="14"/>
          <w:color w:val="auto"/>
        </w:rPr>
        <w:t>.</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YoY, Other Non-Core Income </w:t>
      </w:r>
      <w:r>
        <w:rPr>
          <w:rFonts w:ascii="Arial" w:cs="Arial" w:eastAsia="Arial" w:hAnsi="Arial"/>
          <w:sz w:val="14"/>
          <w:szCs w:val="14"/>
          <w:color w:val="auto"/>
        </w:rPr>
        <w:t>rose, propelled mainly by growth through:</w:t>
      </w:r>
    </w:p>
    <w:p>
      <w:pPr>
        <w:spacing w:after="0" w:line="7" w:lineRule="exact"/>
        <w:rPr>
          <w:sz w:val="20"/>
          <w:szCs w:val="20"/>
          <w:color w:val="auto"/>
        </w:rPr>
      </w:pPr>
    </w:p>
    <w:p>
      <w:pPr>
        <w:ind w:left="500" w:hanging="251"/>
        <w:spacing w:after="0" w:line="230" w:lineRule="auto"/>
        <w:tabs>
          <w:tab w:leader="none" w:pos="544"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An increase in the </w:t>
      </w:r>
      <w:r>
        <w:rPr>
          <w:rFonts w:ascii="Arial" w:cs="Arial" w:eastAsia="Arial" w:hAnsi="Arial"/>
          <w:sz w:val="14"/>
          <w:szCs w:val="14"/>
          <w:b w:val="1"/>
          <w:bCs w:val="1"/>
          <w:color w:val="auto"/>
        </w:rPr>
        <w:t>Net gain on derivatives,</w:t>
      </w:r>
      <w:r>
        <w:rPr>
          <w:rFonts w:ascii="Arial" w:cs="Arial" w:eastAsia="Arial" w:hAnsi="Arial"/>
          <w:sz w:val="14"/>
          <w:szCs w:val="14"/>
          <w:color w:val="auto"/>
        </w:rPr>
        <w:t xml:space="preserve"> which reflects gains through trading strategies in Colombia and Chile at </w:t>
      </w:r>
      <w:r>
        <w:rPr>
          <w:rFonts w:ascii="Arial" w:cs="Arial" w:eastAsia="Arial" w:hAnsi="Arial"/>
          <w:sz w:val="14"/>
          <w:szCs w:val="14"/>
          <w:b w:val="1"/>
          <w:bCs w:val="1"/>
          <w:color w:val="auto"/>
        </w:rPr>
        <w:t>Credicorp Capital</w:t>
      </w:r>
      <w:r>
        <w:rPr>
          <w:rFonts w:ascii="Arial" w:cs="Arial" w:eastAsia="Arial" w:hAnsi="Arial"/>
          <w:sz w:val="14"/>
          <w:szCs w:val="14"/>
          <w:color w:val="auto"/>
        </w:rPr>
        <w:t xml:space="preserve">, and gains on currency hedging instruments at </w:t>
      </w:r>
      <w:r>
        <w:rPr>
          <w:rFonts w:ascii="Arial" w:cs="Arial" w:eastAsia="Arial" w:hAnsi="Arial"/>
          <w:sz w:val="14"/>
          <w:szCs w:val="14"/>
          <w:b w:val="1"/>
          <w:bCs w:val="1"/>
          <w:color w:val="auto"/>
        </w:rPr>
        <w:t>ASB,</w:t>
      </w:r>
      <w:r>
        <w:rPr>
          <w:rFonts w:ascii="Arial" w:cs="Arial" w:eastAsia="Arial" w:hAnsi="Arial"/>
          <w:sz w:val="14"/>
          <w:szCs w:val="14"/>
          <w:color w:val="auto"/>
        </w:rPr>
        <w:t xml:space="preserve"> which were partially offset by losses on its FC positions.</w:t>
      </w:r>
    </w:p>
    <w:p>
      <w:pPr>
        <w:ind w:left="480" w:hanging="231"/>
        <w:spacing w:after="0" w:line="230" w:lineRule="auto"/>
        <w:tabs>
          <w:tab w:leader="none" w:pos="4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Growth in the </w:t>
      </w:r>
      <w:r>
        <w:rPr>
          <w:rFonts w:ascii="Arial" w:cs="Arial" w:eastAsia="Arial" w:hAnsi="Arial"/>
          <w:sz w:val="14"/>
          <w:szCs w:val="14"/>
          <w:b w:val="1"/>
          <w:bCs w:val="1"/>
          <w:color w:val="auto"/>
        </w:rPr>
        <w:t>Net gain on securities,</w:t>
      </w:r>
      <w:r>
        <w:rPr>
          <w:rFonts w:ascii="Arial" w:cs="Arial" w:eastAsia="Arial" w:hAnsi="Arial"/>
          <w:sz w:val="14"/>
          <w:szCs w:val="14"/>
          <w:color w:val="auto"/>
        </w:rPr>
        <w:t xml:space="preserve"> which reflected the revaluation of the trading portfolio as the dynamics that drove performance at BCP Stand-alone QoQ.</w:t>
      </w:r>
    </w:p>
    <w:p>
      <w:pPr>
        <w:ind w:left="480" w:hanging="231"/>
        <w:spacing w:after="0"/>
        <w:tabs>
          <w:tab w:leader="none" w:pos="4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Extraordinary income at </w:t>
      </w:r>
      <w:r>
        <w:rPr>
          <w:rFonts w:ascii="Arial" w:cs="Arial" w:eastAsia="Arial" w:hAnsi="Arial"/>
          <w:sz w:val="14"/>
          <w:szCs w:val="14"/>
          <w:b w:val="1"/>
          <w:bCs w:val="1"/>
          <w:color w:val="auto"/>
        </w:rPr>
        <w:t>Pacífico</w:t>
      </w:r>
      <w:r>
        <w:rPr>
          <w:rFonts w:ascii="Arial" w:cs="Arial" w:eastAsia="Arial" w:hAnsi="Arial"/>
          <w:sz w:val="14"/>
          <w:szCs w:val="14"/>
          <w:color w:val="auto"/>
        </w:rPr>
        <w:t>, in line with the reversal of provisions to adjust to projected earnings.</w:t>
      </w:r>
    </w:p>
    <w:p>
      <w:pPr>
        <w:spacing w:after="0" w:line="134" w:lineRule="exact"/>
        <w:rPr>
          <w:sz w:val="20"/>
          <w:szCs w:val="20"/>
          <w:color w:val="auto"/>
        </w:rPr>
      </w:pPr>
    </w:p>
    <w:p>
      <w:pPr>
        <w:spacing w:after="0" w:line="270" w:lineRule="auto"/>
        <w:rPr>
          <w:sz w:val="20"/>
          <w:szCs w:val="20"/>
          <w:color w:val="auto"/>
        </w:rPr>
      </w:pPr>
      <w:r>
        <w:rPr>
          <w:rFonts w:ascii="Arial" w:cs="Arial" w:eastAsia="Arial" w:hAnsi="Arial"/>
          <w:sz w:val="14"/>
          <w:szCs w:val="14"/>
          <w:b w:val="1"/>
          <w:bCs w:val="1"/>
          <w:color w:val="auto"/>
        </w:rPr>
        <w:t xml:space="preserve">YTD, Other Non-Core Income </w:t>
      </w:r>
      <w:r>
        <w:rPr>
          <w:rFonts w:ascii="Arial" w:cs="Arial" w:eastAsia="Arial" w:hAnsi="Arial"/>
          <w:sz w:val="14"/>
          <w:szCs w:val="14"/>
          <w:color w:val="auto"/>
        </w:rPr>
        <w:t>rose, driven by the same dynamics seen YoY and by the increase in the</w:t>
      </w:r>
      <w:r>
        <w:rPr>
          <w:rFonts w:ascii="Arial" w:cs="Arial" w:eastAsia="Arial" w:hAnsi="Arial"/>
          <w:sz w:val="14"/>
          <w:szCs w:val="14"/>
          <w:b w:val="1"/>
          <w:bCs w:val="1"/>
          <w:color w:val="auto"/>
        </w:rPr>
        <w:t xml:space="preserve"> Net gain on derivatives </w:t>
      </w:r>
      <w:r>
        <w:rPr>
          <w:rFonts w:ascii="Arial" w:cs="Arial" w:eastAsia="Arial" w:hAnsi="Arial"/>
          <w:sz w:val="14"/>
          <w:szCs w:val="14"/>
          <w:color w:val="auto"/>
        </w:rPr>
        <w:t>and growth in the</w:t>
      </w:r>
      <w:r>
        <w:rPr>
          <w:rFonts w:ascii="Arial" w:cs="Arial" w:eastAsia="Arial" w:hAnsi="Arial"/>
          <w:sz w:val="14"/>
          <w:szCs w:val="14"/>
          <w:b w:val="1"/>
          <w:bCs w:val="1"/>
          <w:color w:val="auto"/>
        </w:rPr>
        <w:t xml:space="preserve"> Net gain on securities </w:t>
      </w:r>
      <w:r>
        <w:rPr>
          <w:rFonts w:ascii="Arial" w:cs="Arial" w:eastAsia="Arial" w:hAnsi="Arial"/>
          <w:sz w:val="14"/>
          <w:szCs w:val="14"/>
          <w:color w:val="auto"/>
        </w:rPr>
        <w:t xml:space="preserve">and </w:t>
      </w:r>
      <w:r>
        <w:rPr>
          <w:rFonts w:ascii="Arial" w:cs="Arial" w:eastAsia="Arial" w:hAnsi="Arial"/>
          <w:sz w:val="14"/>
          <w:szCs w:val="14"/>
          <w:b w:val="1"/>
          <w:bCs w:val="1"/>
          <w:color w:val="auto"/>
        </w:rPr>
        <w:t>Other income</w:t>
      </w:r>
      <w:r>
        <w:rPr>
          <w:rFonts w:ascii="Arial" w:cs="Arial" w:eastAsia="Arial" w:hAnsi="Arial"/>
          <w:sz w:val="14"/>
          <w:szCs w:val="14"/>
          <w:color w:val="auto"/>
        </w:rPr>
        <w:t xml:space="preserve"> in particular.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700405</wp:posOffset>
            </wp:positionV>
            <wp:extent cx="7164705" cy="133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171450</wp:posOffset>
            </wp:positionV>
            <wp:extent cx="1502410" cy="4438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5226050</wp:posOffset>
            </wp:positionH>
            <wp:positionV relativeFrom="paragraph">
              <wp:posOffset>314960</wp:posOffset>
            </wp:positionV>
            <wp:extent cx="1724025" cy="3003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724025" cy="300355"/>
                    </a:xfrm>
                    <a:prstGeom prst="rect">
                      <a:avLst/>
                    </a:prstGeom>
                    <a:noFill/>
                  </pic:spPr>
                </pic:pic>
              </a:graphicData>
            </a:graphic>
          </wp:anchor>
        </w:drawing>
      </w:r>
    </w:p>
    <w:p>
      <w:pPr>
        <w:sectPr>
          <w:pgSz w:w="11900" w:h="16838" w:orient="portrait"/>
          <w:cols w:equalWidth="0" w:num="1">
            <w:col w:w="10500"/>
          </w:cols>
          <w:pgMar w:left="640" w:top="287" w:right="759" w:bottom="1440" w:gutter="0" w:footer="0" w:header="0"/>
        </w:sectPr>
      </w:pPr>
    </w:p>
    <w:bookmarkStart w:id="37" w:name="page38"/>
    <w:bookmarkEnd w:id="37"/>
    <w:p>
      <w:pPr>
        <w:ind w:left="2265"/>
        <w:spacing w:after="0"/>
        <w:tabs>
          <w:tab w:leader="none" w:pos="2465" w:val="left"/>
          <w:tab w:leader="none" w:pos="7425"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3263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4705" cy="326390"/>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308" w:lineRule="exact"/>
        <w:rPr>
          <w:sz w:val="20"/>
          <w:szCs w:val="20"/>
          <w:color w:val="auto"/>
        </w:rPr>
      </w:pPr>
    </w:p>
    <w:p>
      <w:pPr>
        <w:ind w:left="5"/>
        <w:spacing w:after="0"/>
        <w:rPr>
          <w:sz w:val="20"/>
          <w:szCs w:val="20"/>
          <w:color w:val="auto"/>
        </w:rPr>
      </w:pPr>
      <w:r>
        <w:rPr>
          <w:rFonts w:ascii="Arial" w:cs="Arial" w:eastAsia="Arial" w:hAnsi="Arial"/>
          <w:sz w:val="40"/>
          <w:szCs w:val="40"/>
          <w:b w:val="1"/>
          <w:bCs w:val="1"/>
          <w:color w:val="E93BAC"/>
        </w:rPr>
        <w:t xml:space="preserve">07 </w:t>
      </w:r>
      <w:r>
        <w:rPr>
          <w:rFonts w:ascii="Arial" w:cs="Arial" w:eastAsia="Arial" w:hAnsi="Arial"/>
          <w:sz w:val="24"/>
          <w:szCs w:val="24"/>
          <w:color w:val="E93BAB"/>
        </w:rPr>
        <w:t>Insurance Underwriting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6597015" cy="7905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97015" cy="790575"/>
                    </a:xfrm>
                    <a:prstGeom prst="rect">
                      <a:avLst/>
                    </a:prstGeom>
                    <a:noFill/>
                  </pic:spPr>
                </pic:pic>
              </a:graphicData>
            </a:graphic>
          </wp:anchor>
        </w:drawing>
      </w:r>
    </w:p>
    <w:p>
      <w:pPr>
        <w:spacing w:after="0" w:line="236" w:lineRule="exact"/>
        <w:rPr>
          <w:sz w:val="20"/>
          <w:szCs w:val="20"/>
          <w:color w:val="auto"/>
        </w:rPr>
      </w:pPr>
    </w:p>
    <w:p>
      <w:pPr>
        <w:ind w:left="105" w:right="140"/>
        <w:spacing w:after="0" w:line="258" w:lineRule="auto"/>
        <w:rPr>
          <w:sz w:val="20"/>
          <w:szCs w:val="20"/>
          <w:color w:val="auto"/>
        </w:rPr>
      </w:pPr>
      <w:r>
        <w:rPr>
          <w:rFonts w:ascii="Arial" w:cs="Arial" w:eastAsia="Arial" w:hAnsi="Arial"/>
          <w:sz w:val="14"/>
          <w:szCs w:val="14"/>
          <w:color w:val="FFFFFF"/>
        </w:rPr>
        <w:t>QoQ, the Insurance Underwriting Result rose 13.1%. This evolution was driven primarily by an improvement in the Reinsurance Result, which was fueled mainly by P &amp; C. It is worth mentioning that the Life business contributed to the higher Insurance Underwriting Result, mainly through lower Insurance Services Expenses.</w:t>
      </w:r>
    </w:p>
    <w:p>
      <w:pPr>
        <w:spacing w:after="0" w:line="117" w:lineRule="exact"/>
        <w:rPr>
          <w:sz w:val="20"/>
          <w:szCs w:val="20"/>
          <w:color w:val="auto"/>
        </w:rPr>
      </w:pPr>
    </w:p>
    <w:p>
      <w:pPr>
        <w:ind w:left="105" w:right="620"/>
        <w:spacing w:after="0" w:line="258" w:lineRule="auto"/>
        <w:rPr>
          <w:sz w:val="20"/>
          <w:szCs w:val="20"/>
          <w:color w:val="auto"/>
        </w:rPr>
      </w:pPr>
      <w:r>
        <w:rPr>
          <w:rFonts w:ascii="Arial" w:cs="Arial" w:eastAsia="Arial" w:hAnsi="Arial"/>
          <w:sz w:val="14"/>
          <w:szCs w:val="14"/>
          <w:color w:val="FFFFFF"/>
        </w:rPr>
        <w:t>YoY, the Insurance Underwriting Result increased 6.4%, fueled mainly by a drop in Insurance Service Expenses, primarily via Disability and Survivorship, which experienced a decrease in survivorship claims.</w:t>
      </w:r>
    </w:p>
    <w:p>
      <w:pPr>
        <w:spacing w:after="0" w:line="117" w:lineRule="exact"/>
        <w:rPr>
          <w:sz w:val="20"/>
          <w:szCs w:val="20"/>
          <w:color w:val="auto"/>
        </w:rPr>
      </w:pPr>
    </w:p>
    <w:p>
      <w:pPr>
        <w:ind w:left="105"/>
        <w:spacing w:after="0"/>
        <w:rPr>
          <w:sz w:val="20"/>
          <w:szCs w:val="20"/>
          <w:color w:val="auto"/>
        </w:rPr>
      </w:pPr>
      <w:r>
        <w:rPr>
          <w:rFonts w:ascii="Arial" w:cs="Arial" w:eastAsia="Arial" w:hAnsi="Arial"/>
          <w:sz w:val="14"/>
          <w:szCs w:val="14"/>
          <w:color w:val="FFFFFF"/>
        </w:rPr>
        <w:t>YTD, the Insurance Underwriting Result was relatively stable (+0.3%)</w:t>
      </w:r>
    </w:p>
    <w:p>
      <w:pPr>
        <w:spacing w:after="0" w:line="223" w:lineRule="exact"/>
        <w:rPr>
          <w:sz w:val="20"/>
          <w:szCs w:val="20"/>
          <w:color w:val="auto"/>
        </w:rPr>
      </w:pPr>
    </w:p>
    <w:tbl>
      <w:tblPr>
        <w:tblLayout w:type="fixed"/>
        <w:tblInd w:w="15" w:type="dxa"/>
        <w:tblCellMar>
          <w:top w:w="0" w:type="dxa"/>
          <w:left w:w="0" w:type="dxa"/>
          <w:bottom w:w="0" w:type="dxa"/>
          <w:right w:w="0" w:type="dxa"/>
        </w:tblCellMar>
      </w:tblPr>
      <w:tr>
        <w:trPr>
          <w:trHeight w:val="99"/>
        </w:trPr>
        <w:tc>
          <w:tcPr>
            <w:tcW w:w="3740" w:type="dxa"/>
            <w:vAlign w:val="bottom"/>
            <w:tcBorders>
              <w:top w:val="single" w:sz="8" w:color="auto"/>
              <w:left w:val="single" w:sz="8" w:color="auto"/>
              <w:right w:val="single" w:sz="8" w:color="auto"/>
            </w:tcBorders>
            <w:gridSpan w:val="2"/>
            <w:shd w:val="clear" w:color="auto" w:fill="2AD2C9"/>
          </w:tcPr>
          <w:p>
            <w:pPr>
              <w:ind w:left="20"/>
              <w:spacing w:after="0" w:line="99" w:lineRule="exact"/>
              <w:rPr>
                <w:sz w:val="20"/>
                <w:szCs w:val="20"/>
                <w:color w:val="auto"/>
              </w:rPr>
            </w:pPr>
            <w:r>
              <w:rPr>
                <w:rFonts w:ascii="Arial" w:cs="Arial" w:eastAsia="Arial" w:hAnsi="Arial"/>
                <w:sz w:val="10"/>
                <w:szCs w:val="10"/>
                <w:b w:val="1"/>
                <w:bCs w:val="1"/>
                <w:color w:val="FFFFFF"/>
              </w:rPr>
              <w:t>Insurance Underwriting Results</w:t>
            </w:r>
          </w:p>
        </w:tc>
        <w:tc>
          <w:tcPr>
            <w:tcW w:w="840" w:type="dxa"/>
            <w:vAlign w:val="bottom"/>
            <w:tcBorders>
              <w:top w:val="single" w:sz="8" w:color="auto"/>
            </w:tcBorders>
            <w:vMerge w:val="restart"/>
            <w:shd w:val="clear" w:color="auto" w:fill="2AD2C9"/>
          </w:tcPr>
          <w:p>
            <w:pPr>
              <w:jc w:val="right"/>
              <w:ind w:right="293"/>
              <w:spacing w:after="0"/>
              <w:rPr>
                <w:sz w:val="20"/>
                <w:szCs w:val="20"/>
                <w:color w:val="auto"/>
              </w:rPr>
            </w:pPr>
            <w:r>
              <w:rPr>
                <w:rFonts w:ascii="Arial" w:cs="Arial" w:eastAsia="Arial" w:hAnsi="Arial"/>
                <w:sz w:val="10"/>
                <w:szCs w:val="10"/>
                <w:b w:val="1"/>
                <w:bCs w:val="1"/>
                <w:color w:val="FFFFFF"/>
              </w:rPr>
              <w:t>2Q23</w:t>
            </w:r>
          </w:p>
        </w:tc>
        <w:tc>
          <w:tcPr>
            <w:tcW w:w="840" w:type="dxa"/>
            <w:vAlign w:val="bottom"/>
            <w:tcBorders>
              <w:top w:val="single" w:sz="8" w:color="auto"/>
            </w:tcBorders>
            <w:shd w:val="clear" w:color="auto" w:fill="2AD2C9"/>
          </w:tcPr>
          <w:p>
            <w:pPr>
              <w:jc w:val="right"/>
              <w:ind w:right="273"/>
              <w:spacing w:after="0" w:line="99" w:lineRule="exact"/>
              <w:rPr>
                <w:sz w:val="20"/>
                <w:szCs w:val="20"/>
                <w:color w:val="auto"/>
              </w:rPr>
            </w:pPr>
            <w:r>
              <w:rPr>
                <w:rFonts w:ascii="Arial" w:cs="Arial" w:eastAsia="Arial" w:hAnsi="Arial"/>
                <w:sz w:val="10"/>
                <w:szCs w:val="10"/>
                <w:b w:val="1"/>
                <w:bCs w:val="1"/>
                <w:color w:val="FFFFFF"/>
              </w:rPr>
              <w:t>Quarterly</w:t>
            </w:r>
          </w:p>
        </w:tc>
        <w:tc>
          <w:tcPr>
            <w:tcW w:w="660" w:type="dxa"/>
            <w:vAlign w:val="bottom"/>
            <w:tcBorders>
              <w:top w:val="single" w:sz="8" w:color="auto"/>
              <w:right w:val="single" w:sz="8" w:color="auto"/>
            </w:tcBorders>
            <w:vMerge w:val="restart"/>
            <w:shd w:val="clear" w:color="auto" w:fill="2AD2C9"/>
          </w:tcPr>
          <w:p>
            <w:pPr>
              <w:jc w:val="right"/>
              <w:ind w:right="233"/>
              <w:spacing w:after="0"/>
              <w:rPr>
                <w:sz w:val="20"/>
                <w:szCs w:val="20"/>
                <w:color w:val="auto"/>
              </w:rPr>
            </w:pPr>
            <w:r>
              <w:rPr>
                <w:rFonts w:ascii="Arial" w:cs="Arial" w:eastAsia="Arial" w:hAnsi="Arial"/>
                <w:sz w:val="10"/>
                <w:szCs w:val="10"/>
                <w:b w:val="1"/>
                <w:bCs w:val="1"/>
                <w:color w:val="FFFFFF"/>
              </w:rPr>
              <w:t>2Q24</w:t>
            </w:r>
          </w:p>
        </w:tc>
        <w:tc>
          <w:tcPr>
            <w:tcW w:w="1580" w:type="dxa"/>
            <w:vAlign w:val="bottom"/>
            <w:tcBorders>
              <w:top w:val="single" w:sz="8" w:color="auto"/>
              <w:right w:val="single" w:sz="8" w:color="auto"/>
            </w:tcBorders>
            <w:gridSpan w:val="2"/>
            <w:shd w:val="clear" w:color="auto" w:fill="2AD2C9"/>
          </w:tcPr>
          <w:p>
            <w:pPr>
              <w:ind w:left="540"/>
              <w:spacing w:after="0" w:line="99" w:lineRule="exact"/>
              <w:rPr>
                <w:sz w:val="20"/>
                <w:szCs w:val="20"/>
                <w:color w:val="auto"/>
              </w:rPr>
            </w:pPr>
            <w:r>
              <w:rPr>
                <w:rFonts w:ascii="Arial" w:cs="Arial" w:eastAsia="Arial" w:hAnsi="Arial"/>
                <w:sz w:val="10"/>
                <w:szCs w:val="10"/>
                <w:b w:val="1"/>
                <w:bCs w:val="1"/>
                <w:color w:val="FFFFFF"/>
              </w:rPr>
              <w:t>% Change</w:t>
            </w:r>
          </w:p>
        </w:tc>
        <w:tc>
          <w:tcPr>
            <w:tcW w:w="980" w:type="dxa"/>
            <w:vAlign w:val="bottom"/>
            <w:tcBorders>
              <w:top w:val="single" w:sz="8" w:color="auto"/>
            </w:tcBorders>
            <w:shd w:val="clear" w:color="auto" w:fill="2AD2C9"/>
          </w:tcPr>
          <w:p>
            <w:pPr>
              <w:jc w:val="right"/>
              <w:ind w:right="33"/>
              <w:spacing w:after="0" w:line="99" w:lineRule="exact"/>
              <w:rPr>
                <w:sz w:val="20"/>
                <w:szCs w:val="20"/>
                <w:color w:val="auto"/>
              </w:rPr>
            </w:pPr>
            <w:r>
              <w:rPr>
                <w:rFonts w:ascii="Arial" w:cs="Arial" w:eastAsia="Arial" w:hAnsi="Arial"/>
                <w:sz w:val="10"/>
                <w:szCs w:val="10"/>
                <w:b w:val="1"/>
                <w:bCs w:val="1"/>
                <w:color w:val="FFFFFF"/>
              </w:rPr>
              <w:t>Up to</w:t>
            </w:r>
          </w:p>
        </w:tc>
        <w:tc>
          <w:tcPr>
            <w:tcW w:w="620" w:type="dxa"/>
            <w:vAlign w:val="bottom"/>
            <w:tcBorders>
              <w:top w:val="single" w:sz="8" w:color="auto"/>
              <w:right w:val="single" w:sz="8" w:color="auto"/>
            </w:tcBorders>
            <w:vMerge w:val="restart"/>
            <w:shd w:val="clear" w:color="auto" w:fill="2AD2C9"/>
          </w:tcPr>
          <w:p>
            <w:pPr>
              <w:jc w:val="right"/>
              <w:ind w:right="253"/>
              <w:spacing w:after="0"/>
              <w:rPr>
                <w:sz w:val="20"/>
                <w:szCs w:val="20"/>
                <w:color w:val="auto"/>
              </w:rPr>
            </w:pPr>
            <w:r>
              <w:rPr>
                <w:rFonts w:ascii="Arial" w:cs="Arial" w:eastAsia="Arial" w:hAnsi="Arial"/>
                <w:sz w:val="10"/>
                <w:szCs w:val="10"/>
                <w:b w:val="1"/>
                <w:bCs w:val="1"/>
                <w:color w:val="FFFFFF"/>
              </w:rPr>
              <w:t>1H24</w:t>
            </w:r>
          </w:p>
        </w:tc>
        <w:tc>
          <w:tcPr>
            <w:tcW w:w="1120" w:type="dxa"/>
            <w:vAlign w:val="bottom"/>
            <w:tcBorders>
              <w:top w:val="single" w:sz="8" w:color="auto"/>
              <w:right w:val="single" w:sz="8" w:color="auto"/>
            </w:tcBorders>
            <w:shd w:val="clear" w:color="auto" w:fill="2AD2C9"/>
          </w:tcPr>
          <w:p>
            <w:pPr>
              <w:ind w:left="320"/>
              <w:spacing w:after="0" w:line="99" w:lineRule="exact"/>
              <w:rPr>
                <w:sz w:val="20"/>
                <w:szCs w:val="20"/>
                <w:color w:val="auto"/>
              </w:rPr>
            </w:pPr>
            <w:r>
              <w:rPr>
                <w:rFonts w:ascii="Arial" w:cs="Arial" w:eastAsia="Arial" w:hAnsi="Arial"/>
                <w:sz w:val="10"/>
                <w:szCs w:val="10"/>
                <w:b w:val="1"/>
                <w:bCs w:val="1"/>
                <w:color w:val="FFFFFF"/>
              </w:rPr>
              <w:t>% change</w:t>
            </w:r>
          </w:p>
        </w:tc>
        <w:tc>
          <w:tcPr>
            <w:tcW w:w="0" w:type="dxa"/>
            <w:vAlign w:val="bottom"/>
          </w:tcPr>
          <w:p>
            <w:pPr>
              <w:spacing w:after="0"/>
              <w:rPr>
                <w:sz w:val="1"/>
                <w:szCs w:val="1"/>
                <w:color w:val="auto"/>
              </w:rPr>
            </w:pPr>
          </w:p>
        </w:tc>
      </w:tr>
      <w:tr>
        <w:trPr>
          <w:trHeight w:val="117"/>
        </w:trPr>
        <w:tc>
          <w:tcPr>
            <w:tcW w:w="900" w:type="dxa"/>
            <w:vAlign w:val="bottom"/>
            <w:tcBorders>
              <w:left w:val="single" w:sz="8" w:color="auto"/>
              <w:bottom w:val="single" w:sz="8" w:color="auto"/>
              <w:right w:val="single" w:sz="8" w:color="2AD2C9"/>
            </w:tcBorders>
            <w:shd w:val="clear" w:color="auto" w:fill="2AD2C9"/>
          </w:tcPr>
          <w:p>
            <w:pPr>
              <w:ind w:left="20"/>
              <w:spacing w:after="0"/>
              <w:rPr>
                <w:sz w:val="20"/>
                <w:szCs w:val="20"/>
                <w:color w:val="auto"/>
              </w:rPr>
            </w:pPr>
            <w:r>
              <w:rPr>
                <w:rFonts w:ascii="Arial" w:cs="Arial" w:eastAsia="Arial" w:hAnsi="Arial"/>
                <w:sz w:val="10"/>
                <w:szCs w:val="10"/>
                <w:b w:val="1"/>
                <w:bCs w:val="1"/>
                <w:color w:val="FFFFFF"/>
              </w:rPr>
              <w:t>S/ 000</w:t>
            </w:r>
          </w:p>
        </w:tc>
        <w:tc>
          <w:tcPr>
            <w:tcW w:w="2840" w:type="dxa"/>
            <w:vAlign w:val="bottom"/>
            <w:tcBorders>
              <w:bottom w:val="single" w:sz="8" w:color="auto"/>
              <w:right w:val="single" w:sz="8" w:color="auto"/>
            </w:tcBorders>
            <w:shd w:val="clear" w:color="auto" w:fill="2AD2C9"/>
          </w:tcPr>
          <w:p>
            <w:pPr>
              <w:spacing w:after="0"/>
              <w:rPr>
                <w:sz w:val="10"/>
                <w:szCs w:val="10"/>
                <w:color w:val="auto"/>
              </w:rPr>
            </w:pPr>
          </w:p>
        </w:tc>
        <w:tc>
          <w:tcPr>
            <w:tcW w:w="840" w:type="dxa"/>
            <w:vAlign w:val="bottom"/>
            <w:tcBorders>
              <w:bottom w:val="single" w:sz="8" w:color="auto"/>
            </w:tcBorders>
            <w:vMerge w:val="continue"/>
            <w:shd w:val="clear" w:color="auto" w:fill="2AD2C9"/>
          </w:tcPr>
          <w:p>
            <w:pPr>
              <w:spacing w:after="0"/>
              <w:rPr>
                <w:sz w:val="10"/>
                <w:szCs w:val="10"/>
                <w:color w:val="auto"/>
              </w:rPr>
            </w:pPr>
          </w:p>
        </w:tc>
        <w:tc>
          <w:tcPr>
            <w:tcW w:w="840" w:type="dxa"/>
            <w:vAlign w:val="bottom"/>
            <w:tcBorders>
              <w:bottom w:val="single" w:sz="8" w:color="auto"/>
            </w:tcBorders>
            <w:shd w:val="clear" w:color="auto" w:fill="2AD2C9"/>
          </w:tcPr>
          <w:p>
            <w:pPr>
              <w:jc w:val="right"/>
              <w:ind w:right="373"/>
              <w:spacing w:after="0"/>
              <w:rPr>
                <w:sz w:val="20"/>
                <w:szCs w:val="20"/>
                <w:color w:val="auto"/>
              </w:rPr>
            </w:pPr>
            <w:r>
              <w:rPr>
                <w:rFonts w:ascii="Arial" w:cs="Arial" w:eastAsia="Arial" w:hAnsi="Arial"/>
                <w:sz w:val="10"/>
                <w:szCs w:val="10"/>
                <w:b w:val="1"/>
                <w:bCs w:val="1"/>
                <w:color w:val="FFFFFF"/>
              </w:rPr>
              <w:t>1Q24</w:t>
            </w:r>
          </w:p>
        </w:tc>
        <w:tc>
          <w:tcPr>
            <w:tcW w:w="660" w:type="dxa"/>
            <w:vAlign w:val="bottom"/>
            <w:tcBorders>
              <w:bottom w:val="single" w:sz="8" w:color="auto"/>
              <w:right w:val="single" w:sz="8" w:color="auto"/>
            </w:tcBorders>
            <w:vMerge w:val="continue"/>
            <w:shd w:val="clear" w:color="auto" w:fill="2AD2C9"/>
          </w:tcPr>
          <w:p>
            <w:pPr>
              <w:spacing w:after="0"/>
              <w:rPr>
                <w:sz w:val="10"/>
                <w:szCs w:val="10"/>
                <w:color w:val="auto"/>
              </w:rPr>
            </w:pPr>
          </w:p>
        </w:tc>
        <w:tc>
          <w:tcPr>
            <w:tcW w:w="780" w:type="dxa"/>
            <w:vAlign w:val="bottom"/>
            <w:tcBorders>
              <w:bottom w:val="single" w:sz="8" w:color="auto"/>
            </w:tcBorders>
            <w:shd w:val="clear" w:color="auto" w:fill="2AD2C9"/>
          </w:tcPr>
          <w:p>
            <w:pPr>
              <w:ind w:left="280"/>
              <w:spacing w:after="0"/>
              <w:rPr>
                <w:sz w:val="20"/>
                <w:szCs w:val="20"/>
                <w:color w:val="auto"/>
              </w:rPr>
            </w:pPr>
            <w:r>
              <w:rPr>
                <w:rFonts w:ascii="Arial" w:cs="Arial" w:eastAsia="Arial" w:hAnsi="Arial"/>
                <w:sz w:val="10"/>
                <w:szCs w:val="10"/>
                <w:b w:val="1"/>
                <w:bCs w:val="1"/>
                <w:color w:val="FFFFFF"/>
              </w:rPr>
              <w:t>QoQ</w:t>
            </w:r>
          </w:p>
        </w:tc>
        <w:tc>
          <w:tcPr>
            <w:tcW w:w="800" w:type="dxa"/>
            <w:vAlign w:val="bottom"/>
            <w:tcBorders>
              <w:bottom w:val="single" w:sz="8" w:color="auto"/>
              <w:right w:val="single" w:sz="8" w:color="auto"/>
            </w:tcBorders>
            <w:shd w:val="clear" w:color="auto" w:fill="2AD2C9"/>
          </w:tcPr>
          <w:p>
            <w:pPr>
              <w:ind w:left="300"/>
              <w:spacing w:after="0"/>
              <w:rPr>
                <w:sz w:val="20"/>
                <w:szCs w:val="20"/>
                <w:color w:val="auto"/>
              </w:rPr>
            </w:pPr>
            <w:r>
              <w:rPr>
                <w:rFonts w:ascii="Arial" w:cs="Arial" w:eastAsia="Arial" w:hAnsi="Arial"/>
                <w:sz w:val="10"/>
                <w:szCs w:val="10"/>
                <w:b w:val="1"/>
                <w:bCs w:val="1"/>
                <w:color w:val="FFFFFF"/>
              </w:rPr>
              <w:t>YoY</w:t>
            </w:r>
          </w:p>
        </w:tc>
        <w:tc>
          <w:tcPr>
            <w:tcW w:w="980" w:type="dxa"/>
            <w:vAlign w:val="bottom"/>
            <w:tcBorders>
              <w:bottom w:val="single" w:sz="8" w:color="auto"/>
            </w:tcBorders>
            <w:shd w:val="clear" w:color="auto" w:fill="2AD2C9"/>
          </w:tcPr>
          <w:p>
            <w:pPr>
              <w:jc w:val="right"/>
              <w:ind w:right="433"/>
              <w:spacing w:after="0"/>
              <w:rPr>
                <w:sz w:val="20"/>
                <w:szCs w:val="20"/>
                <w:color w:val="auto"/>
              </w:rPr>
            </w:pPr>
            <w:r>
              <w:rPr>
                <w:rFonts w:ascii="Arial" w:cs="Arial" w:eastAsia="Arial" w:hAnsi="Arial"/>
                <w:sz w:val="10"/>
                <w:szCs w:val="10"/>
                <w:b w:val="1"/>
                <w:bCs w:val="1"/>
                <w:color w:val="FFFFFF"/>
              </w:rPr>
              <w:t>1H23</w:t>
            </w:r>
          </w:p>
        </w:tc>
        <w:tc>
          <w:tcPr>
            <w:tcW w:w="620" w:type="dxa"/>
            <w:vAlign w:val="bottom"/>
            <w:tcBorders>
              <w:bottom w:val="single" w:sz="8" w:color="auto"/>
              <w:right w:val="single" w:sz="8" w:color="auto"/>
            </w:tcBorders>
            <w:vMerge w:val="continue"/>
            <w:shd w:val="clear" w:color="auto" w:fill="2AD2C9"/>
          </w:tcPr>
          <w:p>
            <w:pPr>
              <w:spacing w:after="0"/>
              <w:rPr>
                <w:sz w:val="10"/>
                <w:szCs w:val="10"/>
                <w:color w:val="auto"/>
              </w:rPr>
            </w:pPr>
          </w:p>
        </w:tc>
        <w:tc>
          <w:tcPr>
            <w:tcW w:w="11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6"/>
              </w:rPr>
              <w:t>1H24 / 1H23</w:t>
            </w:r>
          </w:p>
        </w:tc>
        <w:tc>
          <w:tcPr>
            <w:tcW w:w="0" w:type="dxa"/>
            <w:vAlign w:val="bottom"/>
          </w:tcPr>
          <w:p>
            <w:pPr>
              <w:spacing w:after="0"/>
              <w:rPr>
                <w:sz w:val="1"/>
                <w:szCs w:val="1"/>
                <w:color w:val="auto"/>
              </w:rPr>
            </w:pPr>
          </w:p>
        </w:tc>
      </w:tr>
      <w:tr>
        <w:trPr>
          <w:trHeight w:val="81"/>
        </w:trPr>
        <w:tc>
          <w:tcPr>
            <w:tcW w:w="900" w:type="dxa"/>
            <w:vAlign w:val="bottom"/>
            <w:tcBorders>
              <w:left w:val="single" w:sz="8" w:color="auto"/>
              <w:right w:val="single" w:sz="8" w:color="auto"/>
            </w:tcBorders>
          </w:tcPr>
          <w:p>
            <w:pPr>
              <w:spacing w:after="0"/>
              <w:rPr>
                <w:sz w:val="7"/>
                <w:szCs w:val="7"/>
                <w:color w:val="auto"/>
              </w:rPr>
            </w:pPr>
          </w:p>
        </w:tc>
        <w:tc>
          <w:tcPr>
            <w:tcW w:w="2840" w:type="dxa"/>
            <w:vAlign w:val="bottom"/>
            <w:tcBorders>
              <w:right w:val="single" w:sz="8" w:color="auto"/>
            </w:tcBorders>
          </w:tcPr>
          <w:p>
            <w:pPr>
              <w:ind w:left="20"/>
              <w:spacing w:after="0" w:line="81" w:lineRule="exact"/>
              <w:rPr>
                <w:sz w:val="20"/>
                <w:szCs w:val="20"/>
                <w:color w:val="auto"/>
              </w:rPr>
            </w:pPr>
            <w:r>
              <w:rPr>
                <w:rFonts w:ascii="Arial" w:cs="Arial" w:eastAsia="Arial" w:hAnsi="Arial"/>
                <w:sz w:val="8"/>
                <w:szCs w:val="8"/>
                <w:color w:val="auto"/>
              </w:rPr>
              <w:t>Income from Insurance Services</w:t>
            </w:r>
          </w:p>
        </w:tc>
        <w:tc>
          <w:tcPr>
            <w:tcW w:w="840" w:type="dxa"/>
            <w:vAlign w:val="bottom"/>
          </w:tcPr>
          <w:p>
            <w:pPr>
              <w:jc w:val="right"/>
              <w:ind w:right="53"/>
              <w:spacing w:after="0" w:line="81" w:lineRule="exact"/>
              <w:rPr>
                <w:sz w:val="20"/>
                <w:szCs w:val="20"/>
                <w:color w:val="auto"/>
              </w:rPr>
            </w:pPr>
            <w:r>
              <w:rPr>
                <w:rFonts w:ascii="Arial" w:cs="Arial" w:eastAsia="Arial" w:hAnsi="Arial"/>
                <w:sz w:val="8"/>
                <w:szCs w:val="8"/>
                <w:color w:val="auto"/>
              </w:rPr>
              <w:t>945.9</w:t>
            </w:r>
          </w:p>
        </w:tc>
        <w:tc>
          <w:tcPr>
            <w:tcW w:w="840" w:type="dxa"/>
            <w:vAlign w:val="bottom"/>
          </w:tcPr>
          <w:p>
            <w:pPr>
              <w:jc w:val="right"/>
              <w:ind w:right="113"/>
              <w:spacing w:after="0" w:line="81" w:lineRule="exact"/>
              <w:rPr>
                <w:sz w:val="20"/>
                <w:szCs w:val="20"/>
                <w:color w:val="auto"/>
              </w:rPr>
            </w:pPr>
            <w:r>
              <w:rPr>
                <w:rFonts w:ascii="Arial" w:cs="Arial" w:eastAsia="Arial" w:hAnsi="Arial"/>
                <w:sz w:val="8"/>
                <w:szCs w:val="8"/>
                <w:color w:val="auto"/>
              </w:rPr>
              <w:t>937.9</w:t>
            </w:r>
          </w:p>
        </w:tc>
        <w:tc>
          <w:tcPr>
            <w:tcW w:w="660" w:type="dxa"/>
            <w:vAlign w:val="bottom"/>
            <w:tcBorders>
              <w:right w:val="single" w:sz="8" w:color="auto"/>
            </w:tcBorders>
          </w:tcPr>
          <w:p>
            <w:pPr>
              <w:jc w:val="right"/>
              <w:spacing w:after="0" w:line="81" w:lineRule="exact"/>
              <w:rPr>
                <w:sz w:val="20"/>
                <w:szCs w:val="20"/>
                <w:color w:val="auto"/>
              </w:rPr>
            </w:pPr>
            <w:r>
              <w:rPr>
                <w:rFonts w:ascii="Arial" w:cs="Arial" w:eastAsia="Arial" w:hAnsi="Arial"/>
                <w:sz w:val="8"/>
                <w:szCs w:val="8"/>
                <w:color w:val="auto"/>
              </w:rPr>
              <w:t>909.1</w:t>
            </w:r>
          </w:p>
        </w:tc>
        <w:tc>
          <w:tcPr>
            <w:tcW w:w="780" w:type="dxa"/>
            <w:vAlign w:val="bottom"/>
          </w:tcPr>
          <w:p>
            <w:pPr>
              <w:jc w:val="center"/>
              <w:spacing w:after="0" w:line="81" w:lineRule="exact"/>
              <w:rPr>
                <w:sz w:val="20"/>
                <w:szCs w:val="20"/>
                <w:color w:val="auto"/>
              </w:rPr>
            </w:pPr>
            <w:r>
              <w:rPr>
                <w:rFonts w:ascii="Arial" w:cs="Arial" w:eastAsia="Arial" w:hAnsi="Arial"/>
                <w:sz w:val="8"/>
                <w:szCs w:val="8"/>
                <w:color w:val="auto"/>
              </w:rPr>
              <w:t>-3.1%</w:t>
            </w:r>
          </w:p>
        </w:tc>
        <w:tc>
          <w:tcPr>
            <w:tcW w:w="80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-3.9%</w:t>
            </w:r>
          </w:p>
        </w:tc>
        <w:tc>
          <w:tcPr>
            <w:tcW w:w="980" w:type="dxa"/>
            <w:vAlign w:val="bottom"/>
          </w:tcPr>
          <w:p>
            <w:pPr>
              <w:jc w:val="right"/>
              <w:ind w:right="173"/>
              <w:spacing w:after="0" w:line="81" w:lineRule="exact"/>
              <w:rPr>
                <w:sz w:val="20"/>
                <w:szCs w:val="20"/>
                <w:color w:val="auto"/>
              </w:rPr>
            </w:pPr>
            <w:r>
              <w:rPr>
                <w:rFonts w:ascii="Arial" w:cs="Arial" w:eastAsia="Arial" w:hAnsi="Arial"/>
                <w:sz w:val="8"/>
                <w:szCs w:val="8"/>
                <w:color w:val="auto"/>
              </w:rPr>
              <w:t>1899.8</w:t>
            </w:r>
          </w:p>
        </w:tc>
        <w:tc>
          <w:tcPr>
            <w:tcW w:w="620" w:type="dxa"/>
            <w:vAlign w:val="bottom"/>
            <w:tcBorders>
              <w:right w:val="single" w:sz="8" w:color="auto"/>
            </w:tcBorders>
          </w:tcPr>
          <w:p>
            <w:pPr>
              <w:jc w:val="right"/>
              <w:spacing w:after="0" w:line="81" w:lineRule="exact"/>
              <w:rPr>
                <w:sz w:val="20"/>
                <w:szCs w:val="20"/>
                <w:color w:val="auto"/>
              </w:rPr>
            </w:pPr>
            <w:r>
              <w:rPr>
                <w:rFonts w:ascii="Arial" w:cs="Arial" w:eastAsia="Arial" w:hAnsi="Arial"/>
                <w:sz w:val="8"/>
                <w:szCs w:val="8"/>
                <w:color w:val="auto"/>
              </w:rPr>
              <w:t>1847.1</w:t>
            </w:r>
          </w:p>
        </w:tc>
        <w:tc>
          <w:tcPr>
            <w:tcW w:w="112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-2.8%</w:t>
            </w:r>
          </w:p>
        </w:tc>
        <w:tc>
          <w:tcPr>
            <w:tcW w:w="0" w:type="dxa"/>
            <w:vAlign w:val="bottom"/>
          </w:tcPr>
          <w:p>
            <w:pPr>
              <w:spacing w:after="0"/>
              <w:rPr>
                <w:sz w:val="1"/>
                <w:szCs w:val="1"/>
                <w:color w:val="auto"/>
              </w:rPr>
            </w:pPr>
          </w:p>
        </w:tc>
      </w:tr>
      <w:tr>
        <w:trPr>
          <w:trHeight w:val="103"/>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0"/>
                <w:szCs w:val="10"/>
                <w:color w:val="auto"/>
                <w:w w:val="89"/>
              </w:rPr>
              <w:t>Total</w:t>
            </w:r>
          </w:p>
        </w:tc>
        <w:tc>
          <w:tcPr>
            <w:tcW w:w="2840" w:type="dxa"/>
            <w:vAlign w:val="bottom"/>
            <w:tcBorders>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Expenses for Insurance Services</w:t>
            </w:r>
          </w:p>
        </w:tc>
        <w:tc>
          <w:tcPr>
            <w:tcW w:w="840" w:type="dxa"/>
            <w:vAlign w:val="bottom"/>
          </w:tcPr>
          <w:p>
            <w:pPr>
              <w:jc w:val="right"/>
              <w:ind w:right="53"/>
              <w:spacing w:after="0" w:line="103" w:lineRule="exact"/>
              <w:rPr>
                <w:sz w:val="20"/>
                <w:szCs w:val="20"/>
                <w:color w:val="auto"/>
              </w:rPr>
            </w:pPr>
            <w:r>
              <w:rPr>
                <w:rFonts w:ascii="Arial" w:cs="Arial" w:eastAsia="Arial" w:hAnsi="Arial"/>
                <w:sz w:val="10"/>
                <w:szCs w:val="10"/>
                <w:color w:val="auto"/>
              </w:rPr>
              <w:t>(550.4)</w:t>
            </w:r>
          </w:p>
        </w:tc>
        <w:tc>
          <w:tcPr>
            <w:tcW w:w="840" w:type="dxa"/>
            <w:vAlign w:val="bottom"/>
          </w:tcPr>
          <w:p>
            <w:pPr>
              <w:jc w:val="right"/>
              <w:ind w:right="113"/>
              <w:spacing w:after="0" w:line="103" w:lineRule="exact"/>
              <w:rPr>
                <w:sz w:val="20"/>
                <w:szCs w:val="20"/>
                <w:color w:val="auto"/>
              </w:rPr>
            </w:pPr>
            <w:r>
              <w:rPr>
                <w:rFonts w:ascii="Arial" w:cs="Arial" w:eastAsia="Arial" w:hAnsi="Arial"/>
                <w:sz w:val="10"/>
                <w:szCs w:val="10"/>
                <w:color w:val="auto"/>
              </w:rPr>
              <w:t>(476.2)</w:t>
            </w:r>
          </w:p>
        </w:tc>
        <w:tc>
          <w:tcPr>
            <w:tcW w:w="660" w:type="dxa"/>
            <w:vAlign w:val="bottom"/>
            <w:tcBorders>
              <w:right w:val="single" w:sz="8" w:color="auto"/>
            </w:tcBorders>
          </w:tcPr>
          <w:p>
            <w:pPr>
              <w:jc w:val="right"/>
              <w:spacing w:after="0" w:line="103" w:lineRule="exact"/>
              <w:rPr>
                <w:sz w:val="20"/>
                <w:szCs w:val="20"/>
                <w:color w:val="auto"/>
              </w:rPr>
            </w:pPr>
            <w:r>
              <w:rPr>
                <w:rFonts w:ascii="Arial" w:cs="Arial" w:eastAsia="Arial" w:hAnsi="Arial"/>
                <w:sz w:val="10"/>
                <w:szCs w:val="10"/>
                <w:color w:val="auto"/>
              </w:rPr>
              <w:t>(496.1)</w:t>
            </w:r>
          </w:p>
        </w:tc>
        <w:tc>
          <w:tcPr>
            <w:tcW w:w="780" w:type="dxa"/>
            <w:vAlign w:val="bottom"/>
          </w:tcPr>
          <w:p>
            <w:pPr>
              <w:jc w:val="center"/>
              <w:spacing w:after="0" w:line="103" w:lineRule="exact"/>
              <w:rPr>
                <w:sz w:val="20"/>
                <w:szCs w:val="20"/>
                <w:color w:val="auto"/>
              </w:rPr>
            </w:pPr>
            <w:r>
              <w:rPr>
                <w:rFonts w:ascii="Arial" w:cs="Arial" w:eastAsia="Arial" w:hAnsi="Arial"/>
                <w:sz w:val="10"/>
                <w:szCs w:val="10"/>
                <w:color w:val="auto"/>
                <w:w w:val="96"/>
              </w:rPr>
              <w:t>4.2%</w:t>
            </w:r>
          </w:p>
        </w:tc>
        <w:tc>
          <w:tcPr>
            <w:tcW w:w="8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9"/>
              </w:rPr>
              <w:t>-9.9%</w:t>
            </w:r>
          </w:p>
        </w:tc>
        <w:tc>
          <w:tcPr>
            <w:tcW w:w="980" w:type="dxa"/>
            <w:vAlign w:val="bottom"/>
          </w:tcPr>
          <w:p>
            <w:pPr>
              <w:jc w:val="right"/>
              <w:ind w:right="173"/>
              <w:spacing w:after="0" w:line="103" w:lineRule="exact"/>
              <w:rPr>
                <w:sz w:val="20"/>
                <w:szCs w:val="20"/>
                <w:color w:val="auto"/>
              </w:rPr>
            </w:pPr>
            <w:r>
              <w:rPr>
                <w:rFonts w:ascii="Arial" w:cs="Arial" w:eastAsia="Arial" w:hAnsi="Arial"/>
                <w:sz w:val="10"/>
                <w:szCs w:val="10"/>
                <w:color w:val="auto"/>
              </w:rPr>
              <w:t>-1095.6</w:t>
            </w:r>
          </w:p>
        </w:tc>
        <w:tc>
          <w:tcPr>
            <w:tcW w:w="620" w:type="dxa"/>
            <w:vAlign w:val="bottom"/>
            <w:tcBorders>
              <w:right w:val="single" w:sz="8" w:color="auto"/>
            </w:tcBorders>
          </w:tcPr>
          <w:p>
            <w:pPr>
              <w:jc w:val="right"/>
              <w:spacing w:after="0" w:line="103" w:lineRule="exact"/>
              <w:rPr>
                <w:sz w:val="20"/>
                <w:szCs w:val="20"/>
                <w:color w:val="auto"/>
              </w:rPr>
            </w:pPr>
            <w:r>
              <w:rPr>
                <w:rFonts w:ascii="Arial" w:cs="Arial" w:eastAsia="Arial" w:hAnsi="Arial"/>
                <w:sz w:val="10"/>
                <w:szCs w:val="10"/>
                <w:color w:val="auto"/>
              </w:rPr>
              <w:t>-972.3</w:t>
            </w:r>
          </w:p>
        </w:tc>
        <w:tc>
          <w:tcPr>
            <w:tcW w:w="11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-11.3%</w:t>
            </w:r>
          </w:p>
        </w:tc>
        <w:tc>
          <w:tcPr>
            <w:tcW w:w="0" w:type="dxa"/>
            <w:vAlign w:val="bottom"/>
          </w:tcPr>
          <w:p>
            <w:pPr>
              <w:spacing w:after="0"/>
              <w:rPr>
                <w:sz w:val="1"/>
                <w:szCs w:val="1"/>
                <w:color w:val="auto"/>
              </w:rPr>
            </w:pPr>
          </w:p>
        </w:tc>
      </w:tr>
      <w:tr>
        <w:trPr>
          <w:trHeight w:val="73"/>
        </w:trPr>
        <w:tc>
          <w:tcPr>
            <w:tcW w:w="900" w:type="dxa"/>
            <w:vAlign w:val="bottom"/>
            <w:tcBorders>
              <w:left w:val="single" w:sz="8" w:color="auto"/>
              <w:right w:val="single" w:sz="8" w:color="auto"/>
            </w:tcBorders>
            <w:vMerge w:val="continue"/>
          </w:tcPr>
          <w:p>
            <w:pPr>
              <w:spacing w:after="0"/>
              <w:rPr>
                <w:sz w:val="6"/>
                <w:szCs w:val="6"/>
                <w:color w:val="auto"/>
              </w:rPr>
            </w:pPr>
          </w:p>
        </w:tc>
        <w:tc>
          <w:tcPr>
            <w:tcW w:w="2840" w:type="dxa"/>
            <w:vAlign w:val="bottom"/>
            <w:tcBorders>
              <w:right w:val="single" w:sz="8" w:color="auto"/>
            </w:tcBorders>
            <w:vMerge w:val="restart"/>
          </w:tcPr>
          <w:p>
            <w:pPr>
              <w:ind w:left="20"/>
              <w:spacing w:after="0" w:line="101" w:lineRule="exact"/>
              <w:rPr>
                <w:sz w:val="20"/>
                <w:szCs w:val="20"/>
                <w:color w:val="auto"/>
              </w:rPr>
            </w:pPr>
            <w:r>
              <w:rPr>
                <w:rFonts w:ascii="Arial" w:cs="Arial" w:eastAsia="Arial" w:hAnsi="Arial"/>
                <w:sz w:val="10"/>
                <w:szCs w:val="10"/>
                <w:color w:val="auto"/>
              </w:rPr>
              <w:t>Reinsurance Results</w:t>
            </w:r>
          </w:p>
        </w:tc>
        <w:tc>
          <w:tcPr>
            <w:tcW w:w="840" w:type="dxa"/>
            <w:vAlign w:val="bottom"/>
            <w:vMerge w:val="restart"/>
          </w:tcPr>
          <w:p>
            <w:pPr>
              <w:jc w:val="right"/>
              <w:ind w:right="53"/>
              <w:spacing w:after="0" w:line="101" w:lineRule="exact"/>
              <w:rPr>
                <w:sz w:val="20"/>
                <w:szCs w:val="20"/>
                <w:color w:val="auto"/>
              </w:rPr>
            </w:pPr>
            <w:r>
              <w:rPr>
                <w:rFonts w:ascii="Arial" w:cs="Arial" w:eastAsia="Arial" w:hAnsi="Arial"/>
                <w:sz w:val="10"/>
                <w:szCs w:val="10"/>
                <w:color w:val="auto"/>
              </w:rPr>
              <w:t>(98.9)</w:t>
            </w:r>
          </w:p>
        </w:tc>
        <w:tc>
          <w:tcPr>
            <w:tcW w:w="840" w:type="dxa"/>
            <w:vAlign w:val="bottom"/>
            <w:vMerge w:val="restart"/>
          </w:tcPr>
          <w:p>
            <w:pPr>
              <w:jc w:val="right"/>
              <w:ind w:right="113"/>
              <w:spacing w:after="0" w:line="101" w:lineRule="exact"/>
              <w:rPr>
                <w:sz w:val="20"/>
                <w:szCs w:val="20"/>
                <w:color w:val="auto"/>
              </w:rPr>
            </w:pPr>
            <w:r>
              <w:rPr>
                <w:rFonts w:ascii="Arial" w:cs="Arial" w:eastAsia="Arial" w:hAnsi="Arial"/>
                <w:sz w:val="10"/>
                <w:szCs w:val="10"/>
                <w:color w:val="auto"/>
              </w:rPr>
              <w:t>(182.6)</w:t>
            </w:r>
          </w:p>
        </w:tc>
        <w:tc>
          <w:tcPr>
            <w:tcW w:w="660" w:type="dxa"/>
            <w:vAlign w:val="bottom"/>
            <w:tcBorders>
              <w:right w:val="single" w:sz="8" w:color="auto"/>
            </w:tcBorders>
            <w:vMerge w:val="restart"/>
          </w:tcPr>
          <w:p>
            <w:pPr>
              <w:jc w:val="right"/>
              <w:spacing w:after="0" w:line="101" w:lineRule="exact"/>
              <w:rPr>
                <w:sz w:val="20"/>
                <w:szCs w:val="20"/>
                <w:color w:val="auto"/>
              </w:rPr>
            </w:pPr>
            <w:r>
              <w:rPr>
                <w:rFonts w:ascii="Arial" w:cs="Arial" w:eastAsia="Arial" w:hAnsi="Arial"/>
                <w:sz w:val="10"/>
                <w:szCs w:val="10"/>
                <w:color w:val="auto"/>
              </w:rPr>
              <w:t>(97.5)</w:t>
            </w:r>
          </w:p>
        </w:tc>
        <w:tc>
          <w:tcPr>
            <w:tcW w:w="78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4"/>
              </w:rPr>
              <w:t>-46.6%</w:t>
            </w:r>
          </w:p>
        </w:tc>
        <w:tc>
          <w:tcPr>
            <w:tcW w:w="800" w:type="dxa"/>
            <w:vAlign w:val="bottom"/>
            <w:tcBorders>
              <w:right w:val="single" w:sz="8" w:color="auto"/>
            </w:tcBorders>
            <w:vMerge w:val="restart"/>
          </w:tcPr>
          <w:p>
            <w:pPr>
              <w:jc w:val="center"/>
              <w:spacing w:after="0" w:line="101" w:lineRule="exact"/>
              <w:rPr>
                <w:sz w:val="20"/>
                <w:szCs w:val="20"/>
                <w:color w:val="auto"/>
              </w:rPr>
            </w:pPr>
            <w:r>
              <w:rPr>
                <w:rFonts w:ascii="Arial" w:cs="Arial" w:eastAsia="Arial" w:hAnsi="Arial"/>
                <w:sz w:val="10"/>
                <w:szCs w:val="10"/>
                <w:color w:val="auto"/>
                <w:w w:val="99"/>
              </w:rPr>
              <w:t>-1.4%</w:t>
            </w:r>
          </w:p>
        </w:tc>
        <w:tc>
          <w:tcPr>
            <w:tcW w:w="980" w:type="dxa"/>
            <w:vAlign w:val="bottom"/>
            <w:vMerge w:val="restart"/>
          </w:tcPr>
          <w:p>
            <w:pPr>
              <w:jc w:val="right"/>
              <w:ind w:right="173"/>
              <w:spacing w:after="0" w:line="101" w:lineRule="exact"/>
              <w:rPr>
                <w:sz w:val="20"/>
                <w:szCs w:val="20"/>
                <w:color w:val="auto"/>
              </w:rPr>
            </w:pPr>
            <w:r>
              <w:rPr>
                <w:rFonts w:ascii="Arial" w:cs="Arial" w:eastAsia="Arial" w:hAnsi="Arial"/>
                <w:sz w:val="10"/>
                <w:szCs w:val="10"/>
                <w:color w:val="auto"/>
              </w:rPr>
              <w:t>-211.3</w:t>
            </w:r>
          </w:p>
        </w:tc>
        <w:tc>
          <w:tcPr>
            <w:tcW w:w="620" w:type="dxa"/>
            <w:vAlign w:val="bottom"/>
            <w:tcBorders>
              <w:right w:val="single" w:sz="8" w:color="auto"/>
            </w:tcBorders>
            <w:vMerge w:val="restart"/>
          </w:tcPr>
          <w:p>
            <w:pPr>
              <w:jc w:val="right"/>
              <w:spacing w:after="0" w:line="101" w:lineRule="exact"/>
              <w:rPr>
                <w:sz w:val="20"/>
                <w:szCs w:val="20"/>
                <w:color w:val="auto"/>
              </w:rPr>
            </w:pPr>
            <w:r>
              <w:rPr>
                <w:rFonts w:ascii="Arial" w:cs="Arial" w:eastAsia="Arial" w:hAnsi="Arial"/>
                <w:sz w:val="10"/>
                <w:szCs w:val="10"/>
                <w:color w:val="auto"/>
              </w:rPr>
              <w:t>-280.2</w:t>
            </w:r>
          </w:p>
        </w:tc>
        <w:tc>
          <w:tcPr>
            <w:tcW w:w="1120" w:type="dxa"/>
            <w:vAlign w:val="bottom"/>
            <w:tcBorders>
              <w:right w:val="single" w:sz="8" w:color="auto"/>
            </w:tcBorders>
            <w:vMerge w:val="restart"/>
          </w:tcPr>
          <w:p>
            <w:pPr>
              <w:jc w:val="center"/>
              <w:spacing w:after="0" w:line="101" w:lineRule="exact"/>
              <w:rPr>
                <w:sz w:val="20"/>
                <w:szCs w:val="20"/>
                <w:color w:val="auto"/>
              </w:rPr>
            </w:pPr>
            <w:r>
              <w:rPr>
                <w:rFonts w:ascii="Arial" w:cs="Arial" w:eastAsia="Arial" w:hAnsi="Arial"/>
                <w:sz w:val="10"/>
                <w:szCs w:val="10"/>
                <w:color w:val="auto"/>
                <w:w w:val="98"/>
              </w:rPr>
              <w:t>32.6%</w:t>
            </w:r>
          </w:p>
        </w:tc>
        <w:tc>
          <w:tcPr>
            <w:tcW w:w="0" w:type="dxa"/>
            <w:vAlign w:val="bottom"/>
          </w:tcPr>
          <w:p>
            <w:pPr>
              <w:spacing w:after="0"/>
              <w:rPr>
                <w:sz w:val="1"/>
                <w:szCs w:val="1"/>
                <w:color w:val="auto"/>
              </w:rPr>
            </w:pPr>
          </w:p>
        </w:tc>
      </w:tr>
      <w:tr>
        <w:trPr>
          <w:trHeight w:val="27"/>
        </w:trPr>
        <w:tc>
          <w:tcPr>
            <w:tcW w:w="900" w:type="dxa"/>
            <w:vAlign w:val="bottom"/>
            <w:tcBorders>
              <w:left w:val="single" w:sz="8" w:color="auto"/>
              <w:right w:val="single" w:sz="8" w:color="auto"/>
            </w:tcBorders>
          </w:tcPr>
          <w:p>
            <w:pPr>
              <w:spacing w:after="0"/>
              <w:rPr>
                <w:sz w:val="2"/>
                <w:szCs w:val="2"/>
                <w:color w:val="auto"/>
              </w:rPr>
            </w:pPr>
          </w:p>
        </w:tc>
        <w:tc>
          <w:tcPr>
            <w:tcW w:w="2840" w:type="dxa"/>
            <w:vAlign w:val="bottom"/>
            <w:tcBorders>
              <w:right w:val="single" w:sz="8" w:color="auto"/>
            </w:tcBorders>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660" w:type="dxa"/>
            <w:vAlign w:val="bottom"/>
            <w:tcBorders>
              <w:right w:val="single" w:sz="8" w:color="auto"/>
            </w:tcBorders>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800" w:type="dxa"/>
            <w:vAlign w:val="bottom"/>
            <w:tcBorders>
              <w:right w:val="single" w:sz="8" w:color="auto"/>
            </w:tcBorders>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620" w:type="dxa"/>
            <w:vAlign w:val="bottom"/>
            <w:tcBorders>
              <w:right w:val="single" w:sz="8" w:color="auto"/>
            </w:tcBorders>
            <w:vMerge w:val="continue"/>
          </w:tcPr>
          <w:p>
            <w:pPr>
              <w:spacing w:after="0"/>
              <w:rPr>
                <w:sz w:val="2"/>
                <w:szCs w:val="2"/>
                <w:color w:val="auto"/>
              </w:rPr>
            </w:pPr>
          </w:p>
        </w:tc>
        <w:tc>
          <w:tcPr>
            <w:tcW w:w="11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900" w:type="dxa"/>
            <w:vAlign w:val="bottom"/>
            <w:tcBorders>
              <w:left w:val="single" w:sz="8" w:color="auto"/>
              <w:bottom w:val="single" w:sz="8" w:color="auto"/>
              <w:right w:val="single" w:sz="8" w:color="auto"/>
            </w:tcBorders>
          </w:tcPr>
          <w:p>
            <w:pPr>
              <w:spacing w:after="0"/>
              <w:rPr>
                <w:sz w:val="10"/>
                <w:szCs w:val="10"/>
                <w:color w:val="auto"/>
              </w:rPr>
            </w:pP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Insurance Undewrwriting Result</w:t>
            </w: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0"/>
                <w:szCs w:val="10"/>
                <w:b w:val="1"/>
                <w:bCs w:val="1"/>
                <w:color w:val="auto"/>
              </w:rPr>
              <w:t>296.6</w:t>
            </w: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0"/>
                <w:szCs w:val="10"/>
                <w:b w:val="1"/>
                <w:bCs w:val="1"/>
                <w:color w:val="auto"/>
              </w:rPr>
              <w:t>279.1</w:t>
            </w: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auto"/>
              </w:rPr>
              <w:t>315.5</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13.1%</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6.4%</w:t>
            </w: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0"/>
                <w:szCs w:val="10"/>
                <w:b w:val="1"/>
                <w:bCs w:val="1"/>
                <w:color w:val="auto"/>
              </w:rPr>
              <w:t>592.9</w:t>
            </w: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auto"/>
              </w:rPr>
              <w:t>594.6</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0.3%</w:t>
            </w:r>
          </w:p>
        </w:tc>
        <w:tc>
          <w:tcPr>
            <w:tcW w:w="0" w:type="dxa"/>
            <w:vAlign w:val="bottom"/>
          </w:tcPr>
          <w:p>
            <w:pPr>
              <w:spacing w:after="0"/>
              <w:rPr>
                <w:sz w:val="1"/>
                <w:szCs w:val="1"/>
                <w:color w:val="auto"/>
              </w:rPr>
            </w:pPr>
          </w:p>
        </w:tc>
      </w:tr>
      <w:tr>
        <w:trPr>
          <w:trHeight w:val="81"/>
        </w:trPr>
        <w:tc>
          <w:tcPr>
            <w:tcW w:w="900" w:type="dxa"/>
            <w:vAlign w:val="bottom"/>
            <w:tcBorders>
              <w:left w:val="single" w:sz="8" w:color="auto"/>
              <w:right w:val="single" w:sz="8" w:color="auto"/>
            </w:tcBorders>
          </w:tcPr>
          <w:p>
            <w:pPr>
              <w:spacing w:after="0"/>
              <w:rPr>
                <w:sz w:val="7"/>
                <w:szCs w:val="7"/>
                <w:color w:val="auto"/>
              </w:rPr>
            </w:pPr>
          </w:p>
        </w:tc>
        <w:tc>
          <w:tcPr>
            <w:tcW w:w="2840" w:type="dxa"/>
            <w:vAlign w:val="bottom"/>
            <w:tcBorders>
              <w:right w:val="single" w:sz="8" w:color="auto"/>
            </w:tcBorders>
          </w:tcPr>
          <w:p>
            <w:pPr>
              <w:ind w:left="20"/>
              <w:spacing w:after="0" w:line="81" w:lineRule="exact"/>
              <w:rPr>
                <w:sz w:val="20"/>
                <w:szCs w:val="20"/>
                <w:color w:val="auto"/>
              </w:rPr>
            </w:pPr>
            <w:r>
              <w:rPr>
                <w:rFonts w:ascii="Arial" w:cs="Arial" w:eastAsia="Arial" w:hAnsi="Arial"/>
                <w:sz w:val="8"/>
                <w:szCs w:val="8"/>
                <w:color w:val="auto"/>
              </w:rPr>
              <w:t>Income from Insurance Services</w:t>
            </w:r>
          </w:p>
        </w:tc>
        <w:tc>
          <w:tcPr>
            <w:tcW w:w="840" w:type="dxa"/>
            <w:vAlign w:val="bottom"/>
          </w:tcPr>
          <w:p>
            <w:pPr>
              <w:jc w:val="right"/>
              <w:ind w:right="53"/>
              <w:spacing w:after="0" w:line="81" w:lineRule="exact"/>
              <w:rPr>
                <w:sz w:val="20"/>
                <w:szCs w:val="20"/>
                <w:color w:val="auto"/>
              </w:rPr>
            </w:pPr>
            <w:r>
              <w:rPr>
                <w:rFonts w:ascii="Arial" w:cs="Arial" w:eastAsia="Arial" w:hAnsi="Arial"/>
                <w:sz w:val="8"/>
                <w:szCs w:val="8"/>
                <w:color w:val="auto"/>
              </w:rPr>
              <w:t>427.0</w:t>
            </w:r>
          </w:p>
        </w:tc>
        <w:tc>
          <w:tcPr>
            <w:tcW w:w="840" w:type="dxa"/>
            <w:vAlign w:val="bottom"/>
          </w:tcPr>
          <w:p>
            <w:pPr>
              <w:jc w:val="right"/>
              <w:ind w:right="113"/>
              <w:spacing w:after="0" w:line="81" w:lineRule="exact"/>
              <w:rPr>
                <w:sz w:val="20"/>
                <w:szCs w:val="20"/>
                <w:color w:val="auto"/>
              </w:rPr>
            </w:pPr>
            <w:r>
              <w:rPr>
                <w:rFonts w:ascii="Arial" w:cs="Arial" w:eastAsia="Arial" w:hAnsi="Arial"/>
                <w:sz w:val="8"/>
                <w:szCs w:val="8"/>
                <w:color w:val="auto"/>
              </w:rPr>
              <w:t>468.4</w:t>
            </w:r>
          </w:p>
        </w:tc>
        <w:tc>
          <w:tcPr>
            <w:tcW w:w="660" w:type="dxa"/>
            <w:vAlign w:val="bottom"/>
            <w:tcBorders>
              <w:right w:val="single" w:sz="8" w:color="auto"/>
            </w:tcBorders>
          </w:tcPr>
          <w:p>
            <w:pPr>
              <w:jc w:val="right"/>
              <w:spacing w:after="0" w:line="81" w:lineRule="exact"/>
              <w:rPr>
                <w:sz w:val="20"/>
                <w:szCs w:val="20"/>
                <w:color w:val="auto"/>
              </w:rPr>
            </w:pPr>
            <w:r>
              <w:rPr>
                <w:rFonts w:ascii="Arial" w:cs="Arial" w:eastAsia="Arial" w:hAnsi="Arial"/>
                <w:sz w:val="8"/>
                <w:szCs w:val="8"/>
                <w:color w:val="auto"/>
              </w:rPr>
              <w:t>443.3</w:t>
            </w:r>
          </w:p>
        </w:tc>
        <w:tc>
          <w:tcPr>
            <w:tcW w:w="780" w:type="dxa"/>
            <w:vAlign w:val="bottom"/>
          </w:tcPr>
          <w:p>
            <w:pPr>
              <w:jc w:val="center"/>
              <w:spacing w:after="0" w:line="81" w:lineRule="exact"/>
              <w:rPr>
                <w:sz w:val="20"/>
                <w:szCs w:val="20"/>
                <w:color w:val="auto"/>
              </w:rPr>
            </w:pPr>
            <w:r>
              <w:rPr>
                <w:rFonts w:ascii="Arial" w:cs="Arial" w:eastAsia="Arial" w:hAnsi="Arial"/>
                <w:sz w:val="8"/>
                <w:szCs w:val="8"/>
                <w:b w:val="1"/>
                <w:bCs w:val="1"/>
                <w:color w:val="auto"/>
              </w:rPr>
              <w:t>-5.3%</w:t>
            </w:r>
          </w:p>
        </w:tc>
        <w:tc>
          <w:tcPr>
            <w:tcW w:w="80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3.8%</w:t>
            </w:r>
          </w:p>
        </w:tc>
        <w:tc>
          <w:tcPr>
            <w:tcW w:w="980" w:type="dxa"/>
            <w:vAlign w:val="bottom"/>
          </w:tcPr>
          <w:p>
            <w:pPr>
              <w:jc w:val="right"/>
              <w:ind w:right="173"/>
              <w:spacing w:after="0" w:line="81" w:lineRule="exact"/>
              <w:rPr>
                <w:sz w:val="20"/>
                <w:szCs w:val="20"/>
                <w:color w:val="auto"/>
              </w:rPr>
            </w:pPr>
            <w:r>
              <w:rPr>
                <w:rFonts w:ascii="Arial" w:cs="Arial" w:eastAsia="Arial" w:hAnsi="Arial"/>
                <w:sz w:val="8"/>
                <w:szCs w:val="8"/>
                <w:color w:val="auto"/>
              </w:rPr>
              <w:t>840.3</w:t>
            </w:r>
          </w:p>
        </w:tc>
        <w:tc>
          <w:tcPr>
            <w:tcW w:w="620" w:type="dxa"/>
            <w:vAlign w:val="bottom"/>
            <w:tcBorders>
              <w:right w:val="single" w:sz="8" w:color="auto"/>
            </w:tcBorders>
          </w:tcPr>
          <w:p>
            <w:pPr>
              <w:jc w:val="right"/>
              <w:spacing w:after="0" w:line="81" w:lineRule="exact"/>
              <w:rPr>
                <w:sz w:val="20"/>
                <w:szCs w:val="20"/>
                <w:color w:val="auto"/>
              </w:rPr>
            </w:pPr>
            <w:r>
              <w:rPr>
                <w:rFonts w:ascii="Arial" w:cs="Arial" w:eastAsia="Arial" w:hAnsi="Arial"/>
                <w:sz w:val="8"/>
                <w:szCs w:val="8"/>
                <w:color w:val="auto"/>
              </w:rPr>
              <w:t>911.7</w:t>
            </w:r>
          </w:p>
        </w:tc>
        <w:tc>
          <w:tcPr>
            <w:tcW w:w="112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8.5%</w:t>
            </w:r>
          </w:p>
        </w:tc>
        <w:tc>
          <w:tcPr>
            <w:tcW w:w="0" w:type="dxa"/>
            <w:vAlign w:val="bottom"/>
          </w:tcPr>
          <w:p>
            <w:pPr>
              <w:spacing w:after="0"/>
              <w:rPr>
                <w:sz w:val="1"/>
                <w:szCs w:val="1"/>
                <w:color w:val="auto"/>
              </w:rPr>
            </w:pPr>
          </w:p>
        </w:tc>
      </w:tr>
      <w:tr>
        <w:trPr>
          <w:trHeight w:val="103"/>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0"/>
                <w:szCs w:val="10"/>
                <w:color w:val="auto"/>
                <w:w w:val="97"/>
              </w:rPr>
              <w:t>P&amp;C</w:t>
            </w:r>
          </w:p>
        </w:tc>
        <w:tc>
          <w:tcPr>
            <w:tcW w:w="2840" w:type="dxa"/>
            <w:vAlign w:val="bottom"/>
            <w:tcBorders>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Expenses for Insurance Services</w:t>
            </w:r>
          </w:p>
        </w:tc>
        <w:tc>
          <w:tcPr>
            <w:tcW w:w="840" w:type="dxa"/>
            <w:vAlign w:val="bottom"/>
          </w:tcPr>
          <w:p>
            <w:pPr>
              <w:jc w:val="right"/>
              <w:ind w:right="53"/>
              <w:spacing w:after="0" w:line="103" w:lineRule="exact"/>
              <w:rPr>
                <w:sz w:val="20"/>
                <w:szCs w:val="20"/>
                <w:color w:val="auto"/>
              </w:rPr>
            </w:pPr>
            <w:r>
              <w:rPr>
                <w:rFonts w:ascii="Arial" w:cs="Arial" w:eastAsia="Arial" w:hAnsi="Arial"/>
                <w:sz w:val="10"/>
                <w:szCs w:val="10"/>
                <w:color w:val="auto"/>
              </w:rPr>
              <w:t>(272.6)</w:t>
            </w:r>
          </w:p>
        </w:tc>
        <w:tc>
          <w:tcPr>
            <w:tcW w:w="840" w:type="dxa"/>
            <w:vAlign w:val="bottom"/>
          </w:tcPr>
          <w:p>
            <w:pPr>
              <w:jc w:val="right"/>
              <w:ind w:right="113"/>
              <w:spacing w:after="0" w:line="103" w:lineRule="exact"/>
              <w:rPr>
                <w:sz w:val="20"/>
                <w:szCs w:val="20"/>
                <w:color w:val="auto"/>
              </w:rPr>
            </w:pPr>
            <w:r>
              <w:rPr>
                <w:rFonts w:ascii="Arial" w:cs="Arial" w:eastAsia="Arial" w:hAnsi="Arial"/>
                <w:sz w:val="10"/>
                <w:szCs w:val="10"/>
                <w:color w:val="auto"/>
              </w:rPr>
              <w:t>(237.9)</w:t>
            </w:r>
          </w:p>
        </w:tc>
        <w:tc>
          <w:tcPr>
            <w:tcW w:w="660" w:type="dxa"/>
            <w:vAlign w:val="bottom"/>
            <w:tcBorders>
              <w:right w:val="single" w:sz="8" w:color="auto"/>
            </w:tcBorders>
          </w:tcPr>
          <w:p>
            <w:pPr>
              <w:jc w:val="right"/>
              <w:spacing w:after="0" w:line="103" w:lineRule="exact"/>
              <w:rPr>
                <w:sz w:val="20"/>
                <w:szCs w:val="20"/>
                <w:color w:val="auto"/>
              </w:rPr>
            </w:pPr>
            <w:r>
              <w:rPr>
                <w:rFonts w:ascii="Arial" w:cs="Arial" w:eastAsia="Arial" w:hAnsi="Arial"/>
                <w:sz w:val="10"/>
                <w:szCs w:val="10"/>
                <w:color w:val="auto"/>
              </w:rPr>
              <w:t>(302.0)</w:t>
            </w:r>
          </w:p>
        </w:tc>
        <w:tc>
          <w:tcPr>
            <w:tcW w:w="780" w:type="dxa"/>
            <w:vAlign w:val="bottom"/>
          </w:tcPr>
          <w:p>
            <w:pPr>
              <w:jc w:val="center"/>
              <w:spacing w:after="0" w:line="103" w:lineRule="exact"/>
              <w:rPr>
                <w:sz w:val="20"/>
                <w:szCs w:val="20"/>
                <w:color w:val="auto"/>
              </w:rPr>
            </w:pPr>
            <w:r>
              <w:rPr>
                <w:rFonts w:ascii="Arial" w:cs="Arial" w:eastAsia="Arial" w:hAnsi="Arial"/>
                <w:sz w:val="10"/>
                <w:szCs w:val="10"/>
                <w:color w:val="auto"/>
                <w:w w:val="98"/>
              </w:rPr>
              <w:t>26.9%</w:t>
            </w:r>
          </w:p>
        </w:tc>
        <w:tc>
          <w:tcPr>
            <w:tcW w:w="8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1"/>
              </w:rPr>
              <w:t>10.8%</w:t>
            </w:r>
          </w:p>
        </w:tc>
        <w:tc>
          <w:tcPr>
            <w:tcW w:w="980" w:type="dxa"/>
            <w:vAlign w:val="bottom"/>
          </w:tcPr>
          <w:p>
            <w:pPr>
              <w:jc w:val="right"/>
              <w:ind w:right="173"/>
              <w:spacing w:after="0" w:line="103" w:lineRule="exact"/>
              <w:rPr>
                <w:sz w:val="20"/>
                <w:szCs w:val="20"/>
                <w:color w:val="auto"/>
              </w:rPr>
            </w:pPr>
            <w:r>
              <w:rPr>
                <w:rFonts w:ascii="Arial" w:cs="Arial" w:eastAsia="Arial" w:hAnsi="Arial"/>
                <w:sz w:val="10"/>
                <w:szCs w:val="10"/>
                <w:color w:val="auto"/>
              </w:rPr>
              <w:t>-558.7</w:t>
            </w:r>
          </w:p>
        </w:tc>
        <w:tc>
          <w:tcPr>
            <w:tcW w:w="620" w:type="dxa"/>
            <w:vAlign w:val="bottom"/>
            <w:tcBorders>
              <w:right w:val="single" w:sz="8" w:color="auto"/>
            </w:tcBorders>
          </w:tcPr>
          <w:p>
            <w:pPr>
              <w:jc w:val="right"/>
              <w:spacing w:after="0" w:line="103" w:lineRule="exact"/>
              <w:rPr>
                <w:sz w:val="20"/>
                <w:szCs w:val="20"/>
                <w:color w:val="auto"/>
              </w:rPr>
            </w:pPr>
            <w:r>
              <w:rPr>
                <w:rFonts w:ascii="Arial" w:cs="Arial" w:eastAsia="Arial" w:hAnsi="Arial"/>
                <w:sz w:val="10"/>
                <w:szCs w:val="10"/>
                <w:color w:val="auto"/>
              </w:rPr>
              <w:t>-539.8</w:t>
            </w:r>
          </w:p>
        </w:tc>
        <w:tc>
          <w:tcPr>
            <w:tcW w:w="11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1"/>
              </w:rPr>
              <w:t>-3.4%</w:t>
            </w:r>
          </w:p>
        </w:tc>
        <w:tc>
          <w:tcPr>
            <w:tcW w:w="0" w:type="dxa"/>
            <w:vAlign w:val="bottom"/>
          </w:tcPr>
          <w:p>
            <w:pPr>
              <w:spacing w:after="0"/>
              <w:rPr>
                <w:sz w:val="1"/>
                <w:szCs w:val="1"/>
                <w:color w:val="auto"/>
              </w:rPr>
            </w:pPr>
          </w:p>
        </w:tc>
      </w:tr>
      <w:tr>
        <w:trPr>
          <w:trHeight w:val="73"/>
        </w:trPr>
        <w:tc>
          <w:tcPr>
            <w:tcW w:w="900" w:type="dxa"/>
            <w:vAlign w:val="bottom"/>
            <w:tcBorders>
              <w:left w:val="single" w:sz="8" w:color="auto"/>
              <w:right w:val="single" w:sz="8" w:color="auto"/>
            </w:tcBorders>
            <w:vMerge w:val="continue"/>
          </w:tcPr>
          <w:p>
            <w:pPr>
              <w:spacing w:after="0"/>
              <w:rPr>
                <w:sz w:val="6"/>
                <w:szCs w:val="6"/>
                <w:color w:val="auto"/>
              </w:rPr>
            </w:pPr>
          </w:p>
        </w:tc>
        <w:tc>
          <w:tcPr>
            <w:tcW w:w="2840" w:type="dxa"/>
            <w:vAlign w:val="bottom"/>
            <w:tcBorders>
              <w:right w:val="single" w:sz="8" w:color="auto"/>
            </w:tcBorders>
            <w:vMerge w:val="restart"/>
          </w:tcPr>
          <w:p>
            <w:pPr>
              <w:ind w:left="20"/>
              <w:spacing w:after="0" w:line="101" w:lineRule="exact"/>
              <w:rPr>
                <w:sz w:val="20"/>
                <w:szCs w:val="20"/>
                <w:color w:val="auto"/>
              </w:rPr>
            </w:pPr>
            <w:r>
              <w:rPr>
                <w:rFonts w:ascii="Arial" w:cs="Arial" w:eastAsia="Arial" w:hAnsi="Arial"/>
                <w:sz w:val="10"/>
                <w:szCs w:val="10"/>
                <w:color w:val="auto"/>
              </w:rPr>
              <w:t>Reinsurance Results</w:t>
            </w:r>
          </w:p>
        </w:tc>
        <w:tc>
          <w:tcPr>
            <w:tcW w:w="840" w:type="dxa"/>
            <w:vAlign w:val="bottom"/>
            <w:vMerge w:val="restart"/>
          </w:tcPr>
          <w:p>
            <w:pPr>
              <w:jc w:val="right"/>
              <w:ind w:right="53"/>
              <w:spacing w:after="0" w:line="101" w:lineRule="exact"/>
              <w:rPr>
                <w:sz w:val="20"/>
                <w:szCs w:val="20"/>
                <w:color w:val="auto"/>
              </w:rPr>
            </w:pPr>
            <w:r>
              <w:rPr>
                <w:rFonts w:ascii="Arial" w:cs="Arial" w:eastAsia="Arial" w:hAnsi="Arial"/>
                <w:sz w:val="10"/>
                <w:szCs w:val="10"/>
                <w:color w:val="auto"/>
              </w:rPr>
              <w:t>(70.7)</w:t>
            </w:r>
          </w:p>
        </w:tc>
        <w:tc>
          <w:tcPr>
            <w:tcW w:w="840" w:type="dxa"/>
            <w:vAlign w:val="bottom"/>
            <w:vMerge w:val="restart"/>
          </w:tcPr>
          <w:p>
            <w:pPr>
              <w:jc w:val="right"/>
              <w:ind w:right="113"/>
              <w:spacing w:after="0" w:line="101" w:lineRule="exact"/>
              <w:rPr>
                <w:sz w:val="20"/>
                <w:szCs w:val="20"/>
                <w:color w:val="auto"/>
              </w:rPr>
            </w:pPr>
            <w:r>
              <w:rPr>
                <w:rFonts w:ascii="Arial" w:cs="Arial" w:eastAsia="Arial" w:hAnsi="Arial"/>
                <w:sz w:val="10"/>
                <w:szCs w:val="10"/>
                <w:color w:val="auto"/>
              </w:rPr>
              <w:t>(152.7)</w:t>
            </w:r>
          </w:p>
        </w:tc>
        <w:tc>
          <w:tcPr>
            <w:tcW w:w="660" w:type="dxa"/>
            <w:vAlign w:val="bottom"/>
            <w:tcBorders>
              <w:right w:val="single" w:sz="8" w:color="auto"/>
            </w:tcBorders>
            <w:vMerge w:val="restart"/>
          </w:tcPr>
          <w:p>
            <w:pPr>
              <w:jc w:val="right"/>
              <w:spacing w:after="0" w:line="101" w:lineRule="exact"/>
              <w:rPr>
                <w:sz w:val="20"/>
                <w:szCs w:val="20"/>
                <w:color w:val="auto"/>
              </w:rPr>
            </w:pPr>
            <w:r>
              <w:rPr>
                <w:rFonts w:ascii="Arial" w:cs="Arial" w:eastAsia="Arial" w:hAnsi="Arial"/>
                <w:sz w:val="10"/>
                <w:szCs w:val="10"/>
                <w:color w:val="auto"/>
              </w:rPr>
              <w:t>(75.6)</w:t>
            </w:r>
          </w:p>
        </w:tc>
        <w:tc>
          <w:tcPr>
            <w:tcW w:w="78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4"/>
              </w:rPr>
              <w:t>-50.5%</w:t>
            </w:r>
          </w:p>
        </w:tc>
        <w:tc>
          <w:tcPr>
            <w:tcW w:w="800" w:type="dxa"/>
            <w:vAlign w:val="bottom"/>
            <w:tcBorders>
              <w:right w:val="single" w:sz="8" w:color="auto"/>
            </w:tcBorders>
            <w:vMerge w:val="restart"/>
          </w:tcPr>
          <w:p>
            <w:pPr>
              <w:jc w:val="center"/>
              <w:spacing w:after="0" w:line="101" w:lineRule="exact"/>
              <w:rPr>
                <w:sz w:val="20"/>
                <w:szCs w:val="20"/>
                <w:color w:val="auto"/>
              </w:rPr>
            </w:pPr>
            <w:r>
              <w:rPr>
                <w:rFonts w:ascii="Arial" w:cs="Arial" w:eastAsia="Arial" w:hAnsi="Arial"/>
                <w:sz w:val="10"/>
                <w:szCs w:val="10"/>
                <w:color w:val="auto"/>
                <w:w w:val="96"/>
              </w:rPr>
              <w:t>6.8%</w:t>
            </w:r>
          </w:p>
        </w:tc>
        <w:tc>
          <w:tcPr>
            <w:tcW w:w="980" w:type="dxa"/>
            <w:vAlign w:val="bottom"/>
            <w:vMerge w:val="restart"/>
          </w:tcPr>
          <w:p>
            <w:pPr>
              <w:jc w:val="right"/>
              <w:ind w:right="173"/>
              <w:spacing w:after="0" w:line="101" w:lineRule="exact"/>
              <w:rPr>
                <w:sz w:val="20"/>
                <w:szCs w:val="20"/>
                <w:color w:val="auto"/>
              </w:rPr>
            </w:pPr>
            <w:r>
              <w:rPr>
                <w:rFonts w:ascii="Arial" w:cs="Arial" w:eastAsia="Arial" w:hAnsi="Arial"/>
                <w:sz w:val="10"/>
                <w:szCs w:val="10"/>
                <w:color w:val="auto"/>
              </w:rPr>
              <w:t>-152.0</w:t>
            </w:r>
          </w:p>
        </w:tc>
        <w:tc>
          <w:tcPr>
            <w:tcW w:w="620" w:type="dxa"/>
            <w:vAlign w:val="bottom"/>
            <w:tcBorders>
              <w:right w:val="single" w:sz="8" w:color="auto"/>
            </w:tcBorders>
            <w:vMerge w:val="restart"/>
          </w:tcPr>
          <w:p>
            <w:pPr>
              <w:jc w:val="right"/>
              <w:spacing w:after="0" w:line="101" w:lineRule="exact"/>
              <w:rPr>
                <w:sz w:val="20"/>
                <w:szCs w:val="20"/>
                <w:color w:val="auto"/>
              </w:rPr>
            </w:pPr>
            <w:r>
              <w:rPr>
                <w:rFonts w:ascii="Arial" w:cs="Arial" w:eastAsia="Arial" w:hAnsi="Arial"/>
                <w:sz w:val="10"/>
                <w:szCs w:val="10"/>
                <w:color w:val="auto"/>
              </w:rPr>
              <w:t>-228.3</w:t>
            </w:r>
          </w:p>
        </w:tc>
        <w:tc>
          <w:tcPr>
            <w:tcW w:w="1120" w:type="dxa"/>
            <w:vAlign w:val="bottom"/>
            <w:tcBorders>
              <w:right w:val="single" w:sz="8" w:color="auto"/>
            </w:tcBorders>
            <w:vMerge w:val="restart"/>
          </w:tcPr>
          <w:p>
            <w:pPr>
              <w:jc w:val="center"/>
              <w:spacing w:after="0" w:line="101" w:lineRule="exact"/>
              <w:rPr>
                <w:sz w:val="20"/>
                <w:szCs w:val="20"/>
                <w:color w:val="auto"/>
              </w:rPr>
            </w:pPr>
            <w:r>
              <w:rPr>
                <w:rFonts w:ascii="Arial" w:cs="Arial" w:eastAsia="Arial" w:hAnsi="Arial"/>
                <w:sz w:val="10"/>
                <w:szCs w:val="10"/>
                <w:color w:val="auto"/>
                <w:w w:val="98"/>
              </w:rPr>
              <w:t>50.2%</w:t>
            </w:r>
          </w:p>
        </w:tc>
        <w:tc>
          <w:tcPr>
            <w:tcW w:w="0" w:type="dxa"/>
            <w:vAlign w:val="bottom"/>
          </w:tcPr>
          <w:p>
            <w:pPr>
              <w:spacing w:after="0"/>
              <w:rPr>
                <w:sz w:val="1"/>
                <w:szCs w:val="1"/>
                <w:color w:val="auto"/>
              </w:rPr>
            </w:pPr>
          </w:p>
        </w:tc>
      </w:tr>
      <w:tr>
        <w:trPr>
          <w:trHeight w:val="27"/>
        </w:trPr>
        <w:tc>
          <w:tcPr>
            <w:tcW w:w="900" w:type="dxa"/>
            <w:vAlign w:val="bottom"/>
            <w:tcBorders>
              <w:left w:val="single" w:sz="8" w:color="auto"/>
              <w:right w:val="single" w:sz="8" w:color="auto"/>
            </w:tcBorders>
          </w:tcPr>
          <w:p>
            <w:pPr>
              <w:spacing w:after="0"/>
              <w:rPr>
                <w:sz w:val="2"/>
                <w:szCs w:val="2"/>
                <w:color w:val="auto"/>
              </w:rPr>
            </w:pPr>
          </w:p>
        </w:tc>
        <w:tc>
          <w:tcPr>
            <w:tcW w:w="2840" w:type="dxa"/>
            <w:vAlign w:val="bottom"/>
            <w:tcBorders>
              <w:right w:val="single" w:sz="8" w:color="auto"/>
            </w:tcBorders>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660" w:type="dxa"/>
            <w:vAlign w:val="bottom"/>
            <w:tcBorders>
              <w:right w:val="single" w:sz="8" w:color="auto"/>
            </w:tcBorders>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800" w:type="dxa"/>
            <w:vAlign w:val="bottom"/>
            <w:tcBorders>
              <w:right w:val="single" w:sz="8" w:color="auto"/>
            </w:tcBorders>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620" w:type="dxa"/>
            <w:vAlign w:val="bottom"/>
            <w:tcBorders>
              <w:right w:val="single" w:sz="8" w:color="auto"/>
            </w:tcBorders>
            <w:vMerge w:val="continue"/>
          </w:tcPr>
          <w:p>
            <w:pPr>
              <w:spacing w:after="0"/>
              <w:rPr>
                <w:sz w:val="2"/>
                <w:szCs w:val="2"/>
                <w:color w:val="auto"/>
              </w:rPr>
            </w:pPr>
          </w:p>
        </w:tc>
        <w:tc>
          <w:tcPr>
            <w:tcW w:w="11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900" w:type="dxa"/>
            <w:vAlign w:val="bottom"/>
            <w:tcBorders>
              <w:left w:val="single" w:sz="8" w:color="auto"/>
              <w:bottom w:val="single" w:sz="8" w:color="auto"/>
              <w:right w:val="single" w:sz="8" w:color="auto"/>
            </w:tcBorders>
          </w:tcPr>
          <w:p>
            <w:pPr>
              <w:spacing w:after="0"/>
              <w:rPr>
                <w:sz w:val="10"/>
                <w:szCs w:val="10"/>
                <w:color w:val="auto"/>
              </w:rPr>
            </w:pP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Insurance Undewrwriting Result</w:t>
            </w: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0"/>
                <w:szCs w:val="10"/>
                <w:b w:val="1"/>
                <w:bCs w:val="1"/>
                <w:color w:val="auto"/>
              </w:rPr>
              <w:t>83.6</w:t>
            </w: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0"/>
                <w:szCs w:val="10"/>
                <w:b w:val="1"/>
                <w:bCs w:val="1"/>
                <w:color w:val="auto"/>
              </w:rPr>
              <w:t>77.8</w:t>
            </w: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auto"/>
              </w:rPr>
              <w:t>65.8</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-15.4%</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-21.3%</w:t>
            </w: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0"/>
                <w:szCs w:val="10"/>
                <w:b w:val="1"/>
                <w:bCs w:val="1"/>
                <w:color w:val="auto"/>
              </w:rPr>
              <w:t>129.6</w:t>
            </w: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auto"/>
              </w:rPr>
              <w:t>143.6</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10.8%</w:t>
            </w:r>
          </w:p>
        </w:tc>
        <w:tc>
          <w:tcPr>
            <w:tcW w:w="0" w:type="dxa"/>
            <w:vAlign w:val="bottom"/>
          </w:tcPr>
          <w:p>
            <w:pPr>
              <w:spacing w:after="0"/>
              <w:rPr>
                <w:sz w:val="1"/>
                <w:szCs w:val="1"/>
                <w:color w:val="auto"/>
              </w:rPr>
            </w:pPr>
          </w:p>
        </w:tc>
      </w:tr>
      <w:tr>
        <w:trPr>
          <w:trHeight w:val="81"/>
        </w:trPr>
        <w:tc>
          <w:tcPr>
            <w:tcW w:w="900" w:type="dxa"/>
            <w:vAlign w:val="bottom"/>
            <w:tcBorders>
              <w:left w:val="single" w:sz="8" w:color="auto"/>
              <w:right w:val="single" w:sz="8" w:color="auto"/>
            </w:tcBorders>
          </w:tcPr>
          <w:p>
            <w:pPr>
              <w:spacing w:after="0"/>
              <w:rPr>
                <w:sz w:val="7"/>
                <w:szCs w:val="7"/>
                <w:color w:val="auto"/>
              </w:rPr>
            </w:pPr>
          </w:p>
        </w:tc>
        <w:tc>
          <w:tcPr>
            <w:tcW w:w="2840" w:type="dxa"/>
            <w:vAlign w:val="bottom"/>
            <w:tcBorders>
              <w:right w:val="single" w:sz="8" w:color="auto"/>
            </w:tcBorders>
          </w:tcPr>
          <w:p>
            <w:pPr>
              <w:ind w:left="20"/>
              <w:spacing w:after="0" w:line="81" w:lineRule="exact"/>
              <w:rPr>
                <w:sz w:val="20"/>
                <w:szCs w:val="20"/>
                <w:color w:val="auto"/>
              </w:rPr>
            </w:pPr>
            <w:r>
              <w:rPr>
                <w:rFonts w:ascii="Arial" w:cs="Arial" w:eastAsia="Arial" w:hAnsi="Arial"/>
                <w:sz w:val="8"/>
                <w:szCs w:val="8"/>
                <w:color w:val="auto"/>
              </w:rPr>
              <w:t>Income from Insurance Services</w:t>
            </w:r>
          </w:p>
        </w:tc>
        <w:tc>
          <w:tcPr>
            <w:tcW w:w="840" w:type="dxa"/>
            <w:vAlign w:val="bottom"/>
          </w:tcPr>
          <w:p>
            <w:pPr>
              <w:jc w:val="right"/>
              <w:ind w:right="53"/>
              <w:spacing w:after="0" w:line="81" w:lineRule="exact"/>
              <w:rPr>
                <w:sz w:val="20"/>
                <w:szCs w:val="20"/>
                <w:color w:val="auto"/>
              </w:rPr>
            </w:pPr>
            <w:r>
              <w:rPr>
                <w:rFonts w:ascii="Arial" w:cs="Arial" w:eastAsia="Arial" w:hAnsi="Arial"/>
                <w:sz w:val="8"/>
                <w:szCs w:val="8"/>
                <w:color w:val="auto"/>
              </w:rPr>
              <w:t>491.4</w:t>
            </w:r>
          </w:p>
        </w:tc>
        <w:tc>
          <w:tcPr>
            <w:tcW w:w="840" w:type="dxa"/>
            <w:vAlign w:val="bottom"/>
          </w:tcPr>
          <w:p>
            <w:pPr>
              <w:jc w:val="right"/>
              <w:ind w:right="113"/>
              <w:spacing w:after="0" w:line="81" w:lineRule="exact"/>
              <w:rPr>
                <w:sz w:val="20"/>
                <w:szCs w:val="20"/>
                <w:color w:val="auto"/>
              </w:rPr>
            </w:pPr>
            <w:r>
              <w:rPr>
                <w:rFonts w:ascii="Arial" w:cs="Arial" w:eastAsia="Arial" w:hAnsi="Arial"/>
                <w:sz w:val="8"/>
                <w:szCs w:val="8"/>
                <w:color w:val="auto"/>
              </w:rPr>
              <w:t>438.1</w:t>
            </w:r>
          </w:p>
        </w:tc>
        <w:tc>
          <w:tcPr>
            <w:tcW w:w="660" w:type="dxa"/>
            <w:vAlign w:val="bottom"/>
            <w:tcBorders>
              <w:right w:val="single" w:sz="8" w:color="auto"/>
            </w:tcBorders>
          </w:tcPr>
          <w:p>
            <w:pPr>
              <w:jc w:val="right"/>
              <w:spacing w:after="0" w:line="81" w:lineRule="exact"/>
              <w:rPr>
                <w:sz w:val="20"/>
                <w:szCs w:val="20"/>
                <w:color w:val="auto"/>
              </w:rPr>
            </w:pPr>
            <w:r>
              <w:rPr>
                <w:rFonts w:ascii="Arial" w:cs="Arial" w:eastAsia="Arial" w:hAnsi="Arial"/>
                <w:sz w:val="8"/>
                <w:szCs w:val="8"/>
                <w:color w:val="auto"/>
              </w:rPr>
              <w:t>456.1</w:t>
            </w:r>
          </w:p>
        </w:tc>
        <w:tc>
          <w:tcPr>
            <w:tcW w:w="780" w:type="dxa"/>
            <w:vAlign w:val="bottom"/>
          </w:tcPr>
          <w:p>
            <w:pPr>
              <w:jc w:val="center"/>
              <w:spacing w:after="0" w:line="81" w:lineRule="exact"/>
              <w:rPr>
                <w:sz w:val="20"/>
                <w:szCs w:val="20"/>
                <w:color w:val="auto"/>
              </w:rPr>
            </w:pPr>
            <w:r>
              <w:rPr>
                <w:rFonts w:ascii="Arial" w:cs="Arial" w:eastAsia="Arial" w:hAnsi="Arial"/>
                <w:sz w:val="8"/>
                <w:szCs w:val="8"/>
                <w:color w:val="auto"/>
              </w:rPr>
              <w:t>4.1%</w:t>
            </w:r>
          </w:p>
        </w:tc>
        <w:tc>
          <w:tcPr>
            <w:tcW w:w="80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-7.2%</w:t>
            </w:r>
          </w:p>
        </w:tc>
        <w:tc>
          <w:tcPr>
            <w:tcW w:w="980" w:type="dxa"/>
            <w:vAlign w:val="bottom"/>
          </w:tcPr>
          <w:p>
            <w:pPr>
              <w:jc w:val="right"/>
              <w:ind w:right="173"/>
              <w:spacing w:after="0" w:line="81" w:lineRule="exact"/>
              <w:rPr>
                <w:sz w:val="20"/>
                <w:szCs w:val="20"/>
                <w:color w:val="auto"/>
              </w:rPr>
            </w:pPr>
            <w:r>
              <w:rPr>
                <w:rFonts w:ascii="Arial" w:cs="Arial" w:eastAsia="Arial" w:hAnsi="Arial"/>
                <w:sz w:val="8"/>
                <w:szCs w:val="8"/>
                <w:color w:val="auto"/>
              </w:rPr>
              <w:t>1011.2</w:t>
            </w:r>
          </w:p>
        </w:tc>
        <w:tc>
          <w:tcPr>
            <w:tcW w:w="620" w:type="dxa"/>
            <w:vAlign w:val="bottom"/>
            <w:tcBorders>
              <w:right w:val="single" w:sz="8" w:color="auto"/>
            </w:tcBorders>
          </w:tcPr>
          <w:p>
            <w:pPr>
              <w:jc w:val="right"/>
              <w:spacing w:after="0" w:line="81" w:lineRule="exact"/>
              <w:rPr>
                <w:sz w:val="20"/>
                <w:szCs w:val="20"/>
                <w:color w:val="auto"/>
              </w:rPr>
            </w:pPr>
            <w:r>
              <w:rPr>
                <w:rFonts w:ascii="Arial" w:cs="Arial" w:eastAsia="Arial" w:hAnsi="Arial"/>
                <w:sz w:val="8"/>
                <w:szCs w:val="8"/>
                <w:color w:val="auto"/>
              </w:rPr>
              <w:t>894.2</w:t>
            </w:r>
          </w:p>
        </w:tc>
        <w:tc>
          <w:tcPr>
            <w:tcW w:w="112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-11.6%</w:t>
            </w:r>
          </w:p>
        </w:tc>
        <w:tc>
          <w:tcPr>
            <w:tcW w:w="0" w:type="dxa"/>
            <w:vAlign w:val="bottom"/>
          </w:tcPr>
          <w:p>
            <w:pPr>
              <w:spacing w:after="0"/>
              <w:rPr>
                <w:sz w:val="1"/>
                <w:szCs w:val="1"/>
                <w:color w:val="auto"/>
              </w:rPr>
            </w:pPr>
          </w:p>
        </w:tc>
      </w:tr>
      <w:tr>
        <w:trPr>
          <w:trHeight w:val="103"/>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0"/>
                <w:szCs w:val="10"/>
                <w:color w:val="auto"/>
                <w:w w:val="86"/>
              </w:rPr>
              <w:t>Life</w:t>
            </w:r>
          </w:p>
        </w:tc>
        <w:tc>
          <w:tcPr>
            <w:tcW w:w="2840" w:type="dxa"/>
            <w:vAlign w:val="bottom"/>
            <w:tcBorders>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Expenses for Insurance Services</w:t>
            </w:r>
          </w:p>
        </w:tc>
        <w:tc>
          <w:tcPr>
            <w:tcW w:w="840" w:type="dxa"/>
            <w:vAlign w:val="bottom"/>
          </w:tcPr>
          <w:p>
            <w:pPr>
              <w:jc w:val="right"/>
              <w:ind w:right="53"/>
              <w:spacing w:after="0" w:line="103" w:lineRule="exact"/>
              <w:rPr>
                <w:sz w:val="20"/>
                <w:szCs w:val="20"/>
                <w:color w:val="auto"/>
              </w:rPr>
            </w:pPr>
            <w:r>
              <w:rPr>
                <w:rFonts w:ascii="Arial" w:cs="Arial" w:eastAsia="Arial" w:hAnsi="Arial"/>
                <w:sz w:val="10"/>
                <w:szCs w:val="10"/>
                <w:color w:val="auto"/>
              </w:rPr>
              <w:t>(270.7)</w:t>
            </w:r>
          </w:p>
        </w:tc>
        <w:tc>
          <w:tcPr>
            <w:tcW w:w="840" w:type="dxa"/>
            <w:vAlign w:val="bottom"/>
          </w:tcPr>
          <w:p>
            <w:pPr>
              <w:jc w:val="right"/>
              <w:ind w:right="113"/>
              <w:spacing w:after="0" w:line="103" w:lineRule="exact"/>
              <w:rPr>
                <w:sz w:val="20"/>
                <w:szCs w:val="20"/>
                <w:color w:val="auto"/>
              </w:rPr>
            </w:pPr>
            <w:r>
              <w:rPr>
                <w:rFonts w:ascii="Arial" w:cs="Arial" w:eastAsia="Arial" w:hAnsi="Arial"/>
                <w:sz w:val="10"/>
                <w:szCs w:val="10"/>
                <w:color w:val="auto"/>
              </w:rPr>
              <w:t>(232.0)</w:t>
            </w:r>
          </w:p>
        </w:tc>
        <w:tc>
          <w:tcPr>
            <w:tcW w:w="660" w:type="dxa"/>
            <w:vAlign w:val="bottom"/>
            <w:tcBorders>
              <w:right w:val="single" w:sz="8" w:color="auto"/>
            </w:tcBorders>
          </w:tcPr>
          <w:p>
            <w:pPr>
              <w:jc w:val="right"/>
              <w:spacing w:after="0" w:line="103" w:lineRule="exact"/>
              <w:rPr>
                <w:sz w:val="20"/>
                <w:szCs w:val="20"/>
                <w:color w:val="auto"/>
              </w:rPr>
            </w:pPr>
            <w:r>
              <w:rPr>
                <w:rFonts w:ascii="Arial" w:cs="Arial" w:eastAsia="Arial" w:hAnsi="Arial"/>
                <w:sz w:val="10"/>
                <w:szCs w:val="10"/>
                <w:color w:val="auto"/>
              </w:rPr>
              <w:t>(205.3)</w:t>
            </w:r>
          </w:p>
        </w:tc>
        <w:tc>
          <w:tcPr>
            <w:tcW w:w="780" w:type="dxa"/>
            <w:vAlign w:val="bottom"/>
          </w:tcPr>
          <w:p>
            <w:pPr>
              <w:jc w:val="center"/>
              <w:spacing w:after="0" w:line="103" w:lineRule="exact"/>
              <w:rPr>
                <w:sz w:val="20"/>
                <w:szCs w:val="20"/>
                <w:color w:val="auto"/>
              </w:rPr>
            </w:pPr>
            <w:r>
              <w:rPr>
                <w:rFonts w:ascii="Arial" w:cs="Arial" w:eastAsia="Arial" w:hAnsi="Arial"/>
                <w:sz w:val="10"/>
                <w:szCs w:val="10"/>
                <w:color w:val="auto"/>
                <w:w w:val="94"/>
              </w:rPr>
              <w:t>-11.5%</w:t>
            </w:r>
          </w:p>
        </w:tc>
        <w:tc>
          <w:tcPr>
            <w:tcW w:w="8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-24.2%</w:t>
            </w:r>
          </w:p>
        </w:tc>
        <w:tc>
          <w:tcPr>
            <w:tcW w:w="980" w:type="dxa"/>
            <w:vAlign w:val="bottom"/>
          </w:tcPr>
          <w:p>
            <w:pPr>
              <w:jc w:val="right"/>
              <w:ind w:right="173"/>
              <w:spacing w:after="0" w:line="103" w:lineRule="exact"/>
              <w:rPr>
                <w:sz w:val="20"/>
                <w:szCs w:val="20"/>
                <w:color w:val="auto"/>
              </w:rPr>
            </w:pPr>
            <w:r>
              <w:rPr>
                <w:rFonts w:ascii="Arial" w:cs="Arial" w:eastAsia="Arial" w:hAnsi="Arial"/>
                <w:sz w:val="10"/>
                <w:szCs w:val="10"/>
                <w:color w:val="auto"/>
              </w:rPr>
              <w:t>-527.9</w:t>
            </w:r>
          </w:p>
        </w:tc>
        <w:tc>
          <w:tcPr>
            <w:tcW w:w="620" w:type="dxa"/>
            <w:vAlign w:val="bottom"/>
            <w:tcBorders>
              <w:right w:val="single" w:sz="8" w:color="auto"/>
            </w:tcBorders>
          </w:tcPr>
          <w:p>
            <w:pPr>
              <w:jc w:val="right"/>
              <w:spacing w:after="0" w:line="103" w:lineRule="exact"/>
              <w:rPr>
                <w:sz w:val="20"/>
                <w:szCs w:val="20"/>
                <w:color w:val="auto"/>
              </w:rPr>
            </w:pPr>
            <w:r>
              <w:rPr>
                <w:rFonts w:ascii="Arial" w:cs="Arial" w:eastAsia="Arial" w:hAnsi="Arial"/>
                <w:sz w:val="10"/>
                <w:szCs w:val="10"/>
                <w:color w:val="auto"/>
              </w:rPr>
              <w:t>-437.3</w:t>
            </w:r>
          </w:p>
        </w:tc>
        <w:tc>
          <w:tcPr>
            <w:tcW w:w="11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-17.2%</w:t>
            </w:r>
          </w:p>
        </w:tc>
        <w:tc>
          <w:tcPr>
            <w:tcW w:w="0" w:type="dxa"/>
            <w:vAlign w:val="bottom"/>
          </w:tcPr>
          <w:p>
            <w:pPr>
              <w:spacing w:after="0"/>
              <w:rPr>
                <w:sz w:val="1"/>
                <w:szCs w:val="1"/>
                <w:color w:val="auto"/>
              </w:rPr>
            </w:pPr>
          </w:p>
        </w:tc>
      </w:tr>
      <w:tr>
        <w:trPr>
          <w:trHeight w:val="73"/>
        </w:trPr>
        <w:tc>
          <w:tcPr>
            <w:tcW w:w="900" w:type="dxa"/>
            <w:vAlign w:val="bottom"/>
            <w:tcBorders>
              <w:left w:val="single" w:sz="8" w:color="auto"/>
              <w:right w:val="single" w:sz="8" w:color="auto"/>
            </w:tcBorders>
            <w:vMerge w:val="continue"/>
          </w:tcPr>
          <w:p>
            <w:pPr>
              <w:spacing w:after="0"/>
              <w:rPr>
                <w:sz w:val="6"/>
                <w:szCs w:val="6"/>
                <w:color w:val="auto"/>
              </w:rPr>
            </w:pPr>
          </w:p>
        </w:tc>
        <w:tc>
          <w:tcPr>
            <w:tcW w:w="2840" w:type="dxa"/>
            <w:vAlign w:val="bottom"/>
            <w:tcBorders>
              <w:right w:val="single" w:sz="8" w:color="auto"/>
            </w:tcBorders>
            <w:vMerge w:val="restart"/>
          </w:tcPr>
          <w:p>
            <w:pPr>
              <w:ind w:left="20"/>
              <w:spacing w:after="0" w:line="101" w:lineRule="exact"/>
              <w:rPr>
                <w:sz w:val="20"/>
                <w:szCs w:val="20"/>
                <w:color w:val="auto"/>
              </w:rPr>
            </w:pPr>
            <w:r>
              <w:rPr>
                <w:rFonts w:ascii="Arial" w:cs="Arial" w:eastAsia="Arial" w:hAnsi="Arial"/>
                <w:sz w:val="10"/>
                <w:szCs w:val="10"/>
                <w:color w:val="auto"/>
              </w:rPr>
              <w:t>Reinsurance Results</w:t>
            </w:r>
          </w:p>
        </w:tc>
        <w:tc>
          <w:tcPr>
            <w:tcW w:w="840" w:type="dxa"/>
            <w:vAlign w:val="bottom"/>
            <w:vMerge w:val="restart"/>
          </w:tcPr>
          <w:p>
            <w:pPr>
              <w:jc w:val="right"/>
              <w:ind w:right="53"/>
              <w:spacing w:after="0" w:line="101" w:lineRule="exact"/>
              <w:rPr>
                <w:sz w:val="20"/>
                <w:szCs w:val="20"/>
                <w:color w:val="auto"/>
              </w:rPr>
            </w:pPr>
            <w:r>
              <w:rPr>
                <w:rFonts w:ascii="Arial" w:cs="Arial" w:eastAsia="Arial" w:hAnsi="Arial"/>
                <w:sz w:val="10"/>
                <w:szCs w:val="10"/>
                <w:color w:val="auto"/>
              </w:rPr>
              <w:t>(294.7)</w:t>
            </w:r>
          </w:p>
        </w:tc>
        <w:tc>
          <w:tcPr>
            <w:tcW w:w="840" w:type="dxa"/>
            <w:vAlign w:val="bottom"/>
            <w:vMerge w:val="restart"/>
          </w:tcPr>
          <w:p>
            <w:pPr>
              <w:jc w:val="right"/>
              <w:ind w:right="113"/>
              <w:spacing w:after="0" w:line="101" w:lineRule="exact"/>
              <w:rPr>
                <w:sz w:val="20"/>
                <w:szCs w:val="20"/>
                <w:color w:val="auto"/>
              </w:rPr>
            </w:pPr>
            <w:r>
              <w:rPr>
                <w:rFonts w:ascii="Arial" w:cs="Arial" w:eastAsia="Arial" w:hAnsi="Arial"/>
                <w:sz w:val="10"/>
                <w:szCs w:val="10"/>
                <w:color w:val="auto"/>
              </w:rPr>
              <w:t>(256.3)</w:t>
            </w:r>
          </w:p>
        </w:tc>
        <w:tc>
          <w:tcPr>
            <w:tcW w:w="660" w:type="dxa"/>
            <w:vAlign w:val="bottom"/>
            <w:tcBorders>
              <w:right w:val="single" w:sz="8" w:color="auto"/>
            </w:tcBorders>
            <w:vMerge w:val="restart"/>
          </w:tcPr>
          <w:p>
            <w:pPr>
              <w:jc w:val="right"/>
              <w:spacing w:after="0" w:line="101" w:lineRule="exact"/>
              <w:rPr>
                <w:sz w:val="20"/>
                <w:szCs w:val="20"/>
                <w:color w:val="auto"/>
              </w:rPr>
            </w:pPr>
            <w:r>
              <w:rPr>
                <w:rFonts w:ascii="Arial" w:cs="Arial" w:eastAsia="Arial" w:hAnsi="Arial"/>
                <w:sz w:val="10"/>
                <w:szCs w:val="10"/>
                <w:color w:val="auto"/>
              </w:rPr>
              <w:t>(223.3)</w:t>
            </w:r>
          </w:p>
        </w:tc>
        <w:tc>
          <w:tcPr>
            <w:tcW w:w="78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4"/>
              </w:rPr>
              <w:t>-37.5%</w:t>
            </w:r>
          </w:p>
        </w:tc>
        <w:tc>
          <w:tcPr>
            <w:tcW w:w="800" w:type="dxa"/>
            <w:vAlign w:val="bottom"/>
            <w:tcBorders>
              <w:right w:val="single" w:sz="8" w:color="auto"/>
            </w:tcBorders>
            <w:vMerge w:val="restart"/>
          </w:tcPr>
          <w:p>
            <w:pPr>
              <w:jc w:val="center"/>
              <w:spacing w:after="0" w:line="101" w:lineRule="exact"/>
              <w:rPr>
                <w:sz w:val="20"/>
                <w:szCs w:val="20"/>
                <w:color w:val="auto"/>
              </w:rPr>
            </w:pPr>
            <w:r>
              <w:rPr>
                <w:rFonts w:ascii="Arial" w:cs="Arial" w:eastAsia="Arial" w:hAnsi="Arial"/>
                <w:sz w:val="10"/>
                <w:szCs w:val="10"/>
                <w:color w:val="auto"/>
                <w:w w:val="94"/>
              </w:rPr>
              <w:t>-49.1%</w:t>
            </w:r>
          </w:p>
        </w:tc>
        <w:tc>
          <w:tcPr>
            <w:tcW w:w="980" w:type="dxa"/>
            <w:vAlign w:val="bottom"/>
            <w:vMerge w:val="restart"/>
          </w:tcPr>
          <w:p>
            <w:pPr>
              <w:jc w:val="right"/>
              <w:ind w:right="173"/>
              <w:spacing w:after="0" w:line="101" w:lineRule="exact"/>
              <w:rPr>
                <w:sz w:val="20"/>
                <w:szCs w:val="20"/>
                <w:color w:val="auto"/>
              </w:rPr>
            </w:pPr>
            <w:r>
              <w:rPr>
                <w:rFonts w:ascii="Arial" w:cs="Arial" w:eastAsia="Arial" w:hAnsi="Arial"/>
                <w:sz w:val="10"/>
                <w:szCs w:val="10"/>
                <w:color w:val="auto"/>
              </w:rPr>
              <w:t>-579.1</w:t>
            </w:r>
          </w:p>
        </w:tc>
        <w:tc>
          <w:tcPr>
            <w:tcW w:w="620" w:type="dxa"/>
            <w:vAlign w:val="bottom"/>
            <w:tcBorders>
              <w:right w:val="single" w:sz="8" w:color="auto"/>
            </w:tcBorders>
            <w:vMerge w:val="restart"/>
          </w:tcPr>
          <w:p>
            <w:pPr>
              <w:jc w:val="right"/>
              <w:spacing w:after="0" w:line="101" w:lineRule="exact"/>
              <w:rPr>
                <w:sz w:val="20"/>
                <w:szCs w:val="20"/>
                <w:color w:val="auto"/>
              </w:rPr>
            </w:pPr>
            <w:r>
              <w:rPr>
                <w:rFonts w:ascii="Arial" w:cs="Arial" w:eastAsia="Arial" w:hAnsi="Arial"/>
                <w:sz w:val="10"/>
                <w:szCs w:val="10"/>
                <w:color w:val="auto"/>
              </w:rPr>
              <w:t>-479.6</w:t>
            </w:r>
          </w:p>
        </w:tc>
        <w:tc>
          <w:tcPr>
            <w:tcW w:w="1120" w:type="dxa"/>
            <w:vAlign w:val="bottom"/>
            <w:tcBorders>
              <w:right w:val="single" w:sz="8" w:color="auto"/>
            </w:tcBorders>
            <w:vMerge w:val="restart"/>
          </w:tcPr>
          <w:p>
            <w:pPr>
              <w:jc w:val="center"/>
              <w:spacing w:after="0" w:line="101" w:lineRule="exact"/>
              <w:rPr>
                <w:sz w:val="20"/>
                <w:szCs w:val="20"/>
                <w:color w:val="auto"/>
              </w:rPr>
            </w:pPr>
            <w:r>
              <w:rPr>
                <w:rFonts w:ascii="Arial" w:cs="Arial" w:eastAsia="Arial" w:hAnsi="Arial"/>
                <w:sz w:val="10"/>
                <w:szCs w:val="10"/>
                <w:color w:val="auto"/>
                <w:w w:val="94"/>
              </w:rPr>
              <w:t>-34.5%</w:t>
            </w:r>
          </w:p>
        </w:tc>
        <w:tc>
          <w:tcPr>
            <w:tcW w:w="0" w:type="dxa"/>
            <w:vAlign w:val="bottom"/>
          </w:tcPr>
          <w:p>
            <w:pPr>
              <w:spacing w:after="0"/>
              <w:rPr>
                <w:sz w:val="1"/>
                <w:szCs w:val="1"/>
                <w:color w:val="auto"/>
              </w:rPr>
            </w:pPr>
          </w:p>
        </w:tc>
      </w:tr>
      <w:tr>
        <w:trPr>
          <w:trHeight w:val="27"/>
        </w:trPr>
        <w:tc>
          <w:tcPr>
            <w:tcW w:w="900" w:type="dxa"/>
            <w:vAlign w:val="bottom"/>
            <w:tcBorders>
              <w:left w:val="single" w:sz="8" w:color="auto"/>
              <w:right w:val="single" w:sz="8" w:color="auto"/>
            </w:tcBorders>
          </w:tcPr>
          <w:p>
            <w:pPr>
              <w:spacing w:after="0"/>
              <w:rPr>
                <w:sz w:val="2"/>
                <w:szCs w:val="2"/>
                <w:color w:val="auto"/>
              </w:rPr>
            </w:pPr>
          </w:p>
        </w:tc>
        <w:tc>
          <w:tcPr>
            <w:tcW w:w="2840" w:type="dxa"/>
            <w:vAlign w:val="bottom"/>
            <w:tcBorders>
              <w:right w:val="single" w:sz="8" w:color="auto"/>
            </w:tcBorders>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660" w:type="dxa"/>
            <w:vAlign w:val="bottom"/>
            <w:tcBorders>
              <w:right w:val="single" w:sz="8" w:color="auto"/>
            </w:tcBorders>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800" w:type="dxa"/>
            <w:vAlign w:val="bottom"/>
            <w:tcBorders>
              <w:right w:val="single" w:sz="8" w:color="auto"/>
            </w:tcBorders>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620" w:type="dxa"/>
            <w:vAlign w:val="bottom"/>
            <w:tcBorders>
              <w:right w:val="single" w:sz="8" w:color="auto"/>
            </w:tcBorders>
            <w:vMerge w:val="continue"/>
          </w:tcPr>
          <w:p>
            <w:pPr>
              <w:spacing w:after="0"/>
              <w:rPr>
                <w:sz w:val="2"/>
                <w:szCs w:val="2"/>
                <w:color w:val="auto"/>
              </w:rPr>
            </w:pPr>
          </w:p>
        </w:tc>
        <w:tc>
          <w:tcPr>
            <w:tcW w:w="11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900" w:type="dxa"/>
            <w:vAlign w:val="bottom"/>
            <w:tcBorders>
              <w:left w:val="single" w:sz="8" w:color="auto"/>
              <w:bottom w:val="single" w:sz="8" w:color="auto"/>
              <w:right w:val="single" w:sz="8" w:color="auto"/>
            </w:tcBorders>
          </w:tcPr>
          <w:p>
            <w:pPr>
              <w:spacing w:after="0"/>
              <w:rPr>
                <w:sz w:val="10"/>
                <w:szCs w:val="10"/>
                <w:color w:val="auto"/>
              </w:rPr>
            </w:pP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Insurance Undewrwriting Result</w:t>
            </w: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0"/>
                <w:szCs w:val="10"/>
                <w:b w:val="1"/>
                <w:bCs w:val="1"/>
                <w:color w:val="auto"/>
              </w:rPr>
              <w:t>196.8</w:t>
            </w: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0"/>
                <w:szCs w:val="10"/>
                <w:b w:val="1"/>
                <w:bCs w:val="1"/>
                <w:color w:val="auto"/>
              </w:rPr>
              <w:t>181.8</w:t>
            </w: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auto"/>
              </w:rPr>
              <w:t>232.8</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28.1%</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18.3%</w:t>
            </w: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0"/>
                <w:szCs w:val="10"/>
                <w:b w:val="1"/>
                <w:bCs w:val="1"/>
                <w:color w:val="auto"/>
              </w:rPr>
              <w:t>432.1</w:t>
            </w: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auto"/>
              </w:rPr>
              <w:t>414.6</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-4.0%</w:t>
            </w:r>
          </w:p>
        </w:tc>
        <w:tc>
          <w:tcPr>
            <w:tcW w:w="0" w:type="dxa"/>
            <w:vAlign w:val="bottom"/>
          </w:tcPr>
          <w:p>
            <w:pPr>
              <w:spacing w:after="0"/>
              <w:rPr>
                <w:sz w:val="1"/>
                <w:szCs w:val="1"/>
                <w:color w:val="auto"/>
              </w:rPr>
            </w:pPr>
          </w:p>
        </w:tc>
      </w:tr>
      <w:tr>
        <w:trPr>
          <w:trHeight w:val="81"/>
        </w:trPr>
        <w:tc>
          <w:tcPr>
            <w:tcW w:w="900" w:type="dxa"/>
            <w:vAlign w:val="bottom"/>
            <w:tcBorders>
              <w:left w:val="single" w:sz="8" w:color="auto"/>
              <w:right w:val="single" w:sz="8" w:color="auto"/>
            </w:tcBorders>
          </w:tcPr>
          <w:p>
            <w:pPr>
              <w:spacing w:after="0"/>
              <w:rPr>
                <w:sz w:val="7"/>
                <w:szCs w:val="7"/>
                <w:color w:val="auto"/>
              </w:rPr>
            </w:pPr>
          </w:p>
        </w:tc>
        <w:tc>
          <w:tcPr>
            <w:tcW w:w="2840" w:type="dxa"/>
            <w:vAlign w:val="bottom"/>
            <w:tcBorders>
              <w:right w:val="single" w:sz="8" w:color="auto"/>
            </w:tcBorders>
          </w:tcPr>
          <w:p>
            <w:pPr>
              <w:ind w:left="20"/>
              <w:spacing w:after="0" w:line="81" w:lineRule="exact"/>
              <w:rPr>
                <w:sz w:val="20"/>
                <w:szCs w:val="20"/>
                <w:color w:val="auto"/>
              </w:rPr>
            </w:pPr>
            <w:r>
              <w:rPr>
                <w:rFonts w:ascii="Arial" w:cs="Arial" w:eastAsia="Arial" w:hAnsi="Arial"/>
                <w:sz w:val="8"/>
                <w:szCs w:val="8"/>
                <w:color w:val="auto"/>
              </w:rPr>
              <w:t>Income from Insurance Services</w:t>
            </w:r>
          </w:p>
        </w:tc>
        <w:tc>
          <w:tcPr>
            <w:tcW w:w="840" w:type="dxa"/>
            <w:vAlign w:val="bottom"/>
          </w:tcPr>
          <w:p>
            <w:pPr>
              <w:jc w:val="right"/>
              <w:ind w:right="53"/>
              <w:spacing w:after="0" w:line="81" w:lineRule="exact"/>
              <w:rPr>
                <w:sz w:val="20"/>
                <w:szCs w:val="20"/>
                <w:color w:val="auto"/>
              </w:rPr>
            </w:pPr>
            <w:r>
              <w:rPr>
                <w:rFonts w:ascii="Arial" w:cs="Arial" w:eastAsia="Arial" w:hAnsi="Arial"/>
                <w:sz w:val="8"/>
                <w:szCs w:val="8"/>
                <w:color w:val="auto"/>
              </w:rPr>
              <w:t>29.6</w:t>
            </w:r>
          </w:p>
        </w:tc>
        <w:tc>
          <w:tcPr>
            <w:tcW w:w="840" w:type="dxa"/>
            <w:vAlign w:val="bottom"/>
          </w:tcPr>
          <w:p>
            <w:pPr>
              <w:jc w:val="right"/>
              <w:ind w:right="113"/>
              <w:spacing w:after="0" w:line="81" w:lineRule="exact"/>
              <w:rPr>
                <w:sz w:val="20"/>
                <w:szCs w:val="20"/>
                <w:color w:val="auto"/>
              </w:rPr>
            </w:pPr>
            <w:r>
              <w:rPr>
                <w:rFonts w:ascii="Arial" w:cs="Arial" w:eastAsia="Arial" w:hAnsi="Arial"/>
                <w:sz w:val="8"/>
                <w:szCs w:val="8"/>
                <w:color w:val="auto"/>
              </w:rPr>
              <w:t>34.4</w:t>
            </w:r>
          </w:p>
        </w:tc>
        <w:tc>
          <w:tcPr>
            <w:tcW w:w="660" w:type="dxa"/>
            <w:vAlign w:val="bottom"/>
            <w:tcBorders>
              <w:right w:val="single" w:sz="8" w:color="auto"/>
            </w:tcBorders>
          </w:tcPr>
          <w:p>
            <w:pPr>
              <w:jc w:val="right"/>
              <w:spacing w:after="0" w:line="81" w:lineRule="exact"/>
              <w:rPr>
                <w:sz w:val="20"/>
                <w:szCs w:val="20"/>
                <w:color w:val="auto"/>
              </w:rPr>
            </w:pPr>
            <w:r>
              <w:rPr>
                <w:rFonts w:ascii="Arial" w:cs="Arial" w:eastAsia="Arial" w:hAnsi="Arial"/>
                <w:sz w:val="8"/>
                <w:szCs w:val="8"/>
                <w:color w:val="auto"/>
              </w:rPr>
              <w:t>16.0</w:t>
            </w:r>
          </w:p>
        </w:tc>
        <w:tc>
          <w:tcPr>
            <w:tcW w:w="780" w:type="dxa"/>
            <w:vAlign w:val="bottom"/>
          </w:tcPr>
          <w:p>
            <w:pPr>
              <w:jc w:val="center"/>
              <w:spacing w:after="0" w:line="81" w:lineRule="exact"/>
              <w:rPr>
                <w:sz w:val="20"/>
                <w:szCs w:val="20"/>
                <w:color w:val="auto"/>
              </w:rPr>
            </w:pPr>
            <w:r>
              <w:rPr>
                <w:rFonts w:ascii="Arial" w:cs="Arial" w:eastAsia="Arial" w:hAnsi="Arial"/>
                <w:sz w:val="8"/>
                <w:szCs w:val="8"/>
                <w:color w:val="auto"/>
              </w:rPr>
              <w:t>-53.5%</w:t>
            </w:r>
          </w:p>
        </w:tc>
        <w:tc>
          <w:tcPr>
            <w:tcW w:w="80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-46.0%</w:t>
            </w:r>
          </w:p>
        </w:tc>
        <w:tc>
          <w:tcPr>
            <w:tcW w:w="980" w:type="dxa"/>
            <w:vAlign w:val="bottom"/>
          </w:tcPr>
          <w:p>
            <w:pPr>
              <w:jc w:val="right"/>
              <w:ind w:right="173"/>
              <w:spacing w:after="0" w:line="81" w:lineRule="exact"/>
              <w:rPr>
                <w:sz w:val="20"/>
                <w:szCs w:val="20"/>
                <w:color w:val="auto"/>
              </w:rPr>
            </w:pPr>
            <w:r>
              <w:rPr>
                <w:rFonts w:ascii="Arial" w:cs="Arial" w:eastAsia="Arial" w:hAnsi="Arial"/>
                <w:sz w:val="8"/>
                <w:szCs w:val="8"/>
                <w:color w:val="auto"/>
              </w:rPr>
              <w:t>52.6</w:t>
            </w:r>
          </w:p>
        </w:tc>
        <w:tc>
          <w:tcPr>
            <w:tcW w:w="620" w:type="dxa"/>
            <w:vAlign w:val="bottom"/>
            <w:tcBorders>
              <w:right w:val="single" w:sz="8" w:color="auto"/>
            </w:tcBorders>
          </w:tcPr>
          <w:p>
            <w:pPr>
              <w:jc w:val="right"/>
              <w:spacing w:after="0" w:line="81" w:lineRule="exact"/>
              <w:rPr>
                <w:sz w:val="20"/>
                <w:szCs w:val="20"/>
                <w:color w:val="auto"/>
              </w:rPr>
            </w:pPr>
            <w:r>
              <w:rPr>
                <w:rFonts w:ascii="Arial" w:cs="Arial" w:eastAsia="Arial" w:hAnsi="Arial"/>
                <w:sz w:val="8"/>
                <w:szCs w:val="8"/>
                <w:color w:val="auto"/>
              </w:rPr>
              <w:t>50.4</w:t>
            </w:r>
          </w:p>
        </w:tc>
        <w:tc>
          <w:tcPr>
            <w:tcW w:w="112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-4.2%</w:t>
            </w:r>
          </w:p>
        </w:tc>
        <w:tc>
          <w:tcPr>
            <w:tcW w:w="0" w:type="dxa"/>
            <w:vAlign w:val="bottom"/>
          </w:tcPr>
          <w:p>
            <w:pPr>
              <w:spacing w:after="0"/>
              <w:rPr>
                <w:sz w:val="1"/>
                <w:szCs w:val="1"/>
                <w:color w:val="auto"/>
              </w:rPr>
            </w:pPr>
          </w:p>
        </w:tc>
      </w:tr>
      <w:tr>
        <w:trPr>
          <w:trHeight w:val="103"/>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0"/>
                <w:szCs w:val="10"/>
                <w:color w:val="auto"/>
                <w:w w:val="97"/>
              </w:rPr>
              <w:t>Crediseguros</w:t>
            </w:r>
          </w:p>
        </w:tc>
        <w:tc>
          <w:tcPr>
            <w:tcW w:w="2840" w:type="dxa"/>
            <w:vAlign w:val="bottom"/>
            <w:tcBorders>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Expenses for Insurance Services</w:t>
            </w:r>
          </w:p>
        </w:tc>
        <w:tc>
          <w:tcPr>
            <w:tcW w:w="840" w:type="dxa"/>
            <w:vAlign w:val="bottom"/>
          </w:tcPr>
          <w:p>
            <w:pPr>
              <w:jc w:val="right"/>
              <w:ind w:right="53"/>
              <w:spacing w:after="0" w:line="103" w:lineRule="exact"/>
              <w:rPr>
                <w:sz w:val="20"/>
                <w:szCs w:val="20"/>
                <w:color w:val="auto"/>
              </w:rPr>
            </w:pPr>
            <w:r>
              <w:rPr>
                <w:rFonts w:ascii="Arial" w:cs="Arial" w:eastAsia="Arial" w:hAnsi="Arial"/>
                <w:sz w:val="10"/>
                <w:szCs w:val="10"/>
                <w:color w:val="auto"/>
              </w:rPr>
              <w:t>(10.2)</w:t>
            </w:r>
          </w:p>
        </w:tc>
        <w:tc>
          <w:tcPr>
            <w:tcW w:w="840" w:type="dxa"/>
            <w:vAlign w:val="bottom"/>
          </w:tcPr>
          <w:p>
            <w:pPr>
              <w:jc w:val="right"/>
              <w:ind w:right="113"/>
              <w:spacing w:after="0" w:line="103" w:lineRule="exact"/>
              <w:rPr>
                <w:sz w:val="20"/>
                <w:szCs w:val="20"/>
                <w:color w:val="auto"/>
              </w:rPr>
            </w:pPr>
            <w:r>
              <w:rPr>
                <w:rFonts w:ascii="Arial" w:cs="Arial" w:eastAsia="Arial" w:hAnsi="Arial"/>
                <w:sz w:val="10"/>
                <w:szCs w:val="10"/>
                <w:color w:val="auto"/>
              </w:rPr>
              <w:t>(11.5)</w:t>
            </w:r>
          </w:p>
        </w:tc>
        <w:tc>
          <w:tcPr>
            <w:tcW w:w="660" w:type="dxa"/>
            <w:vAlign w:val="bottom"/>
            <w:tcBorders>
              <w:right w:val="single" w:sz="8" w:color="auto"/>
            </w:tcBorders>
          </w:tcPr>
          <w:p>
            <w:pPr>
              <w:jc w:val="right"/>
              <w:spacing w:after="0" w:line="103" w:lineRule="exact"/>
              <w:rPr>
                <w:sz w:val="20"/>
                <w:szCs w:val="20"/>
                <w:color w:val="auto"/>
              </w:rPr>
            </w:pPr>
            <w:r>
              <w:rPr>
                <w:rFonts w:ascii="Arial" w:cs="Arial" w:eastAsia="Arial" w:hAnsi="Arial"/>
                <w:sz w:val="10"/>
                <w:szCs w:val="10"/>
                <w:color w:val="auto"/>
              </w:rPr>
              <w:t>5.9</w:t>
            </w:r>
          </w:p>
        </w:tc>
        <w:tc>
          <w:tcPr>
            <w:tcW w:w="780" w:type="dxa"/>
            <w:vAlign w:val="bottom"/>
          </w:tcPr>
          <w:p>
            <w:pPr>
              <w:jc w:val="center"/>
              <w:spacing w:after="0" w:line="103" w:lineRule="exact"/>
              <w:rPr>
                <w:sz w:val="20"/>
                <w:szCs w:val="20"/>
                <w:color w:val="auto"/>
              </w:rPr>
            </w:pPr>
            <w:r>
              <w:rPr>
                <w:rFonts w:ascii="Arial" w:cs="Arial" w:eastAsia="Arial" w:hAnsi="Arial"/>
                <w:sz w:val="10"/>
                <w:szCs w:val="10"/>
                <w:color w:val="auto"/>
                <w:w w:val="96"/>
              </w:rPr>
              <w:t>-151.4%</w:t>
            </w:r>
          </w:p>
        </w:tc>
        <w:tc>
          <w:tcPr>
            <w:tcW w:w="8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-158.0%</w:t>
            </w:r>
          </w:p>
        </w:tc>
        <w:tc>
          <w:tcPr>
            <w:tcW w:w="980" w:type="dxa"/>
            <w:vAlign w:val="bottom"/>
          </w:tcPr>
          <w:p>
            <w:pPr>
              <w:jc w:val="right"/>
              <w:ind w:right="173"/>
              <w:spacing w:after="0" w:line="103" w:lineRule="exact"/>
              <w:rPr>
                <w:sz w:val="20"/>
                <w:szCs w:val="20"/>
                <w:color w:val="auto"/>
              </w:rPr>
            </w:pPr>
            <w:r>
              <w:rPr>
                <w:rFonts w:ascii="Arial" w:cs="Arial" w:eastAsia="Arial" w:hAnsi="Arial"/>
                <w:sz w:val="10"/>
                <w:szCs w:val="10"/>
                <w:color w:val="auto"/>
              </w:rPr>
              <w:t>-16.5</w:t>
            </w:r>
          </w:p>
        </w:tc>
        <w:tc>
          <w:tcPr>
            <w:tcW w:w="620" w:type="dxa"/>
            <w:vAlign w:val="bottom"/>
            <w:tcBorders>
              <w:right w:val="single" w:sz="8" w:color="auto"/>
            </w:tcBorders>
          </w:tcPr>
          <w:p>
            <w:pPr>
              <w:jc w:val="right"/>
              <w:spacing w:after="0" w:line="103" w:lineRule="exact"/>
              <w:rPr>
                <w:sz w:val="20"/>
                <w:szCs w:val="20"/>
                <w:color w:val="auto"/>
              </w:rPr>
            </w:pPr>
            <w:r>
              <w:rPr>
                <w:rFonts w:ascii="Arial" w:cs="Arial" w:eastAsia="Arial" w:hAnsi="Arial"/>
                <w:sz w:val="10"/>
                <w:szCs w:val="10"/>
                <w:color w:val="auto"/>
              </w:rPr>
              <w:t>-5.6</w:t>
            </w:r>
          </w:p>
        </w:tc>
        <w:tc>
          <w:tcPr>
            <w:tcW w:w="11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-65.9%</w:t>
            </w:r>
          </w:p>
        </w:tc>
        <w:tc>
          <w:tcPr>
            <w:tcW w:w="0" w:type="dxa"/>
            <w:vAlign w:val="bottom"/>
          </w:tcPr>
          <w:p>
            <w:pPr>
              <w:spacing w:after="0"/>
              <w:rPr>
                <w:sz w:val="1"/>
                <w:szCs w:val="1"/>
                <w:color w:val="auto"/>
              </w:rPr>
            </w:pPr>
          </w:p>
        </w:tc>
      </w:tr>
      <w:tr>
        <w:trPr>
          <w:trHeight w:val="73"/>
        </w:trPr>
        <w:tc>
          <w:tcPr>
            <w:tcW w:w="900" w:type="dxa"/>
            <w:vAlign w:val="bottom"/>
            <w:tcBorders>
              <w:left w:val="single" w:sz="8" w:color="auto"/>
              <w:right w:val="single" w:sz="8" w:color="auto"/>
            </w:tcBorders>
            <w:vMerge w:val="continue"/>
          </w:tcPr>
          <w:p>
            <w:pPr>
              <w:spacing w:after="0"/>
              <w:rPr>
                <w:sz w:val="6"/>
                <w:szCs w:val="6"/>
                <w:color w:val="auto"/>
              </w:rPr>
            </w:pPr>
          </w:p>
        </w:tc>
        <w:tc>
          <w:tcPr>
            <w:tcW w:w="2840" w:type="dxa"/>
            <w:vAlign w:val="bottom"/>
            <w:tcBorders>
              <w:right w:val="single" w:sz="8" w:color="auto"/>
            </w:tcBorders>
            <w:vMerge w:val="restart"/>
          </w:tcPr>
          <w:p>
            <w:pPr>
              <w:ind w:left="20"/>
              <w:spacing w:after="0" w:line="101" w:lineRule="exact"/>
              <w:rPr>
                <w:sz w:val="20"/>
                <w:szCs w:val="20"/>
                <w:color w:val="auto"/>
              </w:rPr>
            </w:pPr>
            <w:r>
              <w:rPr>
                <w:rFonts w:ascii="Arial" w:cs="Arial" w:eastAsia="Arial" w:hAnsi="Arial"/>
                <w:sz w:val="10"/>
                <w:szCs w:val="10"/>
                <w:color w:val="auto"/>
              </w:rPr>
              <w:t>Reinsurance Results</w:t>
            </w:r>
          </w:p>
        </w:tc>
        <w:tc>
          <w:tcPr>
            <w:tcW w:w="840" w:type="dxa"/>
            <w:vAlign w:val="bottom"/>
            <w:vMerge w:val="restart"/>
          </w:tcPr>
          <w:p>
            <w:pPr>
              <w:jc w:val="right"/>
              <w:ind w:right="53"/>
              <w:spacing w:after="0" w:line="101" w:lineRule="exact"/>
              <w:rPr>
                <w:sz w:val="20"/>
                <w:szCs w:val="20"/>
                <w:color w:val="auto"/>
              </w:rPr>
            </w:pPr>
            <w:r>
              <w:rPr>
                <w:rFonts w:ascii="Arial" w:cs="Arial" w:eastAsia="Arial" w:hAnsi="Arial"/>
                <w:sz w:val="10"/>
                <w:szCs w:val="10"/>
                <w:color w:val="auto"/>
              </w:rPr>
              <w:t>(7.6)</w:t>
            </w:r>
          </w:p>
        </w:tc>
        <w:tc>
          <w:tcPr>
            <w:tcW w:w="840" w:type="dxa"/>
            <w:vAlign w:val="bottom"/>
            <w:vMerge w:val="restart"/>
          </w:tcPr>
          <w:p>
            <w:pPr>
              <w:jc w:val="right"/>
              <w:ind w:right="113"/>
              <w:spacing w:after="0" w:line="101" w:lineRule="exact"/>
              <w:rPr>
                <w:sz w:val="20"/>
                <w:szCs w:val="20"/>
                <w:color w:val="auto"/>
              </w:rPr>
            </w:pPr>
            <w:r>
              <w:rPr>
                <w:rFonts w:ascii="Arial" w:cs="Arial" w:eastAsia="Arial" w:hAnsi="Arial"/>
                <w:sz w:val="10"/>
                <w:szCs w:val="10"/>
                <w:color w:val="auto"/>
              </w:rPr>
              <w:t>(8.5)</w:t>
            </w:r>
          </w:p>
        </w:tc>
        <w:tc>
          <w:tcPr>
            <w:tcW w:w="660" w:type="dxa"/>
            <w:vAlign w:val="bottom"/>
            <w:tcBorders>
              <w:right w:val="single" w:sz="8" w:color="auto"/>
            </w:tcBorders>
            <w:vMerge w:val="restart"/>
          </w:tcPr>
          <w:p>
            <w:pPr>
              <w:jc w:val="right"/>
              <w:spacing w:after="0" w:line="101" w:lineRule="exact"/>
              <w:rPr>
                <w:sz w:val="20"/>
                <w:szCs w:val="20"/>
                <w:color w:val="auto"/>
              </w:rPr>
            </w:pPr>
            <w:r>
              <w:rPr>
                <w:rFonts w:ascii="Arial" w:cs="Arial" w:eastAsia="Arial" w:hAnsi="Arial"/>
                <w:sz w:val="10"/>
                <w:szCs w:val="10"/>
                <w:color w:val="auto"/>
              </w:rPr>
              <w:t>(10.1)</w:t>
            </w:r>
          </w:p>
        </w:tc>
        <w:tc>
          <w:tcPr>
            <w:tcW w:w="78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8"/>
              </w:rPr>
              <w:t>19.5%</w:t>
            </w:r>
          </w:p>
        </w:tc>
        <w:tc>
          <w:tcPr>
            <w:tcW w:w="800" w:type="dxa"/>
            <w:vAlign w:val="bottom"/>
            <w:tcBorders>
              <w:right w:val="single" w:sz="8" w:color="auto"/>
            </w:tcBorders>
            <w:vMerge w:val="restart"/>
          </w:tcPr>
          <w:p>
            <w:pPr>
              <w:jc w:val="center"/>
              <w:spacing w:after="0" w:line="101" w:lineRule="exact"/>
              <w:rPr>
                <w:sz w:val="20"/>
                <w:szCs w:val="20"/>
                <w:color w:val="auto"/>
              </w:rPr>
            </w:pPr>
            <w:r>
              <w:rPr>
                <w:rFonts w:ascii="Arial" w:cs="Arial" w:eastAsia="Arial" w:hAnsi="Arial"/>
                <w:sz w:val="10"/>
                <w:szCs w:val="10"/>
                <w:color w:val="auto"/>
                <w:w w:val="91"/>
              </w:rPr>
              <w:t>33.3%</w:t>
            </w:r>
          </w:p>
        </w:tc>
        <w:tc>
          <w:tcPr>
            <w:tcW w:w="980" w:type="dxa"/>
            <w:vAlign w:val="bottom"/>
            <w:vMerge w:val="restart"/>
          </w:tcPr>
          <w:p>
            <w:pPr>
              <w:jc w:val="right"/>
              <w:ind w:right="173"/>
              <w:spacing w:after="0" w:line="101" w:lineRule="exact"/>
              <w:rPr>
                <w:sz w:val="20"/>
                <w:szCs w:val="20"/>
                <w:color w:val="auto"/>
              </w:rPr>
            </w:pPr>
            <w:r>
              <w:rPr>
                <w:rFonts w:ascii="Arial" w:cs="Arial" w:eastAsia="Arial" w:hAnsi="Arial"/>
                <w:sz w:val="10"/>
                <w:szCs w:val="10"/>
                <w:color w:val="auto"/>
              </w:rPr>
              <w:t>-13.2</w:t>
            </w:r>
          </w:p>
        </w:tc>
        <w:tc>
          <w:tcPr>
            <w:tcW w:w="620" w:type="dxa"/>
            <w:vAlign w:val="bottom"/>
            <w:tcBorders>
              <w:right w:val="single" w:sz="8" w:color="auto"/>
            </w:tcBorders>
            <w:vMerge w:val="restart"/>
          </w:tcPr>
          <w:p>
            <w:pPr>
              <w:jc w:val="right"/>
              <w:spacing w:after="0" w:line="101" w:lineRule="exact"/>
              <w:rPr>
                <w:sz w:val="20"/>
                <w:szCs w:val="20"/>
                <w:color w:val="auto"/>
              </w:rPr>
            </w:pPr>
            <w:r>
              <w:rPr>
                <w:rFonts w:ascii="Arial" w:cs="Arial" w:eastAsia="Arial" w:hAnsi="Arial"/>
                <w:sz w:val="10"/>
                <w:szCs w:val="10"/>
                <w:color w:val="auto"/>
              </w:rPr>
              <w:t>-18.6</w:t>
            </w:r>
          </w:p>
        </w:tc>
        <w:tc>
          <w:tcPr>
            <w:tcW w:w="1120" w:type="dxa"/>
            <w:vAlign w:val="bottom"/>
            <w:tcBorders>
              <w:right w:val="single" w:sz="8" w:color="auto"/>
            </w:tcBorders>
            <w:vMerge w:val="restart"/>
          </w:tcPr>
          <w:p>
            <w:pPr>
              <w:jc w:val="center"/>
              <w:spacing w:after="0" w:line="101" w:lineRule="exact"/>
              <w:rPr>
                <w:sz w:val="20"/>
                <w:szCs w:val="20"/>
                <w:color w:val="auto"/>
              </w:rPr>
            </w:pPr>
            <w:r>
              <w:rPr>
                <w:rFonts w:ascii="Arial" w:cs="Arial" w:eastAsia="Arial" w:hAnsi="Arial"/>
                <w:sz w:val="10"/>
                <w:szCs w:val="10"/>
                <w:color w:val="auto"/>
                <w:w w:val="98"/>
              </w:rPr>
              <w:t>40.3%</w:t>
            </w:r>
          </w:p>
        </w:tc>
        <w:tc>
          <w:tcPr>
            <w:tcW w:w="0" w:type="dxa"/>
            <w:vAlign w:val="bottom"/>
          </w:tcPr>
          <w:p>
            <w:pPr>
              <w:spacing w:after="0"/>
              <w:rPr>
                <w:sz w:val="1"/>
                <w:szCs w:val="1"/>
                <w:color w:val="auto"/>
              </w:rPr>
            </w:pPr>
          </w:p>
        </w:tc>
      </w:tr>
      <w:tr>
        <w:trPr>
          <w:trHeight w:val="27"/>
        </w:trPr>
        <w:tc>
          <w:tcPr>
            <w:tcW w:w="900" w:type="dxa"/>
            <w:vAlign w:val="bottom"/>
            <w:tcBorders>
              <w:left w:val="single" w:sz="8" w:color="auto"/>
              <w:right w:val="single" w:sz="8" w:color="auto"/>
            </w:tcBorders>
          </w:tcPr>
          <w:p>
            <w:pPr>
              <w:spacing w:after="0"/>
              <w:rPr>
                <w:sz w:val="2"/>
                <w:szCs w:val="2"/>
                <w:color w:val="auto"/>
              </w:rPr>
            </w:pPr>
          </w:p>
        </w:tc>
        <w:tc>
          <w:tcPr>
            <w:tcW w:w="2840" w:type="dxa"/>
            <w:vAlign w:val="bottom"/>
            <w:tcBorders>
              <w:right w:val="single" w:sz="8" w:color="auto"/>
            </w:tcBorders>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660" w:type="dxa"/>
            <w:vAlign w:val="bottom"/>
            <w:tcBorders>
              <w:right w:val="single" w:sz="8" w:color="auto"/>
            </w:tcBorders>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800" w:type="dxa"/>
            <w:vAlign w:val="bottom"/>
            <w:tcBorders>
              <w:right w:val="single" w:sz="8" w:color="auto"/>
            </w:tcBorders>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620" w:type="dxa"/>
            <w:vAlign w:val="bottom"/>
            <w:tcBorders>
              <w:right w:val="single" w:sz="8" w:color="auto"/>
            </w:tcBorders>
            <w:vMerge w:val="continue"/>
          </w:tcPr>
          <w:p>
            <w:pPr>
              <w:spacing w:after="0"/>
              <w:rPr>
                <w:sz w:val="2"/>
                <w:szCs w:val="2"/>
                <w:color w:val="auto"/>
              </w:rPr>
            </w:pPr>
          </w:p>
        </w:tc>
        <w:tc>
          <w:tcPr>
            <w:tcW w:w="11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900" w:type="dxa"/>
            <w:vAlign w:val="bottom"/>
            <w:tcBorders>
              <w:left w:val="single" w:sz="8" w:color="auto"/>
              <w:bottom w:val="single" w:sz="8" w:color="auto"/>
              <w:right w:val="single" w:sz="8" w:color="auto"/>
            </w:tcBorders>
          </w:tcPr>
          <w:p>
            <w:pPr>
              <w:spacing w:after="0"/>
              <w:rPr>
                <w:sz w:val="10"/>
                <w:szCs w:val="10"/>
                <w:color w:val="auto"/>
              </w:rPr>
            </w:pP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Insurance Undewrwriting Result</w:t>
            </w:r>
          </w:p>
        </w:tc>
        <w:tc>
          <w:tcPr>
            <w:tcW w:w="840" w:type="dxa"/>
            <w:vAlign w:val="bottom"/>
            <w:tcBorders>
              <w:bottom w:val="single" w:sz="8" w:color="auto"/>
            </w:tcBorders>
          </w:tcPr>
          <w:p>
            <w:pPr>
              <w:jc w:val="right"/>
              <w:ind w:right="53"/>
              <w:spacing w:after="0"/>
              <w:rPr>
                <w:sz w:val="20"/>
                <w:szCs w:val="20"/>
                <w:color w:val="auto"/>
              </w:rPr>
            </w:pPr>
            <w:r>
              <w:rPr>
                <w:rFonts w:ascii="Arial" w:cs="Arial" w:eastAsia="Arial" w:hAnsi="Arial"/>
                <w:sz w:val="10"/>
                <w:szCs w:val="10"/>
                <w:b w:val="1"/>
                <w:bCs w:val="1"/>
                <w:color w:val="auto"/>
              </w:rPr>
              <w:t>11.8</w:t>
            </w: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0"/>
                <w:szCs w:val="10"/>
                <w:b w:val="1"/>
                <w:bCs w:val="1"/>
                <w:color w:val="auto"/>
              </w:rPr>
              <w:t>14.4</w:t>
            </w:r>
          </w:p>
        </w:tc>
        <w:tc>
          <w:tcPr>
            <w:tcW w:w="6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auto"/>
              </w:rPr>
              <w:t>11.8</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-17.9%</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0.4%</w:t>
            </w: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0"/>
                <w:szCs w:val="10"/>
                <w:b w:val="1"/>
                <w:bCs w:val="1"/>
                <w:color w:val="auto"/>
              </w:rPr>
              <w:t>22.9</w:t>
            </w: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auto"/>
              </w:rPr>
              <w:t>26.2</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14.5%</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5" w:right="80"/>
        <w:spacing w:after="0" w:line="258" w:lineRule="auto"/>
        <w:rPr>
          <w:sz w:val="20"/>
          <w:szCs w:val="20"/>
          <w:color w:val="auto"/>
        </w:rPr>
      </w:pPr>
      <w:r>
        <w:rPr>
          <w:rFonts w:ascii="Arial" w:cs="Arial" w:eastAsia="Arial" w:hAnsi="Arial"/>
          <w:sz w:val="14"/>
          <w:szCs w:val="14"/>
          <w:color w:val="auto"/>
        </w:rPr>
        <w:t>QoQ, the Insurance Underwriting Result rose 13.1% due to a significant improvement in Reinsurance results (-46.6%). This was partially offset by lower Insurance Service Income (-3.1%) and an uptick in Insurance Service Expenses (+4.2%).</w:t>
      </w:r>
    </w:p>
    <w:p>
      <w:pPr>
        <w:spacing w:after="0" w:line="117" w:lineRule="exact"/>
        <w:rPr>
          <w:sz w:val="20"/>
          <w:szCs w:val="20"/>
          <w:color w:val="auto"/>
        </w:rPr>
      </w:pPr>
    </w:p>
    <w:p>
      <w:pPr>
        <w:ind w:left="5" w:right="380"/>
        <w:spacing w:after="0" w:line="258" w:lineRule="auto"/>
        <w:rPr>
          <w:sz w:val="20"/>
          <w:szCs w:val="20"/>
          <w:color w:val="auto"/>
        </w:rPr>
      </w:pPr>
      <w:r>
        <w:rPr>
          <w:rFonts w:ascii="Arial" w:cs="Arial" w:eastAsia="Arial" w:hAnsi="Arial"/>
          <w:sz w:val="14"/>
          <w:szCs w:val="14"/>
          <w:color w:val="auto"/>
        </w:rPr>
        <w:t>YoY, the Insurance Underwriting Result increased 6.4%, driven by a drop in Insurance Service Expenses (-9.9%). This drop in expenses was partially attenuated by a decrease in Insurance Service Income (-3.9%).</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4"/>
          <w:szCs w:val="14"/>
          <w:color w:val="auto"/>
        </w:rPr>
        <w:t>YTD, the Insurance Underwriting Result was stable (+0.3%).</w:t>
      </w:r>
    </w:p>
    <w:p>
      <w:pPr>
        <w:spacing w:after="0" w:line="139" w:lineRule="exact"/>
        <w:rPr>
          <w:sz w:val="20"/>
          <w:szCs w:val="20"/>
          <w:color w:val="auto"/>
        </w:rPr>
      </w:pPr>
    </w:p>
    <w:p>
      <w:pPr>
        <w:ind w:left="5"/>
        <w:spacing w:after="0"/>
        <w:rPr>
          <w:sz w:val="20"/>
          <w:szCs w:val="20"/>
          <w:color w:val="auto"/>
        </w:rPr>
      </w:pPr>
      <w:r>
        <w:rPr>
          <w:rFonts w:ascii="Arial" w:cs="Arial" w:eastAsia="Arial" w:hAnsi="Arial"/>
          <w:sz w:val="14"/>
          <w:szCs w:val="14"/>
          <w:b w:val="1"/>
          <w:bCs w:val="1"/>
          <w:i w:val="1"/>
          <w:iCs w:val="1"/>
          <w:color w:val="auto"/>
        </w:rPr>
        <w:t xml:space="preserve">P &amp; C </w:t>
      </w:r>
      <w:r>
        <w:rPr>
          <w:rFonts w:ascii="Arial" w:cs="Arial" w:eastAsia="Arial" w:hAnsi="Arial"/>
          <w:sz w:val="22"/>
          <w:szCs w:val="22"/>
          <w:b w:val="1"/>
          <w:bCs w:val="1"/>
          <w:i w:val="1"/>
          <w:iCs w:val="1"/>
          <w:color w:val="auto"/>
          <w:vertAlign w:val="superscript"/>
        </w:rPr>
        <w:t>1</w:t>
      </w:r>
      <w:r>
        <w:rPr>
          <w:rFonts w:ascii="Arial" w:cs="Arial" w:eastAsia="Arial" w:hAnsi="Arial"/>
          <w:sz w:val="14"/>
          <w:szCs w:val="14"/>
          <w:b w:val="1"/>
          <w:bCs w:val="1"/>
          <w:i w:val="1"/>
          <w:iCs w:val="1"/>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848995</wp:posOffset>
            </wp:positionH>
            <wp:positionV relativeFrom="paragraph">
              <wp:posOffset>48260</wp:posOffset>
            </wp:positionV>
            <wp:extent cx="4898390" cy="16459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89839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
        <w:spacing w:after="0"/>
        <w:rPr>
          <w:sz w:val="20"/>
          <w:szCs w:val="20"/>
          <w:color w:val="auto"/>
        </w:rPr>
      </w:pPr>
      <w:r>
        <w:rPr>
          <w:rFonts w:ascii="Arial" w:cs="Arial" w:eastAsia="Arial" w:hAnsi="Arial"/>
          <w:sz w:val="14"/>
          <w:szCs w:val="14"/>
          <w:color w:val="auto"/>
        </w:rPr>
        <w:t>QoQ, the Insurance Underwriting Result fell 15.4%. The following dynamics were noteworthy:</w:t>
      </w:r>
    </w:p>
    <w:p>
      <w:pPr>
        <w:spacing w:after="0" w:line="99" w:lineRule="exact"/>
        <w:rPr>
          <w:sz w:val="20"/>
          <w:szCs w:val="20"/>
          <w:color w:val="auto"/>
        </w:rPr>
      </w:pPr>
    </w:p>
    <w:p>
      <w:pPr>
        <w:ind w:left="65" w:hanging="65"/>
        <w:spacing w:after="0"/>
        <w:tabs>
          <w:tab w:leader="none" w:pos="65" w:val="left"/>
        </w:tabs>
        <w:numPr>
          <w:ilvl w:val="0"/>
          <w:numId w:val="34"/>
        </w:numPr>
        <w:rPr>
          <w:rFonts w:ascii="Arial" w:cs="Arial" w:eastAsia="Arial" w:hAnsi="Arial"/>
          <w:sz w:val="16"/>
          <w:szCs w:val="16"/>
          <w:color w:val="auto"/>
          <w:vertAlign w:val="superscript"/>
        </w:rPr>
      </w:pPr>
      <w:r>
        <w:rPr>
          <w:rFonts w:ascii="Arial" w:cs="Arial" w:eastAsia="Arial" w:hAnsi="Arial"/>
          <w:sz w:val="10"/>
          <w:szCs w:val="10"/>
          <w:color w:val="auto"/>
        </w:rPr>
        <w:t>Property &amp; Casualty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6597015"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597015" cy="6350"/>
                    </a:xfrm>
                    <a:prstGeom prst="rect">
                      <a:avLst/>
                    </a:prstGeom>
                    <a:noFill/>
                  </pic:spPr>
                </pic:pic>
              </a:graphicData>
            </a:graphic>
          </wp:anchor>
        </w:drawing>
        <w:drawing>
          <wp:anchor simplePos="0" relativeHeight="251657728" behindDoc="1" locked="0" layoutInCell="0" allowOverlap="1">
            <wp:simplePos x="0" y="0"/>
            <wp:positionH relativeFrom="column">
              <wp:posOffset>-287020</wp:posOffset>
            </wp:positionH>
            <wp:positionV relativeFrom="paragraph">
              <wp:posOffset>621030</wp:posOffset>
            </wp:positionV>
            <wp:extent cx="7164705" cy="133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-287020</wp:posOffset>
            </wp:positionH>
            <wp:positionV relativeFrom="paragraph">
              <wp:posOffset>92075</wp:posOffset>
            </wp:positionV>
            <wp:extent cx="1502410" cy="4438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5126990</wp:posOffset>
            </wp:positionH>
            <wp:positionV relativeFrom="paragraph">
              <wp:posOffset>222885</wp:posOffset>
            </wp:positionV>
            <wp:extent cx="1750695" cy="3136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50695" cy="313690"/>
                    </a:xfrm>
                    <a:prstGeom prst="rect">
                      <a:avLst/>
                    </a:prstGeom>
                    <a:noFill/>
                  </pic:spPr>
                </pic:pic>
              </a:graphicData>
            </a:graphic>
          </wp:anchor>
        </w:drawing>
      </w:r>
    </w:p>
    <w:p>
      <w:pPr>
        <w:sectPr>
          <w:pgSz w:w="11900" w:h="16838" w:orient="portrait"/>
          <w:cols w:equalWidth="0" w:num="1">
            <w:col w:w="10385"/>
          </w:cols>
          <w:pgMar w:left="755" w:top="287" w:right="759" w:bottom="1440" w:gutter="0" w:footer="0" w:header="0"/>
        </w:sectPr>
      </w:pPr>
    </w:p>
    <w:bookmarkStart w:id="38" w:name="page39"/>
    <w:bookmarkEnd w:id="38"/>
    <w:p>
      <w:pPr>
        <w:ind w:left="2378"/>
        <w:spacing w:after="0"/>
        <w:tabs>
          <w:tab w:leader="none" w:pos="2578" w:val="left"/>
          <w:tab w:leader="none" w:pos="7538"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48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4705" cy="548640"/>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255" w:lineRule="exact"/>
        <w:rPr>
          <w:sz w:val="20"/>
          <w:szCs w:val="20"/>
          <w:color w:val="auto"/>
        </w:rPr>
      </w:pPr>
    </w:p>
    <w:p>
      <w:pPr>
        <w:ind w:left="278" w:hanging="278"/>
        <w:spacing w:after="0"/>
        <w:tabs>
          <w:tab w:leader="none" w:pos="278" w:val="left"/>
        </w:tabs>
        <w:numPr>
          <w:ilvl w:val="0"/>
          <w:numId w:val="35"/>
        </w:numPr>
        <w:rPr>
          <w:rFonts w:ascii="Arial" w:cs="Arial" w:eastAsia="Arial" w:hAnsi="Arial"/>
          <w:sz w:val="16"/>
          <w:szCs w:val="16"/>
          <w:b w:val="1"/>
          <w:bCs w:val="1"/>
          <w:color w:val="FFFFFF"/>
        </w:rPr>
      </w:pPr>
      <w:r>
        <w:rPr>
          <w:rFonts w:ascii="Arial" w:cs="Arial" w:eastAsia="Arial" w:hAnsi="Arial"/>
          <w:sz w:val="16"/>
          <w:szCs w:val="16"/>
          <w:b w:val="1"/>
          <w:bCs w:val="1"/>
          <w:color w:val="FFFFFF"/>
        </w:rPr>
        <w:t>Insurance Underwriting Results</w:t>
      </w:r>
    </w:p>
    <w:p>
      <w:pPr>
        <w:spacing w:after="0" w:line="159" w:lineRule="exact"/>
        <w:rPr>
          <w:rFonts w:ascii="Arial" w:cs="Arial" w:eastAsia="Arial" w:hAnsi="Arial"/>
          <w:sz w:val="16"/>
          <w:szCs w:val="16"/>
          <w:b w:val="1"/>
          <w:bCs w:val="1"/>
          <w:color w:val="FFFFFF"/>
        </w:rPr>
      </w:pPr>
    </w:p>
    <w:p>
      <w:pPr>
        <w:ind w:left="578" w:hanging="239"/>
        <w:spacing w:after="0"/>
        <w:tabs>
          <w:tab w:leader="none" w:pos="578" w:val="left"/>
        </w:tabs>
        <w:numPr>
          <w:ilvl w:val="1"/>
          <w:numId w:val="35"/>
        </w:numPr>
        <w:rPr>
          <w:rFonts w:ascii="Arial" w:cs="Arial" w:eastAsia="Arial" w:hAnsi="Arial"/>
          <w:sz w:val="14"/>
          <w:szCs w:val="14"/>
          <w:color w:val="auto"/>
        </w:rPr>
      </w:pPr>
      <w:r>
        <w:rPr>
          <w:rFonts w:ascii="Arial" w:cs="Arial" w:eastAsia="Arial" w:hAnsi="Arial"/>
          <w:sz w:val="14"/>
          <w:szCs w:val="14"/>
          <w:color w:val="auto"/>
        </w:rPr>
        <w:t>Insurance Service Income fell 5.3%, driven mainly by P &amp; C Risks, which reported a drop in premiums allotted for the period</w:t>
      </w:r>
      <w:r>
        <w:rPr>
          <w:rFonts w:ascii="Arial" w:cs="Arial" w:eastAsia="Arial" w:hAnsi="Arial"/>
          <w:sz w:val="22"/>
          <w:szCs w:val="22"/>
          <w:color w:val="auto"/>
          <w:vertAlign w:val="superscript"/>
        </w:rPr>
        <w:t>2</w:t>
      </w:r>
      <w:r>
        <w:rPr>
          <w:rFonts w:ascii="Arial" w:cs="Arial" w:eastAsia="Arial" w:hAnsi="Arial"/>
          <w:sz w:val="14"/>
          <w:szCs w:val="14"/>
          <w:color w:val="auto"/>
        </w:rPr>
        <w:t>.</w:t>
      </w:r>
    </w:p>
    <w:p>
      <w:pPr>
        <w:ind w:left="578" w:hanging="239"/>
        <w:spacing w:after="0" w:line="230" w:lineRule="auto"/>
        <w:tabs>
          <w:tab w:leader="none" w:pos="578" w:val="left"/>
        </w:tabs>
        <w:numPr>
          <w:ilvl w:val="1"/>
          <w:numId w:val="35"/>
        </w:numPr>
        <w:rPr>
          <w:rFonts w:ascii="Arial" w:cs="Arial" w:eastAsia="Arial" w:hAnsi="Arial"/>
          <w:sz w:val="14"/>
          <w:szCs w:val="14"/>
          <w:color w:val="auto"/>
        </w:rPr>
      </w:pPr>
      <w:r>
        <w:rPr>
          <w:rFonts w:ascii="Arial" w:cs="Arial" w:eastAsia="Arial" w:hAnsi="Arial"/>
          <w:sz w:val="14"/>
          <w:szCs w:val="14"/>
          <w:color w:val="auto"/>
        </w:rPr>
        <w:t>Insurance Service Expenses increased 26.9%, mainly via P &amp; C Risks, which registered growth in expenses for claims, particularly in the Aviation product.</w:t>
      </w:r>
    </w:p>
    <w:p>
      <w:pPr>
        <w:ind w:left="578" w:right="20" w:hanging="239"/>
        <w:spacing w:after="0"/>
        <w:tabs>
          <w:tab w:leader="none" w:pos="644" w:val="left"/>
        </w:tabs>
        <w:numPr>
          <w:ilvl w:val="1"/>
          <w:numId w:val="35"/>
        </w:numPr>
        <w:rPr>
          <w:rFonts w:ascii="Arial" w:cs="Arial" w:eastAsia="Arial" w:hAnsi="Arial"/>
          <w:sz w:val="14"/>
          <w:szCs w:val="14"/>
          <w:color w:val="auto"/>
        </w:rPr>
      </w:pPr>
      <w:r>
        <w:rPr>
          <w:rFonts w:ascii="Arial" w:cs="Arial" w:eastAsia="Arial" w:hAnsi="Arial"/>
          <w:sz w:val="14"/>
          <w:szCs w:val="14"/>
          <w:color w:val="auto"/>
        </w:rPr>
        <w:t>The Reinsurance Result improved, mainly through P &amp; C Risks, which reported higher levels of claims recovered from reinsurers (particularly at the Aviation product) and a drop in levels of ceded premiums (adjusted for current risks reserves).</w:t>
      </w:r>
    </w:p>
    <w:p>
      <w:pPr>
        <w:spacing w:after="0" w:line="129" w:lineRule="exact"/>
        <w:rPr>
          <w:sz w:val="20"/>
          <w:szCs w:val="20"/>
          <w:color w:val="auto"/>
        </w:rPr>
      </w:pPr>
    </w:p>
    <w:p>
      <w:pPr>
        <w:ind w:left="98"/>
        <w:spacing w:after="0"/>
        <w:rPr>
          <w:sz w:val="20"/>
          <w:szCs w:val="20"/>
          <w:color w:val="auto"/>
        </w:rPr>
      </w:pPr>
      <w:r>
        <w:rPr>
          <w:rFonts w:ascii="Arial" w:cs="Arial" w:eastAsia="Arial" w:hAnsi="Arial"/>
          <w:sz w:val="14"/>
          <w:szCs w:val="14"/>
          <w:color w:val="auto"/>
        </w:rPr>
        <w:t>YoY, the Insurance Underwriting Result fell 21.3%. The following dynamics were noteworthy:</w:t>
      </w:r>
    </w:p>
    <w:p>
      <w:pPr>
        <w:spacing w:after="0" w:line="5" w:lineRule="exact"/>
        <w:rPr>
          <w:sz w:val="20"/>
          <w:szCs w:val="20"/>
          <w:color w:val="auto"/>
        </w:rPr>
      </w:pPr>
    </w:p>
    <w:p>
      <w:pPr>
        <w:ind w:left="578" w:right="20" w:hanging="239"/>
        <w:spacing w:after="0" w:line="230" w:lineRule="auto"/>
        <w:tabs>
          <w:tab w:leader="none" w:pos="571"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Insurance Service Income rose 3.8%, driven by P &amp; C Risks and Medical Assistance, in line with an uptick in premiums allocated to the coverage period- fueled by growth in premium turnover last quarter.</w:t>
      </w:r>
    </w:p>
    <w:p>
      <w:pPr>
        <w:ind w:left="578" w:right="20" w:hanging="239"/>
        <w:spacing w:after="0" w:line="229" w:lineRule="auto"/>
        <w:tabs>
          <w:tab w:leader="none" w:pos="6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Insurance Service Expenses increased 10.8%, fueled mainly by Medical Assistance, which reported growth in average claims costs and an increase in IBNR reserves.</w:t>
      </w:r>
    </w:p>
    <w:p>
      <w:pPr>
        <w:spacing w:after="0" w:line="1" w:lineRule="exact"/>
        <w:rPr>
          <w:rFonts w:ascii="Arial" w:cs="Arial" w:eastAsia="Arial" w:hAnsi="Arial"/>
          <w:sz w:val="14"/>
          <w:szCs w:val="14"/>
          <w:color w:val="auto"/>
        </w:rPr>
      </w:pPr>
    </w:p>
    <w:p>
      <w:pPr>
        <w:ind w:left="578" w:hanging="239"/>
        <w:spacing w:after="0" w:line="230" w:lineRule="auto"/>
        <w:tabs>
          <w:tab w:leader="none" w:pos="578"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Reinsurance Result deteriorated, driven primarily by P &amp; C Risks through a drop in fee income due to a decrease in ceded premiums.</w:t>
      </w:r>
    </w:p>
    <w:p>
      <w:pPr>
        <w:ind w:left="98" w:right="20"/>
        <w:spacing w:after="0"/>
        <w:rPr>
          <w:sz w:val="20"/>
          <w:szCs w:val="20"/>
          <w:color w:val="auto"/>
        </w:rPr>
      </w:pPr>
      <w:r>
        <w:rPr>
          <w:rFonts w:ascii="Arial" w:cs="Arial" w:eastAsia="Arial" w:hAnsi="Arial"/>
          <w:sz w:val="14"/>
          <w:szCs w:val="14"/>
          <w:color w:val="auto"/>
        </w:rPr>
        <w:t>YTD, the Insurance Underwriting Result rose 10.8%, spurred mainly by both higher Insurance Service Revenue and lower Insurance Service Expenses, particularly in P&amp;C Risks.</w:t>
      </w:r>
    </w:p>
    <w:p>
      <w:pPr>
        <w:spacing w:after="0" w:line="129" w:lineRule="exact"/>
        <w:rPr>
          <w:sz w:val="20"/>
          <w:szCs w:val="20"/>
          <w:color w:val="auto"/>
        </w:rPr>
      </w:pPr>
    </w:p>
    <w:p>
      <w:pPr>
        <w:ind w:left="98"/>
        <w:spacing w:after="0"/>
        <w:rPr>
          <w:sz w:val="20"/>
          <w:szCs w:val="20"/>
          <w:color w:val="auto"/>
        </w:rPr>
      </w:pPr>
      <w:r>
        <w:rPr>
          <w:rFonts w:ascii="Arial" w:cs="Arial" w:eastAsia="Arial" w:hAnsi="Arial"/>
          <w:sz w:val="14"/>
          <w:szCs w:val="14"/>
          <w:b w:val="1"/>
          <w:bCs w:val="1"/>
          <w:i w:val="1"/>
          <w:iCs w:val="1"/>
          <w:color w:val="auto"/>
        </w:rPr>
        <w:t>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101600</wp:posOffset>
            </wp:positionV>
            <wp:extent cx="4898390" cy="17894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898390" cy="178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8"/>
        <w:spacing w:after="0"/>
        <w:rPr>
          <w:sz w:val="20"/>
          <w:szCs w:val="20"/>
          <w:color w:val="auto"/>
        </w:rPr>
      </w:pPr>
      <w:r>
        <w:rPr>
          <w:rFonts w:ascii="Arial" w:cs="Arial" w:eastAsia="Arial" w:hAnsi="Arial"/>
          <w:sz w:val="14"/>
          <w:szCs w:val="14"/>
          <w:color w:val="auto"/>
        </w:rPr>
        <w:t>QoQ, the Insurance Underwriting Result increased 28.1%. The following dynamics were noteworthy:</w:t>
      </w:r>
    </w:p>
    <w:p>
      <w:pPr>
        <w:spacing w:after="0" w:line="5" w:lineRule="exact"/>
        <w:rPr>
          <w:sz w:val="20"/>
          <w:szCs w:val="20"/>
          <w:color w:val="auto"/>
        </w:rPr>
      </w:pPr>
    </w:p>
    <w:p>
      <w:pPr>
        <w:ind w:left="578" w:hanging="239"/>
        <w:spacing w:after="0" w:line="189" w:lineRule="auto"/>
        <w:tabs>
          <w:tab w:leader="none" w:pos="593"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Insurance Service Income rose 4.1%, driven primarily by Credit Life through growth in premiums allocated to the coverage period, which were attributable mainly to bancassurance. This was partially offset a drop in income in Group Life and D&amp;S</w:t>
      </w:r>
      <w:r>
        <w:rPr>
          <w:rFonts w:ascii="Arial" w:cs="Arial" w:eastAsia="Arial" w:hAnsi="Arial"/>
          <w:sz w:val="21"/>
          <w:szCs w:val="21"/>
          <w:color w:val="auto"/>
          <w:vertAlign w:val="superscript"/>
        </w:rPr>
        <w:t>3</w:t>
      </w:r>
      <w:r>
        <w:rPr>
          <w:rFonts w:ascii="Arial" w:cs="Arial" w:eastAsia="Arial" w:hAnsi="Arial"/>
          <w:sz w:val="13"/>
          <w:szCs w:val="13"/>
          <w:color w:val="auto"/>
        </w:rPr>
        <w:t>.</w:t>
      </w:r>
    </w:p>
    <w:p>
      <w:pPr>
        <w:ind w:left="578" w:hanging="239"/>
        <w:spacing w:after="0" w:line="230" w:lineRule="auto"/>
        <w:tabs>
          <w:tab w:leader="none" w:pos="614"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Insurance Service Expenses dropped 11.5%, fueled mainly by Credit Life via a drop in claims frequency and D&amp;S, through higher reserve releases for incurred claims.</w:t>
      </w:r>
    </w:p>
    <w:p>
      <w:pPr>
        <w:ind w:left="578" w:hanging="239"/>
        <w:spacing w:after="0"/>
        <w:tabs>
          <w:tab w:leader="none" w:pos="578"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Reinsurance Result improved, which reflected a reduction in ceded premiums in D&amp;S.</w:t>
      </w:r>
    </w:p>
    <w:p>
      <w:pPr>
        <w:spacing w:after="0" w:line="136" w:lineRule="exact"/>
        <w:rPr>
          <w:sz w:val="20"/>
          <w:szCs w:val="20"/>
          <w:color w:val="auto"/>
        </w:rPr>
      </w:pPr>
    </w:p>
    <w:p>
      <w:pPr>
        <w:ind w:left="98"/>
        <w:spacing w:after="0"/>
        <w:rPr>
          <w:sz w:val="20"/>
          <w:szCs w:val="20"/>
          <w:color w:val="auto"/>
        </w:rPr>
      </w:pPr>
      <w:r>
        <w:rPr>
          <w:rFonts w:ascii="Arial" w:cs="Arial" w:eastAsia="Arial" w:hAnsi="Arial"/>
          <w:sz w:val="14"/>
          <w:szCs w:val="14"/>
          <w:color w:val="auto"/>
        </w:rPr>
        <w:t>YoY, the Insurance Underwriting Result rose 18.3% due to the following dynamics:</w:t>
      </w:r>
    </w:p>
    <w:p>
      <w:pPr>
        <w:spacing w:after="0" w:line="5" w:lineRule="exact"/>
        <w:rPr>
          <w:sz w:val="20"/>
          <w:szCs w:val="20"/>
          <w:color w:val="auto"/>
        </w:rPr>
      </w:pPr>
    </w:p>
    <w:p>
      <w:pPr>
        <w:jc w:val="both"/>
        <w:ind w:left="578" w:right="20" w:hanging="239"/>
        <w:spacing w:after="0" w:line="230" w:lineRule="auto"/>
        <w:tabs>
          <w:tab w:leader="none" w:pos="577"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Insurance Service Income fell 7.2%. This reduction was driven mainly by D&amp;S and reflected a drop in the rate and tranche awarded under SISCO VII compared to the terms secured under SISCO VI. This was partially offset by Credit Life, which registered an increase in premiums allocated to the coverage period, mainly through bancassurance.</w:t>
      </w:r>
    </w:p>
    <w:p>
      <w:pPr>
        <w:ind w:left="578" w:right="20" w:hanging="239"/>
        <w:spacing w:after="0" w:line="230" w:lineRule="auto"/>
        <w:tabs>
          <w:tab w:leader="none" w:pos="594"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Insurance Service Expenses fell 24.2%, which was fueled primarily by D&amp;S in line with a decrease in the tranches obtained through the new SISCO VII contract. Credit Life and Individual Life also contributed to this dynamic, albeit to a lesser extent.</w:t>
      </w:r>
    </w:p>
    <w:p>
      <w:pPr>
        <w:ind w:left="578" w:hanging="239"/>
        <w:spacing w:after="0" w:line="229" w:lineRule="auto"/>
        <w:tabs>
          <w:tab w:leader="none" w:pos="578"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Reinsurance result improved due to a drop in ceded premiums in D&amp;S.</w:t>
      </w:r>
    </w:p>
    <w:p>
      <w:pPr>
        <w:spacing w:after="0" w:line="1" w:lineRule="exact"/>
        <w:rPr>
          <w:sz w:val="20"/>
          <w:szCs w:val="20"/>
          <w:color w:val="auto"/>
        </w:rPr>
      </w:pPr>
    </w:p>
    <w:p>
      <w:pPr>
        <w:ind w:left="98" w:right="20"/>
        <w:spacing w:after="0"/>
        <w:rPr>
          <w:sz w:val="20"/>
          <w:szCs w:val="20"/>
          <w:color w:val="auto"/>
        </w:rPr>
      </w:pPr>
      <w:r>
        <w:rPr>
          <w:rFonts w:ascii="Arial" w:cs="Arial" w:eastAsia="Arial" w:hAnsi="Arial"/>
          <w:sz w:val="14"/>
          <w:szCs w:val="14"/>
          <w:color w:val="auto"/>
        </w:rPr>
        <w:t>YTD, the Insurance Underwriting Result decreased 4.0%, driven mainly by both lower Insurance Service Income and higher Insurance Service Expenses, particularly in the D&amp;S product.</w:t>
      </w:r>
    </w:p>
    <w:p>
      <w:pPr>
        <w:spacing w:after="0" w:line="66" w:lineRule="exact"/>
        <w:rPr>
          <w:sz w:val="20"/>
          <w:szCs w:val="20"/>
          <w:color w:val="auto"/>
        </w:rPr>
      </w:pPr>
    </w:p>
    <w:p>
      <w:pPr>
        <w:ind w:left="158" w:hanging="66"/>
        <w:spacing w:after="0"/>
        <w:tabs>
          <w:tab w:leader="none" w:pos="158" w:val="left"/>
        </w:tabs>
        <w:numPr>
          <w:ilvl w:val="0"/>
          <w:numId w:val="39"/>
        </w:numPr>
        <w:rPr>
          <w:rFonts w:ascii="Arial" w:cs="Arial" w:eastAsia="Arial" w:hAnsi="Arial"/>
          <w:sz w:val="16"/>
          <w:szCs w:val="16"/>
          <w:color w:val="auto"/>
          <w:vertAlign w:val="superscript"/>
        </w:rPr>
      </w:pPr>
      <w:r>
        <w:rPr>
          <w:rFonts w:ascii="Arial" w:cs="Arial" w:eastAsia="Arial" w:hAnsi="Arial"/>
          <w:sz w:val="10"/>
          <w:szCs w:val="10"/>
          <w:color w:val="auto"/>
        </w:rPr>
        <w:t>Premiums allotted for the period = Direct premiums + change of RRC + Fees</w:t>
      </w:r>
    </w:p>
    <w:p>
      <w:pPr>
        <w:ind w:left="98"/>
        <w:spacing w:after="0"/>
        <w:rPr>
          <w:rFonts w:ascii="Arial" w:cs="Arial" w:eastAsia="Arial" w:hAnsi="Arial"/>
          <w:sz w:val="16"/>
          <w:szCs w:val="16"/>
          <w:color w:val="auto"/>
          <w:vertAlign w:val="superscript"/>
        </w:rPr>
      </w:pPr>
      <w:r>
        <w:rPr>
          <w:rFonts w:ascii="Arial" w:cs="Arial" w:eastAsia="Arial" w:hAnsi="Arial"/>
          <w:sz w:val="15"/>
          <w:szCs w:val="15"/>
          <w:color w:val="auto"/>
          <w:vertAlign w:val="superscript"/>
        </w:rPr>
        <w:t>3</w:t>
      </w:r>
      <w:r>
        <w:rPr>
          <w:rFonts w:ascii="Arial" w:cs="Arial" w:eastAsia="Arial" w:hAnsi="Arial"/>
          <w:sz w:val="10"/>
          <w:szCs w:val="10"/>
          <w:color w:val="auto"/>
        </w:rPr>
        <w:t xml:space="preserve"> Disability &amp; Survivorship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-177800</wp:posOffset>
            </wp:positionV>
            <wp:extent cx="657733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577330" cy="6350"/>
                    </a:xfrm>
                    <a:prstGeom prst="rect">
                      <a:avLst/>
                    </a:prstGeom>
                    <a:noFill/>
                  </pic:spPr>
                </pic:pic>
              </a:graphicData>
            </a:graphic>
          </wp:anchor>
        </w:drawing>
        <w:drawing>
          <wp:anchor simplePos="0" relativeHeight="251657728" behindDoc="1" locked="0" layoutInCell="0" allowOverlap="1">
            <wp:simplePos x="0" y="0"/>
            <wp:positionH relativeFrom="column">
              <wp:posOffset>-215265</wp:posOffset>
            </wp:positionH>
            <wp:positionV relativeFrom="paragraph">
              <wp:posOffset>585470</wp:posOffset>
            </wp:positionV>
            <wp:extent cx="7164705" cy="133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-215265</wp:posOffset>
            </wp:positionH>
            <wp:positionV relativeFrom="paragraph">
              <wp:posOffset>56515</wp:posOffset>
            </wp:positionV>
            <wp:extent cx="1502410" cy="4438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5198745</wp:posOffset>
            </wp:positionH>
            <wp:positionV relativeFrom="paragraph">
              <wp:posOffset>193675</wp:posOffset>
            </wp:positionV>
            <wp:extent cx="1750695" cy="3067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750695" cy="306705"/>
                    </a:xfrm>
                    <a:prstGeom prst="rect">
                      <a:avLst/>
                    </a:prstGeom>
                    <a:noFill/>
                  </pic:spPr>
                </pic:pic>
              </a:graphicData>
            </a:graphic>
          </wp:anchor>
        </w:drawing>
      </w:r>
    </w:p>
    <w:p>
      <w:pPr>
        <w:sectPr>
          <w:pgSz w:w="11900" w:h="16838" w:orient="portrait"/>
          <w:cols w:equalWidth="0" w:num="1">
            <w:col w:w="10458"/>
          </w:cols>
          <w:pgMar w:left="642" w:top="287" w:right="799" w:bottom="1440" w:gutter="0" w:footer="0" w:header="0"/>
        </w:sectPr>
      </w:pPr>
    </w:p>
    <w:bookmarkStart w:id="39" w:name="page40"/>
    <w:bookmarkEnd w:id="39"/>
    <w:p>
      <w:pPr>
        <w:ind w:left="2286"/>
        <w:spacing w:after="0"/>
        <w:tabs>
          <w:tab w:leader="none" w:pos="2485" w:val="left"/>
          <w:tab w:leader="none" w:pos="7445"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3397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4705" cy="339725"/>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319" w:lineRule="exact"/>
        <w:rPr>
          <w:sz w:val="20"/>
          <w:szCs w:val="20"/>
          <w:color w:val="auto"/>
        </w:rPr>
      </w:pPr>
    </w:p>
    <w:p>
      <w:pPr>
        <w:ind w:left="26"/>
        <w:spacing w:after="0"/>
        <w:rPr>
          <w:sz w:val="20"/>
          <w:szCs w:val="20"/>
          <w:color w:val="auto"/>
        </w:rPr>
      </w:pPr>
      <w:r>
        <w:rPr>
          <w:rFonts w:ascii="Arial" w:cs="Arial" w:eastAsia="Arial" w:hAnsi="Arial"/>
          <w:sz w:val="40"/>
          <w:szCs w:val="40"/>
          <w:b w:val="1"/>
          <w:bCs w:val="1"/>
          <w:color w:val="E93BAC"/>
        </w:rPr>
        <w:t xml:space="preserve">08 </w:t>
      </w:r>
      <w:r>
        <w:rPr>
          <w:rFonts w:ascii="Arial" w:cs="Arial" w:eastAsia="Arial" w:hAnsi="Arial"/>
          <w:sz w:val="24"/>
          <w:szCs w:val="24"/>
          <w:color w:val="E93BAB"/>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6597015" cy="5943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97015" cy="594360"/>
                    </a:xfrm>
                    <a:prstGeom prst="rect">
                      <a:avLst/>
                    </a:prstGeom>
                    <a:noFill/>
                  </pic:spPr>
                </pic:pic>
              </a:graphicData>
            </a:graphic>
          </wp:anchor>
        </w:drawing>
      </w:r>
    </w:p>
    <w:p>
      <w:pPr>
        <w:spacing w:after="0" w:line="236" w:lineRule="exact"/>
        <w:rPr>
          <w:sz w:val="20"/>
          <w:szCs w:val="20"/>
          <w:color w:val="auto"/>
        </w:rPr>
      </w:pPr>
    </w:p>
    <w:p>
      <w:pPr>
        <w:jc w:val="both"/>
        <w:ind w:left="126" w:right="100"/>
        <w:spacing w:after="0" w:line="237" w:lineRule="auto"/>
        <w:rPr>
          <w:sz w:val="20"/>
          <w:szCs w:val="20"/>
          <w:color w:val="auto"/>
        </w:rPr>
      </w:pPr>
      <w:r>
        <w:rPr>
          <w:rFonts w:ascii="Arial" w:cs="Arial" w:eastAsia="Arial" w:hAnsi="Arial"/>
          <w:sz w:val="14"/>
          <w:szCs w:val="14"/>
          <w:color w:val="FFFFFF"/>
        </w:rPr>
        <w:t>Operating expenses rose 9.2% YTD, driven primarily by core businesses at BCP Stand-alone and disruptive initiatives at the Credicorp level. Core business expenses at BCP increased due to (i) new hires to cover vacancies on the traditional business and hiring new of more specialized digital talent; and (ii) higher administrative expenses where the most significant increase is an uptick in cloud use due to growth in transactionality among increasingly digitalized customers. Expenses for disruptive initiatives at the Credicorp level increased 29.2%. The primary contributor to this growth was Yape, where experienced an uptick in transactions and new product development led to an increase in IT-related expenses.</w:t>
      </w:r>
    </w:p>
    <w:p>
      <w:pPr>
        <w:spacing w:after="0" w:line="211" w:lineRule="exact"/>
        <w:rPr>
          <w:sz w:val="20"/>
          <w:szCs w:val="20"/>
          <w:color w:val="auto"/>
        </w:rPr>
      </w:pPr>
    </w:p>
    <w:p>
      <w:pPr>
        <w:ind w:left="26"/>
        <w:spacing w:after="0"/>
        <w:rPr>
          <w:sz w:val="20"/>
          <w:szCs w:val="20"/>
          <w:color w:val="auto"/>
        </w:rPr>
      </w:pPr>
      <w:r>
        <w:rPr>
          <w:rFonts w:ascii="Arial" w:cs="Arial" w:eastAsia="Arial" w:hAnsi="Arial"/>
          <w:sz w:val="14"/>
          <w:szCs w:val="14"/>
          <w:b w:val="1"/>
          <w:bCs w:val="1"/>
          <w:color w:val="auto"/>
        </w:rPr>
        <w:t>Total Operating Expenses</w:t>
      </w:r>
    </w:p>
    <w:p>
      <w:pPr>
        <w:spacing w:after="0" w:line="91" w:lineRule="exact"/>
        <w:rPr>
          <w:sz w:val="20"/>
          <w:szCs w:val="20"/>
          <w:color w:val="auto"/>
        </w:rPr>
      </w:pPr>
    </w:p>
    <w:tbl>
      <w:tblPr>
        <w:tblLayout w:type="fixed"/>
        <w:tblInd w:w="36" w:type="dxa"/>
        <w:tblCellMar>
          <w:top w:w="0" w:type="dxa"/>
          <w:left w:w="0" w:type="dxa"/>
          <w:bottom w:w="0" w:type="dxa"/>
          <w:right w:w="0" w:type="dxa"/>
        </w:tblCellMar>
      </w:tblPr>
      <w:tr>
        <w:trPr>
          <w:trHeight w:val="99"/>
        </w:trPr>
        <w:tc>
          <w:tcPr>
            <w:tcW w:w="4080" w:type="dxa"/>
            <w:vAlign w:val="bottom"/>
            <w:tcBorders>
              <w:top w:val="single" w:sz="8" w:color="auto"/>
              <w:left w:val="single" w:sz="8" w:color="auto"/>
              <w:right w:val="single" w:sz="8" w:color="auto"/>
            </w:tcBorders>
            <w:shd w:val="clear" w:color="auto" w:fill="2AD2C9"/>
          </w:tcPr>
          <w:p>
            <w:pPr>
              <w:ind w:left="20"/>
              <w:spacing w:after="0" w:line="99" w:lineRule="exact"/>
              <w:rPr>
                <w:sz w:val="20"/>
                <w:szCs w:val="20"/>
                <w:color w:val="auto"/>
              </w:rPr>
            </w:pPr>
            <w:r>
              <w:rPr>
                <w:rFonts w:ascii="Arial" w:cs="Arial" w:eastAsia="Arial" w:hAnsi="Arial"/>
                <w:sz w:val="10"/>
                <w:szCs w:val="10"/>
                <w:b w:val="1"/>
                <w:bCs w:val="1"/>
                <w:color w:val="FFFFFF"/>
              </w:rPr>
              <w:t>Operating expenses</w:t>
            </w:r>
          </w:p>
        </w:tc>
        <w:tc>
          <w:tcPr>
            <w:tcW w:w="880" w:type="dxa"/>
            <w:vAlign w:val="bottom"/>
            <w:tcBorders>
              <w:top w:val="single" w:sz="8" w:color="auto"/>
            </w:tcBorders>
            <w:shd w:val="clear" w:color="auto" w:fill="2AD2C9"/>
          </w:tcPr>
          <w:p>
            <w:pPr>
              <w:spacing w:after="0"/>
              <w:rPr>
                <w:sz w:val="8"/>
                <w:szCs w:val="8"/>
                <w:color w:val="auto"/>
              </w:rPr>
            </w:pPr>
          </w:p>
        </w:tc>
        <w:tc>
          <w:tcPr>
            <w:tcW w:w="800" w:type="dxa"/>
            <w:vAlign w:val="bottom"/>
            <w:tcBorders>
              <w:top w:val="single" w:sz="8" w:color="auto"/>
            </w:tcBorders>
            <w:shd w:val="clear" w:color="auto" w:fill="2AD2C9"/>
          </w:tcPr>
          <w:p>
            <w:pPr>
              <w:jc w:val="right"/>
              <w:ind w:right="293"/>
              <w:spacing w:after="0" w:line="99" w:lineRule="exact"/>
              <w:rPr>
                <w:sz w:val="20"/>
                <w:szCs w:val="20"/>
                <w:color w:val="auto"/>
              </w:rPr>
            </w:pPr>
            <w:r>
              <w:rPr>
                <w:rFonts w:ascii="Arial" w:cs="Arial" w:eastAsia="Arial" w:hAnsi="Arial"/>
                <w:sz w:val="10"/>
                <w:szCs w:val="10"/>
                <w:b w:val="1"/>
                <w:bCs w:val="1"/>
                <w:color w:val="FFFFFF"/>
              </w:rPr>
              <w:t>Quarter</w:t>
            </w:r>
          </w:p>
        </w:tc>
        <w:tc>
          <w:tcPr>
            <w:tcW w:w="680" w:type="dxa"/>
            <w:vAlign w:val="bottom"/>
            <w:tcBorders>
              <w:top w:val="single" w:sz="8" w:color="auto"/>
              <w:right w:val="single" w:sz="8" w:color="auto"/>
            </w:tcBorders>
            <w:shd w:val="clear" w:color="auto" w:fill="2AD2C9"/>
          </w:tcPr>
          <w:p>
            <w:pPr>
              <w:spacing w:after="0"/>
              <w:rPr>
                <w:sz w:val="8"/>
                <w:szCs w:val="8"/>
                <w:color w:val="auto"/>
              </w:rPr>
            </w:pPr>
          </w:p>
        </w:tc>
        <w:tc>
          <w:tcPr>
            <w:tcW w:w="520" w:type="dxa"/>
            <w:vAlign w:val="bottom"/>
            <w:tcBorders>
              <w:top w:val="single" w:sz="8" w:color="auto"/>
            </w:tcBorders>
            <w:shd w:val="clear" w:color="auto" w:fill="2AD2C9"/>
          </w:tcPr>
          <w:p>
            <w:pPr>
              <w:spacing w:after="0"/>
              <w:rPr>
                <w:sz w:val="8"/>
                <w:szCs w:val="8"/>
                <w:color w:val="auto"/>
              </w:rPr>
            </w:pPr>
          </w:p>
        </w:tc>
        <w:tc>
          <w:tcPr>
            <w:tcW w:w="1060" w:type="dxa"/>
            <w:vAlign w:val="bottom"/>
            <w:tcBorders>
              <w:top w:val="single" w:sz="8" w:color="auto"/>
              <w:right w:val="single" w:sz="8" w:color="auto"/>
            </w:tcBorders>
            <w:shd w:val="clear" w:color="auto" w:fill="2AD2C9"/>
          </w:tcPr>
          <w:p>
            <w:pPr>
              <w:ind w:left="20"/>
              <w:spacing w:after="0" w:line="99" w:lineRule="exact"/>
              <w:rPr>
                <w:sz w:val="20"/>
                <w:szCs w:val="20"/>
                <w:color w:val="auto"/>
              </w:rPr>
            </w:pPr>
            <w:r>
              <w:rPr>
                <w:rFonts w:ascii="Arial" w:cs="Arial" w:eastAsia="Arial" w:hAnsi="Arial"/>
                <w:sz w:val="10"/>
                <w:szCs w:val="10"/>
                <w:b w:val="1"/>
                <w:bCs w:val="1"/>
                <w:color w:val="FFFFFF"/>
              </w:rPr>
              <w:t>% change</w:t>
            </w:r>
          </w:p>
        </w:tc>
        <w:tc>
          <w:tcPr>
            <w:tcW w:w="980" w:type="dxa"/>
            <w:vAlign w:val="bottom"/>
            <w:tcBorders>
              <w:top w:val="single" w:sz="8" w:color="auto"/>
            </w:tcBorders>
            <w:shd w:val="clear" w:color="auto" w:fill="2AD2C9"/>
          </w:tcPr>
          <w:p>
            <w:pPr>
              <w:jc w:val="right"/>
              <w:ind w:right="33"/>
              <w:spacing w:after="0" w:line="99" w:lineRule="exact"/>
              <w:rPr>
                <w:sz w:val="20"/>
                <w:szCs w:val="20"/>
                <w:color w:val="auto"/>
              </w:rPr>
            </w:pPr>
            <w:r>
              <w:rPr>
                <w:rFonts w:ascii="Arial" w:cs="Arial" w:eastAsia="Arial" w:hAnsi="Arial"/>
                <w:sz w:val="10"/>
                <w:szCs w:val="10"/>
                <w:b w:val="1"/>
                <w:bCs w:val="1"/>
                <w:color w:val="FFFFFF"/>
              </w:rPr>
              <w:t>Up to</w:t>
            </w:r>
          </w:p>
        </w:tc>
        <w:tc>
          <w:tcPr>
            <w:tcW w:w="600" w:type="dxa"/>
            <w:vAlign w:val="bottom"/>
            <w:tcBorders>
              <w:top w:val="single" w:sz="8" w:color="auto"/>
              <w:right w:val="single" w:sz="8" w:color="auto"/>
            </w:tcBorders>
            <w:shd w:val="clear" w:color="auto" w:fill="2AD2C9"/>
          </w:tcPr>
          <w:p>
            <w:pPr>
              <w:spacing w:after="0"/>
              <w:rPr>
                <w:sz w:val="8"/>
                <w:szCs w:val="8"/>
                <w:color w:val="auto"/>
              </w:rPr>
            </w:pPr>
          </w:p>
        </w:tc>
        <w:tc>
          <w:tcPr>
            <w:tcW w:w="800" w:type="dxa"/>
            <w:vAlign w:val="bottom"/>
            <w:tcBorders>
              <w:top w:val="single" w:sz="8" w:color="auto"/>
              <w:right w:val="single" w:sz="8" w:color="auto"/>
            </w:tcBorders>
            <w:shd w:val="clear" w:color="auto" w:fill="2AD2C9"/>
          </w:tcPr>
          <w:p>
            <w:pPr>
              <w:ind w:left="160"/>
              <w:spacing w:after="0" w:line="99" w:lineRule="exact"/>
              <w:rPr>
                <w:sz w:val="20"/>
                <w:szCs w:val="20"/>
                <w:color w:val="auto"/>
              </w:rPr>
            </w:pPr>
            <w:r>
              <w:rPr>
                <w:rFonts w:ascii="Arial" w:cs="Arial" w:eastAsia="Arial" w:hAnsi="Arial"/>
                <w:sz w:val="10"/>
                <w:szCs w:val="10"/>
                <w:b w:val="1"/>
                <w:bCs w:val="1"/>
                <w:color w:val="FFFFFF"/>
              </w:rPr>
              <w:t>% change</w:t>
            </w:r>
          </w:p>
        </w:tc>
      </w:tr>
      <w:tr>
        <w:trPr>
          <w:trHeight w:val="117"/>
        </w:trPr>
        <w:tc>
          <w:tcPr>
            <w:tcW w:w="408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0"/>
                <w:szCs w:val="10"/>
                <w:b w:val="1"/>
                <w:bCs w:val="1"/>
                <w:color w:val="FFFFFF"/>
              </w:rPr>
              <w:t>S/ 000</w:t>
            </w:r>
          </w:p>
        </w:tc>
        <w:tc>
          <w:tcPr>
            <w:tcW w:w="880" w:type="dxa"/>
            <w:vAlign w:val="bottom"/>
            <w:tcBorders>
              <w:bottom w:val="single" w:sz="8" w:color="auto"/>
            </w:tcBorders>
            <w:shd w:val="clear" w:color="auto" w:fill="2AD2C9"/>
          </w:tcPr>
          <w:p>
            <w:pPr>
              <w:jc w:val="right"/>
              <w:ind w:right="333"/>
              <w:spacing w:after="0"/>
              <w:rPr>
                <w:sz w:val="20"/>
                <w:szCs w:val="20"/>
                <w:color w:val="auto"/>
              </w:rPr>
            </w:pPr>
            <w:r>
              <w:rPr>
                <w:rFonts w:ascii="Arial" w:cs="Arial" w:eastAsia="Arial" w:hAnsi="Arial"/>
                <w:sz w:val="10"/>
                <w:szCs w:val="10"/>
                <w:b w:val="1"/>
                <w:bCs w:val="1"/>
                <w:color w:val="FFFFFF"/>
              </w:rPr>
              <w:t>2Q23</w:t>
            </w:r>
          </w:p>
        </w:tc>
        <w:tc>
          <w:tcPr>
            <w:tcW w:w="800" w:type="dxa"/>
            <w:vAlign w:val="bottom"/>
            <w:tcBorders>
              <w:bottom w:val="single" w:sz="8" w:color="auto"/>
            </w:tcBorders>
            <w:shd w:val="clear" w:color="auto" w:fill="2AD2C9"/>
          </w:tcPr>
          <w:p>
            <w:pPr>
              <w:jc w:val="right"/>
              <w:ind w:right="353"/>
              <w:spacing w:after="0"/>
              <w:rPr>
                <w:sz w:val="20"/>
                <w:szCs w:val="20"/>
                <w:color w:val="auto"/>
              </w:rPr>
            </w:pPr>
            <w:r>
              <w:rPr>
                <w:rFonts w:ascii="Arial" w:cs="Arial" w:eastAsia="Arial" w:hAnsi="Arial"/>
                <w:sz w:val="10"/>
                <w:szCs w:val="10"/>
                <w:b w:val="1"/>
                <w:bCs w:val="1"/>
                <w:color w:val="FFFFFF"/>
              </w:rPr>
              <w:t>1Q24</w:t>
            </w:r>
          </w:p>
        </w:tc>
        <w:tc>
          <w:tcPr>
            <w:tcW w:w="680" w:type="dxa"/>
            <w:vAlign w:val="bottom"/>
            <w:tcBorders>
              <w:bottom w:val="single" w:sz="8" w:color="auto"/>
              <w:right w:val="single" w:sz="8" w:color="auto"/>
            </w:tcBorders>
            <w:shd w:val="clear" w:color="auto" w:fill="2AD2C9"/>
          </w:tcPr>
          <w:p>
            <w:pPr>
              <w:jc w:val="right"/>
              <w:ind w:right="253"/>
              <w:spacing w:after="0"/>
              <w:rPr>
                <w:sz w:val="20"/>
                <w:szCs w:val="20"/>
                <w:color w:val="auto"/>
              </w:rPr>
            </w:pPr>
            <w:r>
              <w:rPr>
                <w:rFonts w:ascii="Arial" w:cs="Arial" w:eastAsia="Arial" w:hAnsi="Arial"/>
                <w:sz w:val="10"/>
                <w:szCs w:val="10"/>
                <w:b w:val="1"/>
                <w:bCs w:val="1"/>
                <w:color w:val="FFFFFF"/>
              </w:rPr>
              <w:t>2Q24</w:t>
            </w:r>
          </w:p>
        </w:tc>
        <w:tc>
          <w:tcPr>
            <w:tcW w:w="520" w:type="dxa"/>
            <w:vAlign w:val="bottom"/>
            <w:tcBorders>
              <w:bottom w:val="single" w:sz="8" w:color="auto"/>
            </w:tcBorders>
            <w:shd w:val="clear" w:color="auto" w:fill="2AD2C9"/>
          </w:tcPr>
          <w:p>
            <w:pPr>
              <w:ind w:left="280"/>
              <w:spacing w:after="0"/>
              <w:rPr>
                <w:sz w:val="20"/>
                <w:szCs w:val="20"/>
                <w:color w:val="auto"/>
              </w:rPr>
            </w:pPr>
            <w:r>
              <w:rPr>
                <w:rFonts w:ascii="Arial" w:cs="Arial" w:eastAsia="Arial" w:hAnsi="Arial"/>
                <w:sz w:val="10"/>
                <w:szCs w:val="10"/>
                <w:b w:val="1"/>
                <w:bCs w:val="1"/>
                <w:color w:val="FFFFFF"/>
              </w:rPr>
              <w:t>QoQ</w:t>
            </w:r>
          </w:p>
        </w:tc>
        <w:tc>
          <w:tcPr>
            <w:tcW w:w="1060" w:type="dxa"/>
            <w:vAlign w:val="bottom"/>
            <w:tcBorders>
              <w:bottom w:val="single" w:sz="8" w:color="auto"/>
              <w:right w:val="single" w:sz="8" w:color="auto"/>
            </w:tcBorders>
            <w:shd w:val="clear" w:color="auto" w:fill="2AD2C9"/>
          </w:tcPr>
          <w:p>
            <w:pPr>
              <w:ind w:left="560"/>
              <w:spacing w:after="0"/>
              <w:rPr>
                <w:sz w:val="20"/>
                <w:szCs w:val="20"/>
                <w:color w:val="auto"/>
              </w:rPr>
            </w:pPr>
            <w:r>
              <w:rPr>
                <w:rFonts w:ascii="Arial" w:cs="Arial" w:eastAsia="Arial" w:hAnsi="Arial"/>
                <w:sz w:val="10"/>
                <w:szCs w:val="10"/>
                <w:b w:val="1"/>
                <w:bCs w:val="1"/>
                <w:color w:val="FFFFFF"/>
              </w:rPr>
              <w:t>YoY</w:t>
            </w:r>
          </w:p>
        </w:tc>
        <w:tc>
          <w:tcPr>
            <w:tcW w:w="980" w:type="dxa"/>
            <w:vAlign w:val="bottom"/>
            <w:tcBorders>
              <w:bottom w:val="single" w:sz="8" w:color="auto"/>
            </w:tcBorders>
            <w:shd w:val="clear" w:color="auto" w:fill="2AD2C9"/>
          </w:tcPr>
          <w:p>
            <w:pPr>
              <w:jc w:val="right"/>
              <w:ind w:right="433"/>
              <w:spacing w:after="0"/>
              <w:rPr>
                <w:sz w:val="20"/>
                <w:szCs w:val="20"/>
                <w:color w:val="auto"/>
              </w:rPr>
            </w:pPr>
            <w:r>
              <w:rPr>
                <w:rFonts w:ascii="Arial" w:cs="Arial" w:eastAsia="Arial" w:hAnsi="Arial"/>
                <w:sz w:val="10"/>
                <w:szCs w:val="10"/>
                <w:b w:val="1"/>
                <w:bCs w:val="1"/>
                <w:color w:val="FFFFFF"/>
              </w:rPr>
              <w:t>1H23</w:t>
            </w:r>
          </w:p>
        </w:tc>
        <w:tc>
          <w:tcPr>
            <w:tcW w:w="600" w:type="dxa"/>
            <w:vAlign w:val="bottom"/>
            <w:tcBorders>
              <w:bottom w:val="single" w:sz="8" w:color="auto"/>
              <w:right w:val="single" w:sz="8" w:color="auto"/>
            </w:tcBorders>
            <w:shd w:val="clear" w:color="auto" w:fill="2AD2C9"/>
          </w:tcPr>
          <w:p>
            <w:pPr>
              <w:jc w:val="right"/>
              <w:ind w:right="253"/>
              <w:spacing w:after="0"/>
              <w:rPr>
                <w:sz w:val="20"/>
                <w:szCs w:val="20"/>
                <w:color w:val="auto"/>
              </w:rPr>
            </w:pPr>
            <w:r>
              <w:rPr>
                <w:rFonts w:ascii="Arial" w:cs="Arial" w:eastAsia="Arial" w:hAnsi="Arial"/>
                <w:sz w:val="10"/>
                <w:szCs w:val="10"/>
                <w:b w:val="1"/>
                <w:bCs w:val="1"/>
                <w:color w:val="FFFFFF"/>
              </w:rPr>
              <w:t>1H24</w:t>
            </w:r>
          </w:p>
        </w:tc>
        <w:tc>
          <w:tcPr>
            <w:tcW w:w="8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6"/>
              </w:rPr>
              <w:t>1H24 / 1H23</w:t>
            </w:r>
          </w:p>
        </w:tc>
      </w:tr>
      <w:tr>
        <w:trPr>
          <w:trHeight w:val="81"/>
        </w:trPr>
        <w:tc>
          <w:tcPr>
            <w:tcW w:w="4080" w:type="dxa"/>
            <w:vAlign w:val="bottom"/>
            <w:tcBorders>
              <w:left w:val="single" w:sz="8" w:color="auto"/>
              <w:right w:val="single" w:sz="8" w:color="auto"/>
            </w:tcBorders>
          </w:tcPr>
          <w:p>
            <w:pPr>
              <w:ind w:left="20"/>
              <w:spacing w:after="0" w:line="81" w:lineRule="exact"/>
              <w:rPr>
                <w:sz w:val="20"/>
                <w:szCs w:val="20"/>
                <w:color w:val="auto"/>
              </w:rPr>
            </w:pPr>
            <w:r>
              <w:rPr>
                <w:rFonts w:ascii="Arial" w:cs="Arial" w:eastAsia="Arial" w:hAnsi="Arial"/>
                <w:sz w:val="8"/>
                <w:szCs w:val="8"/>
                <w:color w:val="auto"/>
              </w:rPr>
              <w:t>Salaries and employees benefits</w:t>
            </w:r>
          </w:p>
        </w:tc>
        <w:tc>
          <w:tcPr>
            <w:tcW w:w="880" w:type="dxa"/>
            <w:vAlign w:val="bottom"/>
          </w:tcPr>
          <w:p>
            <w:pPr>
              <w:jc w:val="right"/>
              <w:ind w:right="73"/>
              <w:spacing w:after="0" w:line="81" w:lineRule="exact"/>
              <w:rPr>
                <w:sz w:val="20"/>
                <w:szCs w:val="20"/>
                <w:color w:val="auto"/>
              </w:rPr>
            </w:pPr>
            <w:r>
              <w:rPr>
                <w:rFonts w:ascii="Arial" w:cs="Arial" w:eastAsia="Arial" w:hAnsi="Arial"/>
                <w:sz w:val="8"/>
                <w:szCs w:val="8"/>
                <w:color w:val="auto"/>
              </w:rPr>
              <w:t>1,054,735</w:t>
            </w:r>
          </w:p>
        </w:tc>
        <w:tc>
          <w:tcPr>
            <w:tcW w:w="800" w:type="dxa"/>
            <w:vAlign w:val="bottom"/>
          </w:tcPr>
          <w:p>
            <w:pPr>
              <w:jc w:val="right"/>
              <w:ind w:right="93"/>
              <w:spacing w:after="0" w:line="81" w:lineRule="exact"/>
              <w:rPr>
                <w:sz w:val="20"/>
                <w:szCs w:val="20"/>
                <w:color w:val="auto"/>
              </w:rPr>
            </w:pPr>
            <w:r>
              <w:rPr>
                <w:rFonts w:ascii="Arial" w:cs="Arial" w:eastAsia="Arial" w:hAnsi="Arial"/>
                <w:sz w:val="8"/>
                <w:szCs w:val="8"/>
                <w:color w:val="auto"/>
              </w:rPr>
              <w:t>1,107,069</w:t>
            </w:r>
          </w:p>
        </w:tc>
        <w:tc>
          <w:tcPr>
            <w:tcW w:w="680" w:type="dxa"/>
            <w:vAlign w:val="bottom"/>
            <w:tcBorders>
              <w:right w:val="single" w:sz="8" w:color="auto"/>
            </w:tcBorders>
          </w:tcPr>
          <w:p>
            <w:pPr>
              <w:jc w:val="right"/>
              <w:spacing w:after="0" w:line="81" w:lineRule="exact"/>
              <w:rPr>
                <w:sz w:val="20"/>
                <w:szCs w:val="20"/>
                <w:color w:val="auto"/>
              </w:rPr>
            </w:pPr>
            <w:r>
              <w:rPr>
                <w:rFonts w:ascii="Arial" w:cs="Arial" w:eastAsia="Arial" w:hAnsi="Arial"/>
                <w:sz w:val="8"/>
                <w:szCs w:val="8"/>
                <w:color w:val="auto"/>
              </w:rPr>
              <w:t>1,141,823</w:t>
            </w:r>
          </w:p>
        </w:tc>
        <w:tc>
          <w:tcPr>
            <w:tcW w:w="520" w:type="dxa"/>
            <w:vAlign w:val="bottom"/>
          </w:tcPr>
          <w:p>
            <w:pPr>
              <w:jc w:val="center"/>
              <w:ind w:left="173"/>
              <w:spacing w:after="0" w:line="81" w:lineRule="exact"/>
              <w:rPr>
                <w:sz w:val="20"/>
                <w:szCs w:val="20"/>
                <w:color w:val="auto"/>
              </w:rPr>
            </w:pPr>
            <w:r>
              <w:rPr>
                <w:rFonts w:ascii="Arial" w:cs="Arial" w:eastAsia="Arial" w:hAnsi="Arial"/>
                <w:sz w:val="8"/>
                <w:szCs w:val="8"/>
                <w:color w:val="auto"/>
              </w:rPr>
              <w:t>3.1%</w:t>
            </w:r>
          </w:p>
        </w:tc>
        <w:tc>
          <w:tcPr>
            <w:tcW w:w="1060" w:type="dxa"/>
            <w:vAlign w:val="bottom"/>
            <w:tcBorders>
              <w:right w:val="single" w:sz="8" w:color="auto"/>
            </w:tcBorders>
          </w:tcPr>
          <w:p>
            <w:pPr>
              <w:jc w:val="center"/>
              <w:ind w:left="193"/>
              <w:spacing w:after="0" w:line="81" w:lineRule="exact"/>
              <w:rPr>
                <w:sz w:val="20"/>
                <w:szCs w:val="20"/>
                <w:color w:val="auto"/>
              </w:rPr>
            </w:pPr>
            <w:r>
              <w:rPr>
                <w:rFonts w:ascii="Arial" w:cs="Arial" w:eastAsia="Arial" w:hAnsi="Arial"/>
                <w:sz w:val="8"/>
                <w:szCs w:val="8"/>
                <w:color w:val="auto"/>
              </w:rPr>
              <w:t>8.3%</w:t>
            </w:r>
          </w:p>
        </w:tc>
        <w:tc>
          <w:tcPr>
            <w:tcW w:w="980" w:type="dxa"/>
            <w:vAlign w:val="bottom"/>
          </w:tcPr>
          <w:p>
            <w:pPr>
              <w:jc w:val="right"/>
              <w:ind w:right="173"/>
              <w:spacing w:after="0" w:line="81" w:lineRule="exact"/>
              <w:rPr>
                <w:sz w:val="20"/>
                <w:szCs w:val="20"/>
                <w:color w:val="auto"/>
              </w:rPr>
            </w:pPr>
            <w:r>
              <w:rPr>
                <w:rFonts w:ascii="Arial" w:cs="Arial" w:eastAsia="Arial" w:hAnsi="Arial"/>
                <w:sz w:val="8"/>
                <w:szCs w:val="8"/>
                <w:color w:val="auto"/>
              </w:rPr>
              <w:t>2,084,293</w:t>
            </w:r>
          </w:p>
        </w:tc>
        <w:tc>
          <w:tcPr>
            <w:tcW w:w="600" w:type="dxa"/>
            <w:vAlign w:val="bottom"/>
            <w:tcBorders>
              <w:right w:val="single" w:sz="8" w:color="auto"/>
            </w:tcBorders>
          </w:tcPr>
          <w:p>
            <w:pPr>
              <w:jc w:val="right"/>
              <w:spacing w:after="0" w:line="81" w:lineRule="exact"/>
              <w:rPr>
                <w:sz w:val="20"/>
                <w:szCs w:val="20"/>
                <w:color w:val="auto"/>
              </w:rPr>
            </w:pPr>
            <w:r>
              <w:rPr>
                <w:rFonts w:ascii="Arial" w:cs="Arial" w:eastAsia="Arial" w:hAnsi="Arial"/>
                <w:sz w:val="8"/>
                <w:szCs w:val="8"/>
                <w:color w:val="auto"/>
              </w:rPr>
              <w:t>2,248,892</w:t>
            </w:r>
          </w:p>
        </w:tc>
        <w:tc>
          <w:tcPr>
            <w:tcW w:w="80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7.9%</w:t>
            </w:r>
          </w:p>
        </w:tc>
      </w:tr>
      <w:tr>
        <w:trPr>
          <w:trHeight w:val="103"/>
        </w:trPr>
        <w:tc>
          <w:tcPr>
            <w:tcW w:w="408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Administrative and general expenses</w:t>
            </w:r>
          </w:p>
        </w:tc>
        <w:tc>
          <w:tcPr>
            <w:tcW w:w="880" w:type="dxa"/>
            <w:vAlign w:val="bottom"/>
          </w:tcPr>
          <w:p>
            <w:pPr>
              <w:jc w:val="right"/>
              <w:ind w:right="73"/>
              <w:spacing w:after="0" w:line="103" w:lineRule="exact"/>
              <w:rPr>
                <w:sz w:val="20"/>
                <w:szCs w:val="20"/>
                <w:color w:val="auto"/>
              </w:rPr>
            </w:pPr>
            <w:r>
              <w:rPr>
                <w:rFonts w:ascii="Arial" w:cs="Arial" w:eastAsia="Arial" w:hAnsi="Arial"/>
                <w:sz w:val="10"/>
                <w:szCs w:val="10"/>
                <w:color w:val="auto"/>
              </w:rPr>
              <w:t>871,046</w:t>
            </w:r>
          </w:p>
        </w:tc>
        <w:tc>
          <w:tcPr>
            <w:tcW w:w="800" w:type="dxa"/>
            <w:vAlign w:val="bottom"/>
          </w:tcPr>
          <w:p>
            <w:pPr>
              <w:jc w:val="right"/>
              <w:ind w:right="93"/>
              <w:spacing w:after="0" w:line="103" w:lineRule="exact"/>
              <w:rPr>
                <w:sz w:val="20"/>
                <w:szCs w:val="20"/>
                <w:color w:val="auto"/>
              </w:rPr>
            </w:pPr>
            <w:r>
              <w:rPr>
                <w:rFonts w:ascii="Arial" w:cs="Arial" w:eastAsia="Arial" w:hAnsi="Arial"/>
                <w:sz w:val="10"/>
                <w:szCs w:val="10"/>
                <w:color w:val="auto"/>
              </w:rPr>
              <w:t>888,583</w:t>
            </w:r>
          </w:p>
        </w:tc>
        <w:tc>
          <w:tcPr>
            <w:tcW w:w="680" w:type="dxa"/>
            <w:vAlign w:val="bottom"/>
            <w:tcBorders>
              <w:right w:val="single" w:sz="8" w:color="auto"/>
            </w:tcBorders>
          </w:tcPr>
          <w:p>
            <w:pPr>
              <w:jc w:val="right"/>
              <w:spacing w:after="0" w:line="103" w:lineRule="exact"/>
              <w:rPr>
                <w:sz w:val="20"/>
                <w:szCs w:val="20"/>
                <w:color w:val="auto"/>
              </w:rPr>
            </w:pPr>
            <w:r>
              <w:rPr>
                <w:rFonts w:ascii="Arial" w:cs="Arial" w:eastAsia="Arial" w:hAnsi="Arial"/>
                <w:sz w:val="10"/>
                <w:szCs w:val="10"/>
                <w:color w:val="auto"/>
              </w:rPr>
              <w:t>1,017,707</w:t>
            </w:r>
          </w:p>
        </w:tc>
        <w:tc>
          <w:tcPr>
            <w:tcW w:w="520" w:type="dxa"/>
            <w:vAlign w:val="bottom"/>
          </w:tcPr>
          <w:p>
            <w:pPr>
              <w:jc w:val="center"/>
              <w:ind w:left="193"/>
              <w:spacing w:after="0" w:line="103" w:lineRule="exact"/>
              <w:rPr>
                <w:sz w:val="20"/>
                <w:szCs w:val="20"/>
                <w:color w:val="auto"/>
              </w:rPr>
            </w:pPr>
            <w:r>
              <w:rPr>
                <w:rFonts w:ascii="Arial" w:cs="Arial" w:eastAsia="Arial" w:hAnsi="Arial"/>
                <w:sz w:val="10"/>
                <w:szCs w:val="10"/>
                <w:color w:val="auto"/>
                <w:w w:val="98"/>
              </w:rPr>
              <w:t>14.5%</w:t>
            </w:r>
          </w:p>
        </w:tc>
        <w:tc>
          <w:tcPr>
            <w:tcW w:w="1060" w:type="dxa"/>
            <w:vAlign w:val="bottom"/>
            <w:tcBorders>
              <w:right w:val="single" w:sz="8" w:color="auto"/>
            </w:tcBorders>
          </w:tcPr>
          <w:p>
            <w:pPr>
              <w:jc w:val="center"/>
              <w:ind w:left="173"/>
              <w:spacing w:after="0" w:line="103" w:lineRule="exact"/>
              <w:rPr>
                <w:sz w:val="20"/>
                <w:szCs w:val="20"/>
                <w:color w:val="auto"/>
              </w:rPr>
            </w:pPr>
            <w:r>
              <w:rPr>
                <w:rFonts w:ascii="Arial" w:cs="Arial" w:eastAsia="Arial" w:hAnsi="Arial"/>
                <w:sz w:val="10"/>
                <w:szCs w:val="10"/>
                <w:color w:val="auto"/>
                <w:w w:val="98"/>
              </w:rPr>
              <w:t>16.8%</w:t>
            </w:r>
          </w:p>
        </w:tc>
        <w:tc>
          <w:tcPr>
            <w:tcW w:w="980" w:type="dxa"/>
            <w:vAlign w:val="bottom"/>
          </w:tcPr>
          <w:p>
            <w:pPr>
              <w:jc w:val="right"/>
              <w:ind w:right="173"/>
              <w:spacing w:after="0" w:line="103" w:lineRule="exact"/>
              <w:rPr>
                <w:sz w:val="20"/>
                <w:szCs w:val="20"/>
                <w:color w:val="auto"/>
              </w:rPr>
            </w:pPr>
            <w:r>
              <w:rPr>
                <w:rFonts w:ascii="Arial" w:cs="Arial" w:eastAsia="Arial" w:hAnsi="Arial"/>
                <w:sz w:val="10"/>
                <w:szCs w:val="10"/>
                <w:color w:val="auto"/>
              </w:rPr>
              <w:t>1,706,106</w:t>
            </w:r>
          </w:p>
        </w:tc>
        <w:tc>
          <w:tcPr>
            <w:tcW w:w="600" w:type="dxa"/>
            <w:vAlign w:val="bottom"/>
            <w:tcBorders>
              <w:right w:val="single" w:sz="8" w:color="auto"/>
            </w:tcBorders>
          </w:tcPr>
          <w:p>
            <w:pPr>
              <w:jc w:val="right"/>
              <w:spacing w:after="0" w:line="103" w:lineRule="exact"/>
              <w:rPr>
                <w:sz w:val="20"/>
                <w:szCs w:val="20"/>
                <w:color w:val="auto"/>
              </w:rPr>
            </w:pPr>
            <w:r>
              <w:rPr>
                <w:rFonts w:ascii="Arial" w:cs="Arial" w:eastAsia="Arial" w:hAnsi="Arial"/>
                <w:sz w:val="10"/>
                <w:szCs w:val="10"/>
                <w:color w:val="auto"/>
              </w:rPr>
              <w:t>1,906,290</w:t>
            </w:r>
          </w:p>
        </w:tc>
        <w:tc>
          <w:tcPr>
            <w:tcW w:w="8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8"/>
              </w:rPr>
              <w:t>11.7%</w:t>
            </w:r>
          </w:p>
        </w:tc>
      </w:tr>
      <w:tr>
        <w:trPr>
          <w:trHeight w:val="103"/>
        </w:trPr>
        <w:tc>
          <w:tcPr>
            <w:tcW w:w="408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Depreciation and amortization</w:t>
            </w:r>
          </w:p>
        </w:tc>
        <w:tc>
          <w:tcPr>
            <w:tcW w:w="880" w:type="dxa"/>
            <w:vAlign w:val="bottom"/>
          </w:tcPr>
          <w:p>
            <w:pPr>
              <w:jc w:val="right"/>
              <w:ind w:right="73"/>
              <w:spacing w:after="0" w:line="103" w:lineRule="exact"/>
              <w:rPr>
                <w:sz w:val="20"/>
                <w:szCs w:val="20"/>
                <w:color w:val="auto"/>
              </w:rPr>
            </w:pPr>
            <w:r>
              <w:rPr>
                <w:rFonts w:ascii="Arial" w:cs="Arial" w:eastAsia="Arial" w:hAnsi="Arial"/>
                <w:sz w:val="10"/>
                <w:szCs w:val="10"/>
                <w:color w:val="auto"/>
              </w:rPr>
              <w:t>160,549</w:t>
            </w:r>
          </w:p>
        </w:tc>
        <w:tc>
          <w:tcPr>
            <w:tcW w:w="800" w:type="dxa"/>
            <w:vAlign w:val="bottom"/>
          </w:tcPr>
          <w:p>
            <w:pPr>
              <w:jc w:val="right"/>
              <w:ind w:right="93"/>
              <w:spacing w:after="0" w:line="103" w:lineRule="exact"/>
              <w:rPr>
                <w:sz w:val="20"/>
                <w:szCs w:val="20"/>
                <w:color w:val="auto"/>
              </w:rPr>
            </w:pPr>
            <w:r>
              <w:rPr>
                <w:rFonts w:ascii="Arial" w:cs="Arial" w:eastAsia="Arial" w:hAnsi="Arial"/>
                <w:sz w:val="10"/>
                <w:szCs w:val="10"/>
                <w:color w:val="auto"/>
              </w:rPr>
              <w:t>175,146</w:t>
            </w:r>
          </w:p>
        </w:tc>
        <w:tc>
          <w:tcPr>
            <w:tcW w:w="680" w:type="dxa"/>
            <w:vAlign w:val="bottom"/>
            <w:tcBorders>
              <w:right w:val="single" w:sz="8" w:color="auto"/>
            </w:tcBorders>
          </w:tcPr>
          <w:p>
            <w:pPr>
              <w:jc w:val="right"/>
              <w:spacing w:after="0" w:line="103" w:lineRule="exact"/>
              <w:rPr>
                <w:sz w:val="20"/>
                <w:szCs w:val="20"/>
                <w:color w:val="auto"/>
              </w:rPr>
            </w:pPr>
            <w:r>
              <w:rPr>
                <w:rFonts w:ascii="Arial" w:cs="Arial" w:eastAsia="Arial" w:hAnsi="Arial"/>
                <w:sz w:val="10"/>
                <w:szCs w:val="10"/>
                <w:color w:val="auto"/>
              </w:rPr>
              <w:t>172,204</w:t>
            </w:r>
          </w:p>
        </w:tc>
        <w:tc>
          <w:tcPr>
            <w:tcW w:w="520" w:type="dxa"/>
            <w:vAlign w:val="bottom"/>
          </w:tcPr>
          <w:p>
            <w:pPr>
              <w:jc w:val="center"/>
              <w:ind w:left="173"/>
              <w:spacing w:after="0" w:line="103" w:lineRule="exact"/>
              <w:rPr>
                <w:sz w:val="20"/>
                <w:szCs w:val="20"/>
                <w:color w:val="auto"/>
              </w:rPr>
            </w:pPr>
            <w:r>
              <w:rPr>
                <w:rFonts w:ascii="Arial" w:cs="Arial" w:eastAsia="Arial" w:hAnsi="Arial"/>
                <w:sz w:val="10"/>
                <w:szCs w:val="10"/>
                <w:color w:val="auto"/>
                <w:w w:val="99"/>
              </w:rPr>
              <w:t>-1.7%</w:t>
            </w:r>
          </w:p>
        </w:tc>
        <w:tc>
          <w:tcPr>
            <w:tcW w:w="1060" w:type="dxa"/>
            <w:vAlign w:val="bottom"/>
            <w:tcBorders>
              <w:right w:val="single" w:sz="8" w:color="auto"/>
            </w:tcBorders>
          </w:tcPr>
          <w:p>
            <w:pPr>
              <w:jc w:val="center"/>
              <w:ind w:left="193"/>
              <w:spacing w:after="0" w:line="103" w:lineRule="exact"/>
              <w:rPr>
                <w:sz w:val="20"/>
                <w:szCs w:val="20"/>
                <w:color w:val="auto"/>
              </w:rPr>
            </w:pPr>
            <w:r>
              <w:rPr>
                <w:rFonts w:ascii="Arial" w:cs="Arial" w:eastAsia="Arial" w:hAnsi="Arial"/>
                <w:sz w:val="10"/>
                <w:szCs w:val="10"/>
                <w:color w:val="auto"/>
                <w:w w:val="96"/>
              </w:rPr>
              <w:t>7.3%</w:t>
            </w:r>
          </w:p>
        </w:tc>
        <w:tc>
          <w:tcPr>
            <w:tcW w:w="980" w:type="dxa"/>
            <w:vAlign w:val="bottom"/>
          </w:tcPr>
          <w:p>
            <w:pPr>
              <w:jc w:val="right"/>
              <w:ind w:right="173"/>
              <w:spacing w:after="0" w:line="103" w:lineRule="exact"/>
              <w:rPr>
                <w:sz w:val="20"/>
                <w:szCs w:val="20"/>
                <w:color w:val="auto"/>
              </w:rPr>
            </w:pPr>
            <w:r>
              <w:rPr>
                <w:rFonts w:ascii="Arial" w:cs="Arial" w:eastAsia="Arial" w:hAnsi="Arial"/>
                <w:sz w:val="10"/>
                <w:szCs w:val="10"/>
                <w:color w:val="auto"/>
              </w:rPr>
              <w:t>321,628</w:t>
            </w:r>
          </w:p>
        </w:tc>
        <w:tc>
          <w:tcPr>
            <w:tcW w:w="600" w:type="dxa"/>
            <w:vAlign w:val="bottom"/>
            <w:tcBorders>
              <w:right w:val="single" w:sz="8" w:color="auto"/>
            </w:tcBorders>
          </w:tcPr>
          <w:p>
            <w:pPr>
              <w:jc w:val="right"/>
              <w:spacing w:after="0" w:line="103" w:lineRule="exact"/>
              <w:rPr>
                <w:sz w:val="20"/>
                <w:szCs w:val="20"/>
                <w:color w:val="auto"/>
              </w:rPr>
            </w:pPr>
            <w:r>
              <w:rPr>
                <w:rFonts w:ascii="Arial" w:cs="Arial" w:eastAsia="Arial" w:hAnsi="Arial"/>
                <w:sz w:val="10"/>
                <w:szCs w:val="10"/>
                <w:color w:val="auto"/>
              </w:rPr>
              <w:t>347,350</w:t>
            </w:r>
          </w:p>
        </w:tc>
        <w:tc>
          <w:tcPr>
            <w:tcW w:w="8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8.0%</w:t>
            </w:r>
          </w:p>
        </w:tc>
      </w:tr>
      <w:tr>
        <w:trPr>
          <w:trHeight w:val="115"/>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Association in participation</w:t>
            </w: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0"/>
                <w:szCs w:val="10"/>
                <w:color w:val="auto"/>
              </w:rPr>
              <w:t>16,742</w:t>
            </w: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0"/>
                <w:szCs w:val="10"/>
                <w:color w:val="auto"/>
              </w:rPr>
              <w:t>8,847</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9,200</w:t>
            </w:r>
          </w:p>
        </w:tc>
        <w:tc>
          <w:tcPr>
            <w:tcW w:w="520" w:type="dxa"/>
            <w:vAlign w:val="bottom"/>
            <w:tcBorders>
              <w:bottom w:val="single" w:sz="8" w:color="auto"/>
            </w:tcBorders>
          </w:tcPr>
          <w:p>
            <w:pPr>
              <w:jc w:val="center"/>
              <w:ind w:left="173"/>
              <w:spacing w:after="0"/>
              <w:rPr>
                <w:sz w:val="20"/>
                <w:szCs w:val="20"/>
                <w:color w:val="auto"/>
              </w:rPr>
            </w:pPr>
            <w:r>
              <w:rPr>
                <w:rFonts w:ascii="Arial" w:cs="Arial" w:eastAsia="Arial" w:hAnsi="Arial"/>
                <w:sz w:val="10"/>
                <w:szCs w:val="10"/>
                <w:color w:val="auto"/>
                <w:w w:val="96"/>
              </w:rPr>
              <w:t>4.0%</w:t>
            </w:r>
          </w:p>
        </w:tc>
        <w:tc>
          <w:tcPr>
            <w:tcW w:w="1060" w:type="dxa"/>
            <w:vAlign w:val="bottom"/>
            <w:tcBorders>
              <w:bottom w:val="single" w:sz="8" w:color="auto"/>
              <w:right w:val="single" w:sz="8" w:color="auto"/>
            </w:tcBorders>
          </w:tcPr>
          <w:p>
            <w:pPr>
              <w:jc w:val="center"/>
              <w:ind w:left="173"/>
              <w:spacing w:after="0"/>
              <w:rPr>
                <w:sz w:val="20"/>
                <w:szCs w:val="20"/>
                <w:color w:val="auto"/>
              </w:rPr>
            </w:pPr>
            <w:r>
              <w:rPr>
                <w:rFonts w:ascii="Arial" w:cs="Arial" w:eastAsia="Arial" w:hAnsi="Arial"/>
                <w:sz w:val="10"/>
                <w:szCs w:val="10"/>
                <w:color w:val="auto"/>
              </w:rPr>
              <w:t>-45.0%</w:t>
            </w: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0"/>
                <w:szCs w:val="10"/>
                <w:color w:val="auto"/>
              </w:rPr>
              <w:t>29,354</w:t>
            </w: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18,047</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4"/>
              </w:rPr>
              <w:t>-38.5%</w:t>
            </w:r>
          </w:p>
        </w:tc>
      </w:tr>
      <w:tr>
        <w:trPr>
          <w:trHeight w:val="93"/>
        </w:trPr>
        <w:tc>
          <w:tcPr>
            <w:tcW w:w="4080" w:type="dxa"/>
            <w:vAlign w:val="bottom"/>
            <w:tcBorders>
              <w:left w:val="single" w:sz="8" w:color="auto"/>
              <w:bottom w:val="single" w:sz="8" w:color="auto"/>
              <w:right w:val="single" w:sz="8" w:color="auto"/>
            </w:tcBorders>
          </w:tcPr>
          <w:p>
            <w:pPr>
              <w:ind w:left="20"/>
              <w:spacing w:after="0" w:line="93" w:lineRule="exact"/>
              <w:rPr>
                <w:sz w:val="20"/>
                <w:szCs w:val="20"/>
                <w:color w:val="auto"/>
              </w:rPr>
            </w:pPr>
            <w:r>
              <w:rPr>
                <w:rFonts w:ascii="Arial" w:cs="Arial" w:eastAsia="Arial" w:hAnsi="Arial"/>
                <w:sz w:val="10"/>
                <w:szCs w:val="10"/>
                <w:b w:val="1"/>
                <w:bCs w:val="1"/>
                <w:color w:val="auto"/>
              </w:rPr>
              <w:t>Operating expenses</w:t>
            </w:r>
          </w:p>
        </w:tc>
        <w:tc>
          <w:tcPr>
            <w:tcW w:w="880" w:type="dxa"/>
            <w:vAlign w:val="bottom"/>
            <w:tcBorders>
              <w:bottom w:val="single" w:sz="8" w:color="auto"/>
            </w:tcBorders>
          </w:tcPr>
          <w:p>
            <w:pPr>
              <w:jc w:val="right"/>
              <w:ind w:right="73"/>
              <w:spacing w:after="0" w:line="93" w:lineRule="exact"/>
              <w:rPr>
                <w:sz w:val="20"/>
                <w:szCs w:val="20"/>
                <w:color w:val="auto"/>
              </w:rPr>
            </w:pPr>
            <w:r>
              <w:rPr>
                <w:rFonts w:ascii="Arial" w:cs="Arial" w:eastAsia="Arial" w:hAnsi="Arial"/>
                <w:sz w:val="10"/>
                <w:szCs w:val="10"/>
                <w:b w:val="1"/>
                <w:bCs w:val="1"/>
                <w:color w:val="auto"/>
              </w:rPr>
              <w:t>2,103,072</w:t>
            </w:r>
          </w:p>
        </w:tc>
        <w:tc>
          <w:tcPr>
            <w:tcW w:w="800" w:type="dxa"/>
            <w:vAlign w:val="bottom"/>
            <w:tcBorders>
              <w:bottom w:val="single" w:sz="8" w:color="auto"/>
            </w:tcBorders>
          </w:tcPr>
          <w:p>
            <w:pPr>
              <w:jc w:val="right"/>
              <w:ind w:right="93"/>
              <w:spacing w:after="0" w:line="93" w:lineRule="exact"/>
              <w:rPr>
                <w:sz w:val="20"/>
                <w:szCs w:val="20"/>
                <w:color w:val="auto"/>
              </w:rPr>
            </w:pPr>
            <w:r>
              <w:rPr>
                <w:rFonts w:ascii="Arial" w:cs="Arial" w:eastAsia="Arial" w:hAnsi="Arial"/>
                <w:sz w:val="10"/>
                <w:szCs w:val="10"/>
                <w:b w:val="1"/>
                <w:bCs w:val="1"/>
                <w:color w:val="auto"/>
              </w:rPr>
              <w:t>2,179,645</w:t>
            </w:r>
          </w:p>
        </w:tc>
        <w:tc>
          <w:tcPr>
            <w:tcW w:w="680" w:type="dxa"/>
            <w:vAlign w:val="bottom"/>
            <w:tcBorders>
              <w:bottom w:val="single" w:sz="8" w:color="auto"/>
              <w:right w:val="single" w:sz="8" w:color="auto"/>
            </w:tcBorders>
          </w:tcPr>
          <w:p>
            <w:pPr>
              <w:jc w:val="right"/>
              <w:spacing w:after="0" w:line="93" w:lineRule="exact"/>
              <w:rPr>
                <w:sz w:val="20"/>
                <w:szCs w:val="20"/>
                <w:color w:val="auto"/>
              </w:rPr>
            </w:pPr>
            <w:r>
              <w:rPr>
                <w:rFonts w:ascii="Arial" w:cs="Arial" w:eastAsia="Arial" w:hAnsi="Arial"/>
                <w:sz w:val="10"/>
                <w:szCs w:val="10"/>
                <w:b w:val="1"/>
                <w:bCs w:val="1"/>
                <w:color w:val="auto"/>
              </w:rPr>
              <w:t>2,340,934</w:t>
            </w:r>
          </w:p>
        </w:tc>
        <w:tc>
          <w:tcPr>
            <w:tcW w:w="520" w:type="dxa"/>
            <w:vAlign w:val="bottom"/>
            <w:tcBorders>
              <w:bottom w:val="single" w:sz="8" w:color="auto"/>
            </w:tcBorders>
          </w:tcPr>
          <w:p>
            <w:pPr>
              <w:jc w:val="center"/>
              <w:ind w:left="173"/>
              <w:spacing w:after="0" w:line="93" w:lineRule="exact"/>
              <w:rPr>
                <w:sz w:val="20"/>
                <w:szCs w:val="20"/>
                <w:color w:val="auto"/>
              </w:rPr>
            </w:pPr>
            <w:r>
              <w:rPr>
                <w:rFonts w:ascii="Arial" w:cs="Arial" w:eastAsia="Arial" w:hAnsi="Arial"/>
                <w:sz w:val="10"/>
                <w:szCs w:val="10"/>
                <w:b w:val="1"/>
                <w:bCs w:val="1"/>
                <w:color w:val="auto"/>
                <w:w w:val="96"/>
              </w:rPr>
              <w:t>7.4%</w:t>
            </w:r>
          </w:p>
        </w:tc>
        <w:tc>
          <w:tcPr>
            <w:tcW w:w="1060" w:type="dxa"/>
            <w:vAlign w:val="bottom"/>
            <w:tcBorders>
              <w:bottom w:val="single" w:sz="8" w:color="auto"/>
              <w:right w:val="single" w:sz="8" w:color="auto"/>
            </w:tcBorders>
          </w:tcPr>
          <w:p>
            <w:pPr>
              <w:jc w:val="center"/>
              <w:ind w:left="173"/>
              <w:spacing w:after="0" w:line="93" w:lineRule="exact"/>
              <w:rPr>
                <w:sz w:val="20"/>
                <w:szCs w:val="20"/>
                <w:color w:val="auto"/>
              </w:rPr>
            </w:pPr>
            <w:r>
              <w:rPr>
                <w:rFonts w:ascii="Arial" w:cs="Arial" w:eastAsia="Arial" w:hAnsi="Arial"/>
                <w:sz w:val="10"/>
                <w:szCs w:val="10"/>
                <w:b w:val="1"/>
                <w:bCs w:val="1"/>
                <w:color w:val="auto"/>
                <w:w w:val="98"/>
              </w:rPr>
              <w:t>11.3%</w:t>
            </w:r>
          </w:p>
        </w:tc>
        <w:tc>
          <w:tcPr>
            <w:tcW w:w="980" w:type="dxa"/>
            <w:vAlign w:val="bottom"/>
            <w:tcBorders>
              <w:bottom w:val="single" w:sz="8" w:color="auto"/>
            </w:tcBorders>
          </w:tcPr>
          <w:p>
            <w:pPr>
              <w:jc w:val="right"/>
              <w:ind w:right="173"/>
              <w:spacing w:after="0" w:line="93" w:lineRule="exact"/>
              <w:rPr>
                <w:sz w:val="20"/>
                <w:szCs w:val="20"/>
                <w:color w:val="auto"/>
              </w:rPr>
            </w:pPr>
            <w:r>
              <w:rPr>
                <w:rFonts w:ascii="Arial" w:cs="Arial" w:eastAsia="Arial" w:hAnsi="Arial"/>
                <w:sz w:val="10"/>
                <w:szCs w:val="10"/>
                <w:b w:val="1"/>
                <w:bCs w:val="1"/>
                <w:color w:val="auto"/>
              </w:rPr>
              <w:t>4,141,381</w:t>
            </w:r>
          </w:p>
        </w:tc>
        <w:tc>
          <w:tcPr>
            <w:tcW w:w="600" w:type="dxa"/>
            <w:vAlign w:val="bottom"/>
            <w:tcBorders>
              <w:bottom w:val="single" w:sz="8" w:color="auto"/>
              <w:right w:val="single" w:sz="8" w:color="auto"/>
            </w:tcBorders>
          </w:tcPr>
          <w:p>
            <w:pPr>
              <w:jc w:val="right"/>
              <w:spacing w:after="0" w:line="93" w:lineRule="exact"/>
              <w:rPr>
                <w:sz w:val="20"/>
                <w:szCs w:val="20"/>
                <w:color w:val="auto"/>
              </w:rPr>
            </w:pPr>
            <w:r>
              <w:rPr>
                <w:rFonts w:ascii="Arial" w:cs="Arial" w:eastAsia="Arial" w:hAnsi="Arial"/>
                <w:sz w:val="10"/>
                <w:szCs w:val="10"/>
                <w:b w:val="1"/>
                <w:bCs w:val="1"/>
                <w:color w:val="auto"/>
              </w:rPr>
              <w:t>4,520,579</w:t>
            </w:r>
          </w:p>
        </w:tc>
        <w:tc>
          <w:tcPr>
            <w:tcW w:w="80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6"/>
              </w:rPr>
              <w:t>9.2%</w:t>
            </w:r>
          </w:p>
        </w:tc>
      </w:tr>
    </w:tbl>
    <w:p>
      <w:pPr>
        <w:spacing w:after="0" w:line="142" w:lineRule="exact"/>
        <w:rPr>
          <w:sz w:val="20"/>
          <w:szCs w:val="20"/>
          <w:color w:val="auto"/>
        </w:rPr>
      </w:pPr>
    </w:p>
    <w:p>
      <w:pPr>
        <w:ind w:left="6"/>
        <w:spacing w:after="0"/>
        <w:rPr>
          <w:sz w:val="20"/>
          <w:szCs w:val="20"/>
          <w:color w:val="auto"/>
        </w:rPr>
      </w:pPr>
      <w:r>
        <w:rPr>
          <w:rFonts w:ascii="Arial" w:cs="Arial" w:eastAsia="Arial" w:hAnsi="Arial"/>
          <w:sz w:val="14"/>
          <w:szCs w:val="14"/>
          <w:color w:val="auto"/>
        </w:rPr>
        <w:t>To analyze expenses, our analysis focuses on YTD movements to eliminate the effects of seasonality between quarters.</w:t>
      </w:r>
    </w:p>
    <w:p>
      <w:pPr>
        <w:spacing w:after="0" w:line="148" w:lineRule="exact"/>
        <w:rPr>
          <w:sz w:val="20"/>
          <w:szCs w:val="20"/>
          <w:color w:val="auto"/>
        </w:rPr>
      </w:pPr>
    </w:p>
    <w:p>
      <w:pPr>
        <w:ind w:left="6"/>
        <w:spacing w:after="0"/>
        <w:rPr>
          <w:sz w:val="20"/>
          <w:szCs w:val="20"/>
          <w:color w:val="auto"/>
        </w:rPr>
      </w:pPr>
      <w:r>
        <w:rPr>
          <w:rFonts w:ascii="Arial" w:cs="Arial" w:eastAsia="Arial" w:hAnsi="Arial"/>
          <w:sz w:val="14"/>
          <w:szCs w:val="14"/>
          <w:color w:val="auto"/>
        </w:rPr>
        <w:t>Operating expenses grew 9.2% YTD due to:</w:t>
      </w:r>
    </w:p>
    <w:p>
      <w:pPr>
        <w:spacing w:after="0" w:line="148" w:lineRule="exact"/>
        <w:rPr>
          <w:sz w:val="20"/>
          <w:szCs w:val="20"/>
          <w:color w:val="auto"/>
        </w:rPr>
      </w:pPr>
    </w:p>
    <w:p>
      <w:pPr>
        <w:ind w:left="226" w:hanging="226"/>
        <w:spacing w:after="0"/>
        <w:tabs>
          <w:tab w:leader="none" w:pos="226" w:val="left"/>
        </w:tabs>
        <w:numPr>
          <w:ilvl w:val="0"/>
          <w:numId w:val="40"/>
        </w:numPr>
        <w:rPr>
          <w:rFonts w:ascii="Arial" w:cs="Arial" w:eastAsia="Arial" w:hAnsi="Arial"/>
          <w:sz w:val="14"/>
          <w:szCs w:val="14"/>
          <w:color w:val="auto"/>
        </w:rPr>
      </w:pPr>
      <w:r>
        <w:rPr>
          <w:rFonts w:ascii="Arial" w:cs="Arial" w:eastAsia="Arial" w:hAnsi="Arial"/>
          <w:sz w:val="14"/>
          <w:szCs w:val="14"/>
          <w:color w:val="auto"/>
        </w:rPr>
        <w:t>Growth in Salaries and employee benefits, which was driven mainly by an increase in headcount to cover vacancies and moves to hire specialized IT personnel.</w:t>
      </w:r>
    </w:p>
    <w:p>
      <w:pPr>
        <w:spacing w:after="0" w:line="5" w:lineRule="exact"/>
        <w:rPr>
          <w:rFonts w:ascii="Arial" w:cs="Arial" w:eastAsia="Arial" w:hAnsi="Arial"/>
          <w:sz w:val="14"/>
          <w:szCs w:val="14"/>
          <w:color w:val="auto"/>
        </w:rPr>
      </w:pPr>
    </w:p>
    <w:p>
      <w:pPr>
        <w:jc w:val="both"/>
        <w:ind w:left="246" w:right="60" w:hanging="246"/>
        <w:spacing w:after="0" w:line="236" w:lineRule="auto"/>
        <w:tabs>
          <w:tab w:leader="none" w:pos="333" w:val="left"/>
        </w:tabs>
        <w:numPr>
          <w:ilvl w:val="0"/>
          <w:numId w:val="40"/>
        </w:numPr>
        <w:rPr>
          <w:rFonts w:ascii="Arial" w:cs="Arial" w:eastAsia="Arial" w:hAnsi="Arial"/>
          <w:sz w:val="14"/>
          <w:szCs w:val="14"/>
          <w:color w:val="auto"/>
        </w:rPr>
      </w:pPr>
      <w:r>
        <w:rPr>
          <w:rFonts w:ascii="Arial" w:cs="Arial" w:eastAsia="Arial" w:hAnsi="Arial"/>
          <w:sz w:val="14"/>
          <w:szCs w:val="14"/>
          <w:color w:val="auto"/>
        </w:rPr>
        <w:t>An increase in administrative and general expenses, which reflected the impact of extraordinarily low expenses for taxes and contributions in 2Q23. Growth in operating expenses over the period was driven by an uptick in transactions through digital channels, which led to higher expenses for cloud use and other IT-related activities.</w:t>
      </w:r>
    </w:p>
    <w:p>
      <w:pPr>
        <w:spacing w:after="0" w:line="128"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auto"/>
        </w:rPr>
        <w:t>Administrative and general expenses</w:t>
      </w:r>
    </w:p>
    <w:p>
      <w:pPr>
        <w:spacing w:after="0" w:line="142" w:lineRule="exact"/>
        <w:rPr>
          <w:sz w:val="20"/>
          <w:szCs w:val="20"/>
          <w:color w:val="auto"/>
        </w:rPr>
      </w:pPr>
    </w:p>
    <w:tbl>
      <w:tblPr>
        <w:tblLayout w:type="fixed"/>
        <w:tblInd w:w="36" w:type="dxa"/>
        <w:tblCellMar>
          <w:top w:w="0" w:type="dxa"/>
          <w:left w:w="0" w:type="dxa"/>
          <w:bottom w:w="0" w:type="dxa"/>
          <w:right w:w="0" w:type="dxa"/>
        </w:tblCellMar>
      </w:tblPr>
      <w:tr>
        <w:trPr>
          <w:trHeight w:val="134"/>
        </w:trPr>
        <w:tc>
          <w:tcPr>
            <w:tcW w:w="4080" w:type="dxa"/>
            <w:vAlign w:val="bottom"/>
            <w:tcBorders>
              <w:top w:val="single" w:sz="8" w:color="auto"/>
              <w:left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1"/>
                <w:szCs w:val="11"/>
                <w:b w:val="1"/>
                <w:bCs w:val="1"/>
                <w:color w:val="FFFFFF"/>
              </w:rPr>
              <w:t>Administrative and general expenses</w:t>
            </w:r>
          </w:p>
        </w:tc>
        <w:tc>
          <w:tcPr>
            <w:tcW w:w="760" w:type="dxa"/>
            <w:vAlign w:val="bottom"/>
            <w:tcBorders>
              <w:top w:val="single" w:sz="8" w:color="auto"/>
            </w:tcBorders>
            <w:shd w:val="clear" w:color="auto" w:fill="2AD2C9"/>
          </w:tcPr>
          <w:p>
            <w:pPr>
              <w:spacing w:after="0"/>
              <w:rPr>
                <w:sz w:val="11"/>
                <w:szCs w:val="11"/>
                <w:color w:val="auto"/>
              </w:rPr>
            </w:pPr>
          </w:p>
        </w:tc>
        <w:tc>
          <w:tcPr>
            <w:tcW w:w="760" w:type="dxa"/>
            <w:vAlign w:val="bottom"/>
            <w:tcBorders>
              <w:top w:val="single" w:sz="8" w:color="auto"/>
            </w:tcBorders>
            <w:shd w:val="clear" w:color="auto" w:fill="2AD2C9"/>
          </w:tcPr>
          <w:p>
            <w:pPr>
              <w:ind w:left="200"/>
              <w:spacing w:after="0"/>
              <w:rPr>
                <w:sz w:val="20"/>
                <w:szCs w:val="20"/>
                <w:color w:val="auto"/>
              </w:rPr>
            </w:pPr>
            <w:r>
              <w:rPr>
                <w:rFonts w:ascii="Arial" w:cs="Arial" w:eastAsia="Arial" w:hAnsi="Arial"/>
                <w:sz w:val="11"/>
                <w:szCs w:val="11"/>
                <w:b w:val="1"/>
                <w:bCs w:val="1"/>
                <w:color w:val="FFFFFF"/>
              </w:rPr>
              <w:t>Quarter</w:t>
            </w:r>
          </w:p>
        </w:tc>
        <w:tc>
          <w:tcPr>
            <w:tcW w:w="820" w:type="dxa"/>
            <w:vAlign w:val="bottom"/>
            <w:tcBorders>
              <w:top w:val="single" w:sz="8" w:color="auto"/>
              <w:right w:val="single" w:sz="8" w:color="auto"/>
            </w:tcBorders>
            <w:shd w:val="clear" w:color="auto" w:fill="2AD2C9"/>
          </w:tcPr>
          <w:p>
            <w:pPr>
              <w:spacing w:after="0"/>
              <w:rPr>
                <w:sz w:val="11"/>
                <w:szCs w:val="11"/>
                <w:color w:val="auto"/>
              </w:rPr>
            </w:pPr>
          </w:p>
        </w:tc>
        <w:tc>
          <w:tcPr>
            <w:tcW w:w="1580" w:type="dxa"/>
            <w:vAlign w:val="bottom"/>
            <w:tcBorders>
              <w:top w:val="single" w:sz="8" w:color="auto"/>
              <w:right w:val="single" w:sz="8" w:color="auto"/>
            </w:tcBorders>
            <w:gridSpan w:val="2"/>
            <w:shd w:val="clear" w:color="auto" w:fill="2AD2C9"/>
          </w:tcPr>
          <w:p>
            <w:pPr>
              <w:ind w:left="520"/>
              <w:spacing w:after="0"/>
              <w:rPr>
                <w:sz w:val="20"/>
                <w:szCs w:val="20"/>
                <w:color w:val="auto"/>
              </w:rPr>
            </w:pPr>
            <w:r>
              <w:rPr>
                <w:rFonts w:ascii="Arial" w:cs="Arial" w:eastAsia="Arial" w:hAnsi="Arial"/>
                <w:sz w:val="11"/>
                <w:szCs w:val="11"/>
                <w:b w:val="1"/>
                <w:bCs w:val="1"/>
                <w:color w:val="FFFFFF"/>
              </w:rPr>
              <w:t>% change</w:t>
            </w:r>
          </w:p>
        </w:tc>
        <w:tc>
          <w:tcPr>
            <w:tcW w:w="980" w:type="dxa"/>
            <w:vAlign w:val="bottom"/>
            <w:tcBorders>
              <w:top w:val="single" w:sz="8" w:color="auto"/>
            </w:tcBorders>
            <w:shd w:val="clear" w:color="auto" w:fill="2AD2C9"/>
          </w:tcPr>
          <w:p>
            <w:pPr>
              <w:jc w:val="right"/>
              <w:ind w:right="5"/>
              <w:spacing w:after="0"/>
              <w:rPr>
                <w:sz w:val="20"/>
                <w:szCs w:val="20"/>
                <w:color w:val="auto"/>
              </w:rPr>
            </w:pPr>
            <w:r>
              <w:rPr>
                <w:rFonts w:ascii="Arial" w:cs="Arial" w:eastAsia="Arial" w:hAnsi="Arial"/>
                <w:sz w:val="11"/>
                <w:szCs w:val="11"/>
                <w:b w:val="1"/>
                <w:bCs w:val="1"/>
                <w:color w:val="FFFFFF"/>
              </w:rPr>
              <w:t>Up to</w:t>
            </w:r>
          </w:p>
        </w:tc>
        <w:tc>
          <w:tcPr>
            <w:tcW w:w="620" w:type="dxa"/>
            <w:vAlign w:val="bottom"/>
            <w:tcBorders>
              <w:top w:val="single" w:sz="8" w:color="auto"/>
              <w:right w:val="single" w:sz="8" w:color="auto"/>
            </w:tcBorders>
            <w:shd w:val="clear" w:color="auto" w:fill="2AD2C9"/>
          </w:tcPr>
          <w:p>
            <w:pPr>
              <w:spacing w:after="0"/>
              <w:rPr>
                <w:sz w:val="11"/>
                <w:szCs w:val="11"/>
                <w:color w:val="auto"/>
              </w:rPr>
            </w:pPr>
          </w:p>
        </w:tc>
        <w:tc>
          <w:tcPr>
            <w:tcW w:w="780" w:type="dxa"/>
            <w:vAlign w:val="bottom"/>
            <w:tcBorders>
              <w:top w:val="single" w:sz="8" w:color="auto"/>
              <w:right w:val="single" w:sz="8" w:color="auto"/>
            </w:tcBorders>
            <w:shd w:val="clear" w:color="auto" w:fill="2AD2C9"/>
          </w:tcPr>
          <w:p>
            <w:pPr>
              <w:ind w:left="120"/>
              <w:spacing w:after="0"/>
              <w:rPr>
                <w:sz w:val="20"/>
                <w:szCs w:val="20"/>
                <w:color w:val="auto"/>
              </w:rPr>
            </w:pPr>
            <w:r>
              <w:rPr>
                <w:rFonts w:ascii="Arial" w:cs="Arial" w:eastAsia="Arial" w:hAnsi="Arial"/>
                <w:sz w:val="11"/>
                <w:szCs w:val="11"/>
                <w:b w:val="1"/>
                <w:bCs w:val="1"/>
                <w:color w:val="FFFFFF"/>
              </w:rPr>
              <w:t>% change</w:t>
            </w:r>
          </w:p>
        </w:tc>
      </w:tr>
      <w:tr>
        <w:trPr>
          <w:trHeight w:val="123"/>
        </w:trPr>
        <w:tc>
          <w:tcPr>
            <w:tcW w:w="4080" w:type="dxa"/>
            <w:vAlign w:val="bottom"/>
            <w:tcBorders>
              <w:left w:val="single" w:sz="8" w:color="auto"/>
              <w:bottom w:val="single" w:sz="8" w:color="auto"/>
              <w:right w:val="single" w:sz="8" w:color="auto"/>
            </w:tcBorders>
            <w:shd w:val="clear" w:color="auto" w:fill="2AD2C9"/>
          </w:tcPr>
          <w:p>
            <w:pPr>
              <w:ind w:left="20"/>
              <w:spacing w:after="0" w:line="124" w:lineRule="exact"/>
              <w:rPr>
                <w:sz w:val="20"/>
                <w:szCs w:val="20"/>
                <w:color w:val="auto"/>
              </w:rPr>
            </w:pPr>
            <w:r>
              <w:rPr>
                <w:rFonts w:ascii="Arial" w:cs="Arial" w:eastAsia="Arial" w:hAnsi="Arial"/>
                <w:sz w:val="11"/>
                <w:szCs w:val="11"/>
                <w:b w:val="1"/>
                <w:bCs w:val="1"/>
                <w:color w:val="FFFFFF"/>
              </w:rPr>
              <w:t>S/ 000</w:t>
            </w:r>
          </w:p>
        </w:tc>
        <w:tc>
          <w:tcPr>
            <w:tcW w:w="760" w:type="dxa"/>
            <w:vAlign w:val="bottom"/>
            <w:tcBorders>
              <w:bottom w:val="single" w:sz="8" w:color="auto"/>
            </w:tcBorders>
            <w:shd w:val="clear" w:color="auto" w:fill="2AD2C9"/>
          </w:tcPr>
          <w:p>
            <w:pPr>
              <w:jc w:val="center"/>
              <w:spacing w:after="0" w:line="124" w:lineRule="exact"/>
              <w:rPr>
                <w:sz w:val="20"/>
                <w:szCs w:val="20"/>
                <w:color w:val="auto"/>
              </w:rPr>
            </w:pPr>
            <w:r>
              <w:rPr>
                <w:rFonts w:ascii="Arial" w:cs="Arial" w:eastAsia="Arial" w:hAnsi="Arial"/>
                <w:sz w:val="11"/>
                <w:szCs w:val="11"/>
                <w:b w:val="1"/>
                <w:bCs w:val="1"/>
                <w:color w:val="FFFFFF"/>
                <w:w w:val="96"/>
              </w:rPr>
              <w:t>2Q23</w:t>
            </w:r>
          </w:p>
        </w:tc>
        <w:tc>
          <w:tcPr>
            <w:tcW w:w="760" w:type="dxa"/>
            <w:vAlign w:val="bottom"/>
            <w:tcBorders>
              <w:bottom w:val="single" w:sz="8" w:color="auto"/>
            </w:tcBorders>
            <w:shd w:val="clear" w:color="auto" w:fill="2AD2C9"/>
          </w:tcPr>
          <w:p>
            <w:pPr>
              <w:jc w:val="center"/>
              <w:spacing w:after="0" w:line="124" w:lineRule="exact"/>
              <w:rPr>
                <w:sz w:val="20"/>
                <w:szCs w:val="20"/>
                <w:color w:val="auto"/>
              </w:rPr>
            </w:pPr>
            <w:r>
              <w:rPr>
                <w:rFonts w:ascii="Arial" w:cs="Arial" w:eastAsia="Arial" w:hAnsi="Arial"/>
                <w:sz w:val="11"/>
                <w:szCs w:val="11"/>
                <w:b w:val="1"/>
                <w:bCs w:val="1"/>
                <w:color w:val="FFFFFF"/>
                <w:w w:val="96"/>
              </w:rPr>
              <w:t>1Q24</w:t>
            </w:r>
          </w:p>
        </w:tc>
        <w:tc>
          <w:tcPr>
            <w:tcW w:w="820" w:type="dxa"/>
            <w:vAlign w:val="bottom"/>
            <w:tcBorders>
              <w:bottom w:val="single" w:sz="8" w:color="auto"/>
              <w:right w:val="single" w:sz="8" w:color="auto"/>
            </w:tcBorders>
            <w:shd w:val="clear" w:color="auto" w:fill="2AD2C9"/>
          </w:tcPr>
          <w:p>
            <w:pPr>
              <w:jc w:val="center"/>
              <w:spacing w:after="0" w:line="124" w:lineRule="exact"/>
              <w:rPr>
                <w:sz w:val="20"/>
                <w:szCs w:val="20"/>
                <w:color w:val="auto"/>
              </w:rPr>
            </w:pPr>
            <w:r>
              <w:rPr>
                <w:rFonts w:ascii="Arial" w:cs="Arial" w:eastAsia="Arial" w:hAnsi="Arial"/>
                <w:sz w:val="11"/>
                <w:szCs w:val="11"/>
                <w:b w:val="1"/>
                <w:bCs w:val="1"/>
                <w:color w:val="FFFFFF"/>
                <w:w w:val="96"/>
              </w:rPr>
              <w:t>2Q24</w:t>
            </w:r>
          </w:p>
        </w:tc>
        <w:tc>
          <w:tcPr>
            <w:tcW w:w="780" w:type="dxa"/>
            <w:vAlign w:val="bottom"/>
            <w:tcBorders>
              <w:bottom w:val="single" w:sz="8" w:color="auto"/>
            </w:tcBorders>
            <w:shd w:val="clear" w:color="auto" w:fill="2AD2C9"/>
          </w:tcPr>
          <w:p>
            <w:pPr>
              <w:ind w:left="260"/>
              <w:spacing w:after="0" w:line="124" w:lineRule="exact"/>
              <w:rPr>
                <w:sz w:val="20"/>
                <w:szCs w:val="20"/>
                <w:color w:val="auto"/>
              </w:rPr>
            </w:pPr>
            <w:r>
              <w:rPr>
                <w:rFonts w:ascii="Arial" w:cs="Arial" w:eastAsia="Arial" w:hAnsi="Arial"/>
                <w:sz w:val="11"/>
                <w:szCs w:val="11"/>
                <w:b w:val="1"/>
                <w:bCs w:val="1"/>
                <w:color w:val="FFFFFF"/>
              </w:rPr>
              <w:t>QoQ</w:t>
            </w:r>
          </w:p>
        </w:tc>
        <w:tc>
          <w:tcPr>
            <w:tcW w:w="800" w:type="dxa"/>
            <w:vAlign w:val="bottom"/>
            <w:tcBorders>
              <w:bottom w:val="single" w:sz="8" w:color="auto"/>
              <w:right w:val="single" w:sz="8" w:color="auto"/>
            </w:tcBorders>
            <w:shd w:val="clear" w:color="auto" w:fill="2AD2C9"/>
          </w:tcPr>
          <w:p>
            <w:pPr>
              <w:ind w:left="280"/>
              <w:spacing w:after="0" w:line="124" w:lineRule="exact"/>
              <w:rPr>
                <w:sz w:val="20"/>
                <w:szCs w:val="20"/>
                <w:color w:val="auto"/>
              </w:rPr>
            </w:pPr>
            <w:r>
              <w:rPr>
                <w:rFonts w:ascii="Arial" w:cs="Arial" w:eastAsia="Arial" w:hAnsi="Arial"/>
                <w:sz w:val="11"/>
                <w:szCs w:val="11"/>
                <w:b w:val="1"/>
                <w:bCs w:val="1"/>
                <w:color w:val="FFFFFF"/>
              </w:rPr>
              <w:t>YoY</w:t>
            </w:r>
          </w:p>
        </w:tc>
        <w:tc>
          <w:tcPr>
            <w:tcW w:w="980" w:type="dxa"/>
            <w:vAlign w:val="bottom"/>
            <w:tcBorders>
              <w:bottom w:val="single" w:sz="8" w:color="auto"/>
            </w:tcBorders>
            <w:shd w:val="clear" w:color="auto" w:fill="2AD2C9"/>
          </w:tcPr>
          <w:p>
            <w:pPr>
              <w:jc w:val="right"/>
              <w:ind w:right="405"/>
              <w:spacing w:after="0" w:line="124" w:lineRule="exact"/>
              <w:rPr>
                <w:sz w:val="20"/>
                <w:szCs w:val="20"/>
                <w:color w:val="auto"/>
              </w:rPr>
            </w:pPr>
            <w:r>
              <w:rPr>
                <w:rFonts w:ascii="Arial" w:cs="Arial" w:eastAsia="Arial" w:hAnsi="Arial"/>
                <w:sz w:val="11"/>
                <w:szCs w:val="11"/>
                <w:b w:val="1"/>
                <w:bCs w:val="1"/>
                <w:color w:val="FFFFFF"/>
              </w:rPr>
              <w:t>1H23</w:t>
            </w:r>
          </w:p>
        </w:tc>
        <w:tc>
          <w:tcPr>
            <w:tcW w:w="620" w:type="dxa"/>
            <w:vAlign w:val="bottom"/>
            <w:tcBorders>
              <w:bottom w:val="single" w:sz="8" w:color="auto"/>
              <w:right w:val="single" w:sz="8" w:color="auto"/>
            </w:tcBorders>
            <w:shd w:val="clear" w:color="auto" w:fill="2AD2C9"/>
          </w:tcPr>
          <w:p>
            <w:pPr>
              <w:jc w:val="right"/>
              <w:ind w:right="245"/>
              <w:spacing w:after="0" w:line="124" w:lineRule="exact"/>
              <w:rPr>
                <w:sz w:val="20"/>
                <w:szCs w:val="20"/>
                <w:color w:val="auto"/>
              </w:rPr>
            </w:pPr>
            <w:r>
              <w:rPr>
                <w:rFonts w:ascii="Arial" w:cs="Arial" w:eastAsia="Arial" w:hAnsi="Arial"/>
                <w:sz w:val="11"/>
                <w:szCs w:val="11"/>
                <w:b w:val="1"/>
                <w:bCs w:val="1"/>
                <w:color w:val="FFFFFF"/>
              </w:rPr>
              <w:t>1H24</w:t>
            </w:r>
          </w:p>
        </w:tc>
        <w:tc>
          <w:tcPr>
            <w:tcW w:w="780" w:type="dxa"/>
            <w:vAlign w:val="bottom"/>
            <w:tcBorders>
              <w:bottom w:val="single" w:sz="8" w:color="auto"/>
              <w:right w:val="single" w:sz="8" w:color="auto"/>
            </w:tcBorders>
            <w:shd w:val="clear" w:color="auto" w:fill="2AD2C9"/>
          </w:tcPr>
          <w:p>
            <w:pPr>
              <w:jc w:val="center"/>
              <w:spacing w:after="0" w:line="124" w:lineRule="exact"/>
              <w:rPr>
                <w:sz w:val="20"/>
                <w:szCs w:val="20"/>
                <w:color w:val="auto"/>
              </w:rPr>
            </w:pPr>
            <w:r>
              <w:rPr>
                <w:rFonts w:ascii="Arial" w:cs="Arial" w:eastAsia="Arial" w:hAnsi="Arial"/>
                <w:sz w:val="11"/>
                <w:szCs w:val="11"/>
                <w:b w:val="1"/>
                <w:bCs w:val="1"/>
                <w:color w:val="FFFFFF"/>
              </w:rPr>
              <w:t>1H24 / 1H23</w:t>
            </w:r>
          </w:p>
        </w:tc>
      </w:tr>
      <w:tr>
        <w:trPr>
          <w:trHeight w:val="107"/>
        </w:trPr>
        <w:tc>
          <w:tcPr>
            <w:tcW w:w="4080" w:type="dxa"/>
            <w:vAlign w:val="bottom"/>
            <w:tcBorders>
              <w:left w:val="single" w:sz="8" w:color="auto"/>
              <w:right w:val="single" w:sz="8" w:color="auto"/>
            </w:tcBorders>
          </w:tcPr>
          <w:p>
            <w:pPr>
              <w:ind w:left="20"/>
              <w:spacing w:after="0" w:line="107" w:lineRule="exact"/>
              <w:rPr>
                <w:sz w:val="20"/>
                <w:szCs w:val="20"/>
                <w:color w:val="auto"/>
              </w:rPr>
            </w:pPr>
            <w:r>
              <w:rPr>
                <w:rFonts w:ascii="Arial" w:cs="Arial" w:eastAsia="Arial" w:hAnsi="Arial"/>
                <w:sz w:val="11"/>
                <w:szCs w:val="11"/>
                <w:color w:val="auto"/>
              </w:rPr>
              <w:t>IT expenses and IT third-party services</w:t>
            </w:r>
          </w:p>
        </w:tc>
        <w:tc>
          <w:tcPr>
            <w:tcW w:w="760" w:type="dxa"/>
            <w:vAlign w:val="bottom"/>
          </w:tcPr>
          <w:p>
            <w:pPr>
              <w:jc w:val="center"/>
              <w:spacing w:after="0" w:line="107" w:lineRule="exact"/>
              <w:rPr>
                <w:sz w:val="20"/>
                <w:szCs w:val="20"/>
                <w:color w:val="auto"/>
              </w:rPr>
            </w:pPr>
            <w:r>
              <w:rPr>
                <w:rFonts w:ascii="Arial" w:cs="Arial" w:eastAsia="Arial" w:hAnsi="Arial"/>
                <w:sz w:val="11"/>
                <w:szCs w:val="11"/>
                <w:color w:val="auto"/>
              </w:rPr>
              <w:t>256,348</w:t>
            </w:r>
          </w:p>
        </w:tc>
        <w:tc>
          <w:tcPr>
            <w:tcW w:w="760" w:type="dxa"/>
            <w:vAlign w:val="bottom"/>
          </w:tcPr>
          <w:p>
            <w:pPr>
              <w:jc w:val="center"/>
              <w:spacing w:after="0" w:line="107" w:lineRule="exact"/>
              <w:rPr>
                <w:sz w:val="20"/>
                <w:szCs w:val="20"/>
                <w:color w:val="auto"/>
              </w:rPr>
            </w:pPr>
            <w:r>
              <w:rPr>
                <w:rFonts w:ascii="Arial" w:cs="Arial" w:eastAsia="Arial" w:hAnsi="Arial"/>
                <w:sz w:val="11"/>
                <w:szCs w:val="11"/>
                <w:color w:val="auto"/>
                <w:w w:val="95"/>
              </w:rPr>
              <w:t>282,905</w:t>
            </w:r>
          </w:p>
        </w:tc>
        <w:tc>
          <w:tcPr>
            <w:tcW w:w="82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1"/>
                <w:szCs w:val="11"/>
                <w:color w:val="auto"/>
              </w:rPr>
              <w:t>294,997</w:t>
            </w:r>
          </w:p>
        </w:tc>
        <w:tc>
          <w:tcPr>
            <w:tcW w:w="780" w:type="dxa"/>
            <w:vAlign w:val="bottom"/>
          </w:tcPr>
          <w:p>
            <w:pPr>
              <w:jc w:val="center"/>
              <w:spacing w:after="0" w:line="107" w:lineRule="exact"/>
              <w:rPr>
                <w:sz w:val="20"/>
                <w:szCs w:val="20"/>
                <w:color w:val="auto"/>
              </w:rPr>
            </w:pPr>
            <w:r>
              <w:rPr>
                <w:rFonts w:ascii="Arial" w:cs="Arial" w:eastAsia="Arial" w:hAnsi="Arial"/>
                <w:sz w:val="11"/>
                <w:szCs w:val="11"/>
                <w:color w:val="auto"/>
                <w:w w:val="95"/>
              </w:rPr>
              <w:t>4.3%</w:t>
            </w:r>
          </w:p>
        </w:tc>
        <w:tc>
          <w:tcPr>
            <w:tcW w:w="80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1"/>
                <w:szCs w:val="11"/>
                <w:color w:val="auto"/>
                <w:w w:val="96"/>
              </w:rPr>
              <w:t>15.1%</w:t>
            </w:r>
          </w:p>
        </w:tc>
        <w:tc>
          <w:tcPr>
            <w:tcW w:w="980" w:type="dxa"/>
            <w:vAlign w:val="bottom"/>
          </w:tcPr>
          <w:p>
            <w:pPr>
              <w:jc w:val="right"/>
              <w:ind w:right="165"/>
              <w:spacing w:after="0" w:line="107" w:lineRule="exact"/>
              <w:rPr>
                <w:sz w:val="20"/>
                <w:szCs w:val="20"/>
                <w:color w:val="auto"/>
              </w:rPr>
            </w:pPr>
            <w:r>
              <w:rPr>
                <w:rFonts w:ascii="Arial" w:cs="Arial" w:eastAsia="Arial" w:hAnsi="Arial"/>
                <w:sz w:val="11"/>
                <w:szCs w:val="11"/>
                <w:color w:val="auto"/>
              </w:rPr>
              <w:t>497,280</w:t>
            </w:r>
          </w:p>
        </w:tc>
        <w:tc>
          <w:tcPr>
            <w:tcW w:w="620" w:type="dxa"/>
            <w:vAlign w:val="bottom"/>
            <w:tcBorders>
              <w:right w:val="single" w:sz="8" w:color="auto"/>
            </w:tcBorders>
          </w:tcPr>
          <w:p>
            <w:pPr>
              <w:jc w:val="right"/>
              <w:spacing w:after="0" w:line="107" w:lineRule="exact"/>
              <w:rPr>
                <w:sz w:val="20"/>
                <w:szCs w:val="20"/>
                <w:color w:val="auto"/>
              </w:rPr>
            </w:pPr>
            <w:r>
              <w:rPr>
                <w:rFonts w:ascii="Arial" w:cs="Arial" w:eastAsia="Arial" w:hAnsi="Arial"/>
                <w:sz w:val="11"/>
                <w:szCs w:val="11"/>
                <w:color w:val="auto"/>
              </w:rPr>
              <w:t>577,902</w:t>
            </w:r>
          </w:p>
        </w:tc>
        <w:tc>
          <w:tcPr>
            <w:tcW w:w="78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1"/>
                <w:szCs w:val="11"/>
                <w:color w:val="auto"/>
                <w:w w:val="96"/>
              </w:rPr>
              <w:t>16.2%</w:t>
            </w:r>
          </w:p>
        </w:tc>
      </w:tr>
      <w:tr>
        <w:trPr>
          <w:trHeight w:val="123"/>
        </w:trPr>
        <w:tc>
          <w:tcPr>
            <w:tcW w:w="40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Advertising and customer loyalty programs</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rPr>
              <w:t>174,021</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w w:val="95"/>
              </w:rPr>
              <w:t>124,569</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204,156</w:t>
            </w:r>
          </w:p>
        </w:tc>
        <w:tc>
          <w:tcPr>
            <w:tcW w:w="780" w:type="dxa"/>
            <w:vAlign w:val="bottom"/>
          </w:tcPr>
          <w:p>
            <w:pPr>
              <w:jc w:val="center"/>
              <w:spacing w:after="0" w:line="124" w:lineRule="exact"/>
              <w:rPr>
                <w:sz w:val="20"/>
                <w:szCs w:val="20"/>
                <w:color w:val="auto"/>
              </w:rPr>
            </w:pPr>
            <w:r>
              <w:rPr>
                <w:rFonts w:ascii="Arial" w:cs="Arial" w:eastAsia="Arial" w:hAnsi="Arial"/>
                <w:sz w:val="11"/>
                <w:szCs w:val="11"/>
                <w:color w:val="auto"/>
              </w:rPr>
              <w:t>63.9%</w:t>
            </w:r>
          </w:p>
        </w:tc>
        <w:tc>
          <w:tcPr>
            <w:tcW w:w="8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6"/>
              </w:rPr>
              <w:t>17.3%</w:t>
            </w:r>
          </w:p>
        </w:tc>
        <w:tc>
          <w:tcPr>
            <w:tcW w:w="980" w:type="dxa"/>
            <w:vAlign w:val="bottom"/>
          </w:tcPr>
          <w:p>
            <w:pPr>
              <w:jc w:val="right"/>
              <w:ind w:right="165"/>
              <w:spacing w:after="0" w:line="124" w:lineRule="exact"/>
              <w:rPr>
                <w:sz w:val="20"/>
                <w:szCs w:val="20"/>
                <w:color w:val="auto"/>
              </w:rPr>
            </w:pPr>
            <w:r>
              <w:rPr>
                <w:rFonts w:ascii="Arial" w:cs="Arial" w:eastAsia="Arial" w:hAnsi="Arial"/>
                <w:sz w:val="11"/>
                <w:szCs w:val="11"/>
                <w:color w:val="auto"/>
              </w:rPr>
              <w:t>309,788</w:t>
            </w:r>
          </w:p>
        </w:tc>
        <w:tc>
          <w:tcPr>
            <w:tcW w:w="6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328,725</w:t>
            </w:r>
          </w:p>
        </w:tc>
        <w:tc>
          <w:tcPr>
            <w:tcW w:w="7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6.1%</w:t>
            </w:r>
          </w:p>
        </w:tc>
      </w:tr>
      <w:tr>
        <w:trPr>
          <w:trHeight w:val="123"/>
        </w:trPr>
        <w:tc>
          <w:tcPr>
            <w:tcW w:w="40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Taxes and contributions</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rPr>
              <w:t>20,557</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rPr>
              <w:t>92,887</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94,448</w:t>
            </w:r>
          </w:p>
        </w:tc>
        <w:tc>
          <w:tcPr>
            <w:tcW w:w="780" w:type="dxa"/>
            <w:vAlign w:val="bottom"/>
          </w:tcPr>
          <w:p>
            <w:pPr>
              <w:jc w:val="center"/>
              <w:spacing w:after="0" w:line="124" w:lineRule="exact"/>
              <w:rPr>
                <w:sz w:val="20"/>
                <w:szCs w:val="20"/>
                <w:color w:val="auto"/>
              </w:rPr>
            </w:pPr>
            <w:r>
              <w:rPr>
                <w:rFonts w:ascii="Arial" w:cs="Arial" w:eastAsia="Arial" w:hAnsi="Arial"/>
                <w:sz w:val="11"/>
                <w:szCs w:val="11"/>
                <w:color w:val="auto"/>
                <w:w w:val="95"/>
              </w:rPr>
              <w:t>1.7%</w:t>
            </w:r>
          </w:p>
        </w:tc>
        <w:tc>
          <w:tcPr>
            <w:tcW w:w="8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359.4%</w:t>
            </w:r>
          </w:p>
        </w:tc>
        <w:tc>
          <w:tcPr>
            <w:tcW w:w="980" w:type="dxa"/>
            <w:vAlign w:val="bottom"/>
          </w:tcPr>
          <w:p>
            <w:pPr>
              <w:jc w:val="right"/>
              <w:ind w:right="165"/>
              <w:spacing w:after="0" w:line="124" w:lineRule="exact"/>
              <w:rPr>
                <w:sz w:val="20"/>
                <w:szCs w:val="20"/>
                <w:color w:val="auto"/>
              </w:rPr>
            </w:pPr>
            <w:r>
              <w:rPr>
                <w:rFonts w:ascii="Arial" w:cs="Arial" w:eastAsia="Arial" w:hAnsi="Arial"/>
                <w:sz w:val="11"/>
                <w:szCs w:val="11"/>
                <w:color w:val="auto"/>
              </w:rPr>
              <w:t>105,630</w:t>
            </w:r>
          </w:p>
        </w:tc>
        <w:tc>
          <w:tcPr>
            <w:tcW w:w="6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187,335</w:t>
            </w:r>
          </w:p>
        </w:tc>
        <w:tc>
          <w:tcPr>
            <w:tcW w:w="7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6"/>
              </w:rPr>
              <w:t>77.4%</w:t>
            </w:r>
          </w:p>
        </w:tc>
      </w:tr>
      <w:tr>
        <w:trPr>
          <w:trHeight w:val="123"/>
        </w:trPr>
        <w:tc>
          <w:tcPr>
            <w:tcW w:w="40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Audit Services, Consulting and professional fees</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rPr>
              <w:t>67,017</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rPr>
              <w:t>58,992</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75,845</w:t>
            </w:r>
          </w:p>
        </w:tc>
        <w:tc>
          <w:tcPr>
            <w:tcW w:w="780" w:type="dxa"/>
            <w:vAlign w:val="bottom"/>
          </w:tcPr>
          <w:p>
            <w:pPr>
              <w:jc w:val="center"/>
              <w:spacing w:after="0" w:line="124" w:lineRule="exact"/>
              <w:rPr>
                <w:sz w:val="20"/>
                <w:szCs w:val="20"/>
                <w:color w:val="auto"/>
              </w:rPr>
            </w:pPr>
            <w:r>
              <w:rPr>
                <w:rFonts w:ascii="Arial" w:cs="Arial" w:eastAsia="Arial" w:hAnsi="Arial"/>
                <w:sz w:val="11"/>
                <w:szCs w:val="11"/>
                <w:color w:val="auto"/>
              </w:rPr>
              <w:t>28.6%</w:t>
            </w:r>
          </w:p>
        </w:tc>
        <w:tc>
          <w:tcPr>
            <w:tcW w:w="8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6"/>
              </w:rPr>
              <w:t>13.2%</w:t>
            </w:r>
          </w:p>
        </w:tc>
        <w:tc>
          <w:tcPr>
            <w:tcW w:w="980" w:type="dxa"/>
            <w:vAlign w:val="bottom"/>
          </w:tcPr>
          <w:p>
            <w:pPr>
              <w:jc w:val="right"/>
              <w:ind w:right="165"/>
              <w:spacing w:after="0" w:line="124" w:lineRule="exact"/>
              <w:rPr>
                <w:sz w:val="20"/>
                <w:szCs w:val="20"/>
                <w:color w:val="auto"/>
              </w:rPr>
            </w:pPr>
            <w:r>
              <w:rPr>
                <w:rFonts w:ascii="Arial" w:cs="Arial" w:eastAsia="Arial" w:hAnsi="Arial"/>
                <w:sz w:val="11"/>
                <w:szCs w:val="11"/>
                <w:color w:val="auto"/>
              </w:rPr>
              <w:t>118,895</w:t>
            </w:r>
          </w:p>
        </w:tc>
        <w:tc>
          <w:tcPr>
            <w:tcW w:w="6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134,837</w:t>
            </w:r>
          </w:p>
        </w:tc>
        <w:tc>
          <w:tcPr>
            <w:tcW w:w="7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6"/>
              </w:rPr>
              <w:t>13.4%</w:t>
            </w:r>
          </w:p>
        </w:tc>
      </w:tr>
      <w:tr>
        <w:trPr>
          <w:trHeight w:val="123"/>
        </w:trPr>
        <w:tc>
          <w:tcPr>
            <w:tcW w:w="40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Transport and communications</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rPr>
              <w:t>57,437</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rPr>
              <w:t>54,064</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60,225</w:t>
            </w:r>
          </w:p>
        </w:tc>
        <w:tc>
          <w:tcPr>
            <w:tcW w:w="780" w:type="dxa"/>
            <w:vAlign w:val="bottom"/>
          </w:tcPr>
          <w:p>
            <w:pPr>
              <w:jc w:val="center"/>
              <w:spacing w:after="0" w:line="124" w:lineRule="exact"/>
              <w:rPr>
                <w:sz w:val="20"/>
                <w:szCs w:val="20"/>
                <w:color w:val="auto"/>
              </w:rPr>
            </w:pPr>
            <w:r>
              <w:rPr>
                <w:rFonts w:ascii="Arial" w:cs="Arial" w:eastAsia="Arial" w:hAnsi="Arial"/>
                <w:sz w:val="11"/>
                <w:szCs w:val="11"/>
                <w:color w:val="auto"/>
                <w:w w:val="96"/>
              </w:rPr>
              <w:t>11.4%</w:t>
            </w:r>
          </w:p>
        </w:tc>
        <w:tc>
          <w:tcPr>
            <w:tcW w:w="8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4.9%</w:t>
            </w:r>
          </w:p>
        </w:tc>
        <w:tc>
          <w:tcPr>
            <w:tcW w:w="980" w:type="dxa"/>
            <w:vAlign w:val="bottom"/>
          </w:tcPr>
          <w:p>
            <w:pPr>
              <w:jc w:val="right"/>
              <w:ind w:right="165"/>
              <w:spacing w:after="0" w:line="124" w:lineRule="exact"/>
              <w:rPr>
                <w:sz w:val="20"/>
                <w:szCs w:val="20"/>
                <w:color w:val="auto"/>
              </w:rPr>
            </w:pPr>
            <w:r>
              <w:rPr>
                <w:rFonts w:ascii="Arial" w:cs="Arial" w:eastAsia="Arial" w:hAnsi="Arial"/>
                <w:sz w:val="11"/>
                <w:szCs w:val="11"/>
                <w:color w:val="auto"/>
              </w:rPr>
              <w:t>108,473</w:t>
            </w:r>
          </w:p>
        </w:tc>
        <w:tc>
          <w:tcPr>
            <w:tcW w:w="6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114,289</w:t>
            </w:r>
          </w:p>
        </w:tc>
        <w:tc>
          <w:tcPr>
            <w:tcW w:w="7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5.4%</w:t>
            </w:r>
          </w:p>
        </w:tc>
      </w:tr>
      <w:tr>
        <w:trPr>
          <w:trHeight w:val="123"/>
        </w:trPr>
        <w:tc>
          <w:tcPr>
            <w:tcW w:w="40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Repair and maintenance</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rPr>
              <w:t>37,555</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rPr>
              <w:t>32,638</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34,598</w:t>
            </w:r>
          </w:p>
        </w:tc>
        <w:tc>
          <w:tcPr>
            <w:tcW w:w="780" w:type="dxa"/>
            <w:vAlign w:val="bottom"/>
          </w:tcPr>
          <w:p>
            <w:pPr>
              <w:jc w:val="center"/>
              <w:spacing w:after="0" w:line="124" w:lineRule="exact"/>
              <w:rPr>
                <w:sz w:val="20"/>
                <w:szCs w:val="20"/>
                <w:color w:val="auto"/>
              </w:rPr>
            </w:pPr>
            <w:r>
              <w:rPr>
                <w:rFonts w:ascii="Arial" w:cs="Arial" w:eastAsia="Arial" w:hAnsi="Arial"/>
                <w:sz w:val="11"/>
                <w:szCs w:val="11"/>
                <w:color w:val="auto"/>
                <w:w w:val="95"/>
              </w:rPr>
              <w:t>6.0%</w:t>
            </w:r>
          </w:p>
        </w:tc>
        <w:tc>
          <w:tcPr>
            <w:tcW w:w="8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-7.9%</w:t>
            </w:r>
          </w:p>
        </w:tc>
        <w:tc>
          <w:tcPr>
            <w:tcW w:w="980" w:type="dxa"/>
            <w:vAlign w:val="bottom"/>
          </w:tcPr>
          <w:p>
            <w:pPr>
              <w:jc w:val="right"/>
              <w:ind w:right="165"/>
              <w:spacing w:after="0" w:line="124" w:lineRule="exact"/>
              <w:rPr>
                <w:sz w:val="20"/>
                <w:szCs w:val="20"/>
                <w:color w:val="auto"/>
              </w:rPr>
            </w:pPr>
            <w:r>
              <w:rPr>
                <w:rFonts w:ascii="Arial" w:cs="Arial" w:eastAsia="Arial" w:hAnsi="Arial"/>
                <w:sz w:val="11"/>
                <w:szCs w:val="11"/>
                <w:color w:val="auto"/>
              </w:rPr>
              <w:t>63,345</w:t>
            </w:r>
          </w:p>
        </w:tc>
        <w:tc>
          <w:tcPr>
            <w:tcW w:w="6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67,236</w:t>
            </w:r>
          </w:p>
        </w:tc>
        <w:tc>
          <w:tcPr>
            <w:tcW w:w="7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6.1%</w:t>
            </w:r>
          </w:p>
        </w:tc>
      </w:tr>
      <w:tr>
        <w:trPr>
          <w:trHeight w:val="123"/>
        </w:trPr>
        <w:tc>
          <w:tcPr>
            <w:tcW w:w="40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Agents’ Fees</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rPr>
              <w:t>27,747</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rPr>
              <w:t>27,388</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29,375</w:t>
            </w:r>
          </w:p>
        </w:tc>
        <w:tc>
          <w:tcPr>
            <w:tcW w:w="780" w:type="dxa"/>
            <w:vAlign w:val="bottom"/>
          </w:tcPr>
          <w:p>
            <w:pPr>
              <w:jc w:val="center"/>
              <w:spacing w:after="0" w:line="124" w:lineRule="exact"/>
              <w:rPr>
                <w:sz w:val="20"/>
                <w:szCs w:val="20"/>
                <w:color w:val="auto"/>
              </w:rPr>
            </w:pPr>
            <w:r>
              <w:rPr>
                <w:rFonts w:ascii="Arial" w:cs="Arial" w:eastAsia="Arial" w:hAnsi="Arial"/>
                <w:sz w:val="11"/>
                <w:szCs w:val="11"/>
                <w:color w:val="auto"/>
                <w:w w:val="95"/>
              </w:rPr>
              <w:t>7.3%</w:t>
            </w:r>
          </w:p>
        </w:tc>
        <w:tc>
          <w:tcPr>
            <w:tcW w:w="8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5.9%</w:t>
            </w:r>
          </w:p>
        </w:tc>
        <w:tc>
          <w:tcPr>
            <w:tcW w:w="980" w:type="dxa"/>
            <w:vAlign w:val="bottom"/>
          </w:tcPr>
          <w:p>
            <w:pPr>
              <w:jc w:val="right"/>
              <w:ind w:right="165"/>
              <w:spacing w:after="0" w:line="124" w:lineRule="exact"/>
              <w:rPr>
                <w:sz w:val="20"/>
                <w:szCs w:val="20"/>
                <w:color w:val="auto"/>
              </w:rPr>
            </w:pPr>
            <w:r>
              <w:rPr>
                <w:rFonts w:ascii="Arial" w:cs="Arial" w:eastAsia="Arial" w:hAnsi="Arial"/>
                <w:sz w:val="11"/>
                <w:szCs w:val="11"/>
                <w:color w:val="auto"/>
              </w:rPr>
              <w:t>53,899</w:t>
            </w:r>
          </w:p>
        </w:tc>
        <w:tc>
          <w:tcPr>
            <w:tcW w:w="6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56,763</w:t>
            </w:r>
          </w:p>
        </w:tc>
        <w:tc>
          <w:tcPr>
            <w:tcW w:w="7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5.3%</w:t>
            </w:r>
          </w:p>
        </w:tc>
      </w:tr>
      <w:tr>
        <w:trPr>
          <w:trHeight w:val="123"/>
        </w:trPr>
        <w:tc>
          <w:tcPr>
            <w:tcW w:w="40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Services by third-party</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rPr>
              <w:t>27,661</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rPr>
              <w:t>28,415</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35,950</w:t>
            </w:r>
          </w:p>
        </w:tc>
        <w:tc>
          <w:tcPr>
            <w:tcW w:w="780" w:type="dxa"/>
            <w:vAlign w:val="bottom"/>
          </w:tcPr>
          <w:p>
            <w:pPr>
              <w:jc w:val="center"/>
              <w:spacing w:after="0" w:line="124" w:lineRule="exact"/>
              <w:rPr>
                <w:sz w:val="20"/>
                <w:szCs w:val="20"/>
                <w:color w:val="auto"/>
              </w:rPr>
            </w:pPr>
            <w:r>
              <w:rPr>
                <w:rFonts w:ascii="Arial" w:cs="Arial" w:eastAsia="Arial" w:hAnsi="Arial"/>
                <w:sz w:val="11"/>
                <w:szCs w:val="11"/>
                <w:color w:val="auto"/>
              </w:rPr>
              <w:t>26.5%</w:t>
            </w:r>
          </w:p>
        </w:tc>
        <w:tc>
          <w:tcPr>
            <w:tcW w:w="8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6"/>
              </w:rPr>
              <w:t>30.0%</w:t>
            </w:r>
          </w:p>
        </w:tc>
        <w:tc>
          <w:tcPr>
            <w:tcW w:w="980" w:type="dxa"/>
            <w:vAlign w:val="bottom"/>
          </w:tcPr>
          <w:p>
            <w:pPr>
              <w:jc w:val="right"/>
              <w:ind w:right="165"/>
              <w:spacing w:after="0" w:line="124" w:lineRule="exact"/>
              <w:rPr>
                <w:sz w:val="20"/>
                <w:szCs w:val="20"/>
                <w:color w:val="auto"/>
              </w:rPr>
            </w:pPr>
            <w:r>
              <w:rPr>
                <w:rFonts w:ascii="Arial" w:cs="Arial" w:eastAsia="Arial" w:hAnsi="Arial"/>
                <w:sz w:val="11"/>
                <w:szCs w:val="11"/>
                <w:color w:val="auto"/>
              </w:rPr>
              <w:t>55,172</w:t>
            </w:r>
          </w:p>
        </w:tc>
        <w:tc>
          <w:tcPr>
            <w:tcW w:w="6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64,365</w:t>
            </w:r>
          </w:p>
        </w:tc>
        <w:tc>
          <w:tcPr>
            <w:tcW w:w="7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6"/>
              </w:rPr>
              <w:t>16.7%</w:t>
            </w:r>
          </w:p>
        </w:tc>
      </w:tr>
      <w:tr>
        <w:trPr>
          <w:trHeight w:val="123"/>
        </w:trPr>
        <w:tc>
          <w:tcPr>
            <w:tcW w:w="40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Leases of low value and short-term</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rPr>
              <w:t>25,282</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rPr>
              <w:t>30,465</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31,002</w:t>
            </w:r>
          </w:p>
        </w:tc>
        <w:tc>
          <w:tcPr>
            <w:tcW w:w="780" w:type="dxa"/>
            <w:vAlign w:val="bottom"/>
          </w:tcPr>
          <w:p>
            <w:pPr>
              <w:jc w:val="center"/>
              <w:spacing w:after="0" w:line="124" w:lineRule="exact"/>
              <w:rPr>
                <w:sz w:val="20"/>
                <w:szCs w:val="20"/>
                <w:color w:val="auto"/>
              </w:rPr>
            </w:pPr>
            <w:r>
              <w:rPr>
                <w:rFonts w:ascii="Arial" w:cs="Arial" w:eastAsia="Arial" w:hAnsi="Arial"/>
                <w:sz w:val="11"/>
                <w:szCs w:val="11"/>
                <w:color w:val="auto"/>
                <w:w w:val="95"/>
              </w:rPr>
              <w:t>1.8%</w:t>
            </w:r>
          </w:p>
        </w:tc>
        <w:tc>
          <w:tcPr>
            <w:tcW w:w="8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6"/>
              </w:rPr>
              <w:t>22.6%</w:t>
            </w:r>
          </w:p>
        </w:tc>
        <w:tc>
          <w:tcPr>
            <w:tcW w:w="980" w:type="dxa"/>
            <w:vAlign w:val="bottom"/>
          </w:tcPr>
          <w:p>
            <w:pPr>
              <w:jc w:val="right"/>
              <w:ind w:right="165"/>
              <w:spacing w:after="0" w:line="124" w:lineRule="exact"/>
              <w:rPr>
                <w:sz w:val="20"/>
                <w:szCs w:val="20"/>
                <w:color w:val="auto"/>
              </w:rPr>
            </w:pPr>
            <w:r>
              <w:rPr>
                <w:rFonts w:ascii="Arial" w:cs="Arial" w:eastAsia="Arial" w:hAnsi="Arial"/>
                <w:sz w:val="11"/>
                <w:szCs w:val="11"/>
                <w:color w:val="auto"/>
              </w:rPr>
              <w:t>50,398</w:t>
            </w:r>
          </w:p>
        </w:tc>
        <w:tc>
          <w:tcPr>
            <w:tcW w:w="6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61,467</w:t>
            </w:r>
          </w:p>
        </w:tc>
        <w:tc>
          <w:tcPr>
            <w:tcW w:w="7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6"/>
              </w:rPr>
              <w:t>22.0%</w:t>
            </w:r>
          </w:p>
        </w:tc>
      </w:tr>
      <w:tr>
        <w:trPr>
          <w:trHeight w:val="123"/>
        </w:trPr>
        <w:tc>
          <w:tcPr>
            <w:tcW w:w="40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Miscellaneous supplies</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rPr>
              <w:t>27,837</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rPr>
              <w:t>18,653</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24,700</w:t>
            </w:r>
          </w:p>
        </w:tc>
        <w:tc>
          <w:tcPr>
            <w:tcW w:w="780" w:type="dxa"/>
            <w:vAlign w:val="bottom"/>
          </w:tcPr>
          <w:p>
            <w:pPr>
              <w:jc w:val="center"/>
              <w:spacing w:after="0" w:line="124" w:lineRule="exact"/>
              <w:rPr>
                <w:sz w:val="20"/>
                <w:szCs w:val="20"/>
                <w:color w:val="auto"/>
              </w:rPr>
            </w:pPr>
            <w:r>
              <w:rPr>
                <w:rFonts w:ascii="Arial" w:cs="Arial" w:eastAsia="Arial" w:hAnsi="Arial"/>
                <w:sz w:val="11"/>
                <w:szCs w:val="11"/>
                <w:color w:val="auto"/>
              </w:rPr>
              <w:t>32.4%</w:t>
            </w:r>
          </w:p>
        </w:tc>
        <w:tc>
          <w:tcPr>
            <w:tcW w:w="8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-11.3%</w:t>
            </w:r>
          </w:p>
        </w:tc>
        <w:tc>
          <w:tcPr>
            <w:tcW w:w="980" w:type="dxa"/>
            <w:vAlign w:val="bottom"/>
          </w:tcPr>
          <w:p>
            <w:pPr>
              <w:jc w:val="right"/>
              <w:ind w:right="165"/>
              <w:spacing w:after="0" w:line="124" w:lineRule="exact"/>
              <w:rPr>
                <w:sz w:val="20"/>
                <w:szCs w:val="20"/>
                <w:color w:val="auto"/>
              </w:rPr>
            </w:pPr>
            <w:r>
              <w:rPr>
                <w:rFonts w:ascii="Arial" w:cs="Arial" w:eastAsia="Arial" w:hAnsi="Arial"/>
                <w:sz w:val="11"/>
                <w:szCs w:val="11"/>
                <w:color w:val="auto"/>
              </w:rPr>
              <w:t>60,830</w:t>
            </w:r>
          </w:p>
        </w:tc>
        <w:tc>
          <w:tcPr>
            <w:tcW w:w="6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43,353</w:t>
            </w:r>
          </w:p>
        </w:tc>
        <w:tc>
          <w:tcPr>
            <w:tcW w:w="7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-28.7%</w:t>
            </w:r>
          </w:p>
        </w:tc>
      </w:tr>
      <w:tr>
        <w:trPr>
          <w:trHeight w:val="123"/>
        </w:trPr>
        <w:tc>
          <w:tcPr>
            <w:tcW w:w="40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Security and protection</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rPr>
              <w:t>16,004</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rPr>
              <w:t>15,903</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16,544</w:t>
            </w:r>
          </w:p>
        </w:tc>
        <w:tc>
          <w:tcPr>
            <w:tcW w:w="780" w:type="dxa"/>
            <w:vAlign w:val="bottom"/>
          </w:tcPr>
          <w:p>
            <w:pPr>
              <w:jc w:val="center"/>
              <w:spacing w:after="0" w:line="124" w:lineRule="exact"/>
              <w:rPr>
                <w:sz w:val="20"/>
                <w:szCs w:val="20"/>
                <w:color w:val="auto"/>
              </w:rPr>
            </w:pPr>
            <w:r>
              <w:rPr>
                <w:rFonts w:ascii="Arial" w:cs="Arial" w:eastAsia="Arial" w:hAnsi="Arial"/>
                <w:sz w:val="11"/>
                <w:szCs w:val="11"/>
                <w:color w:val="auto"/>
                <w:w w:val="95"/>
              </w:rPr>
              <w:t>4.0%</w:t>
            </w:r>
          </w:p>
        </w:tc>
        <w:tc>
          <w:tcPr>
            <w:tcW w:w="8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3.4%</w:t>
            </w:r>
          </w:p>
        </w:tc>
        <w:tc>
          <w:tcPr>
            <w:tcW w:w="980" w:type="dxa"/>
            <w:vAlign w:val="bottom"/>
          </w:tcPr>
          <w:p>
            <w:pPr>
              <w:jc w:val="right"/>
              <w:ind w:right="165"/>
              <w:spacing w:after="0" w:line="124" w:lineRule="exact"/>
              <w:rPr>
                <w:sz w:val="20"/>
                <w:szCs w:val="20"/>
                <w:color w:val="auto"/>
              </w:rPr>
            </w:pPr>
            <w:r>
              <w:rPr>
                <w:rFonts w:ascii="Arial" w:cs="Arial" w:eastAsia="Arial" w:hAnsi="Arial"/>
                <w:sz w:val="11"/>
                <w:szCs w:val="11"/>
                <w:color w:val="auto"/>
              </w:rPr>
              <w:t>31,793</w:t>
            </w:r>
          </w:p>
        </w:tc>
        <w:tc>
          <w:tcPr>
            <w:tcW w:w="6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32,447</w:t>
            </w:r>
          </w:p>
        </w:tc>
        <w:tc>
          <w:tcPr>
            <w:tcW w:w="7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2.1%</w:t>
            </w:r>
          </w:p>
        </w:tc>
      </w:tr>
      <w:tr>
        <w:trPr>
          <w:trHeight w:val="123"/>
        </w:trPr>
        <w:tc>
          <w:tcPr>
            <w:tcW w:w="40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Subscriptions and quotes</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rPr>
              <w:t>16,024</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rPr>
              <w:t>17,172</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24,220</w:t>
            </w:r>
          </w:p>
        </w:tc>
        <w:tc>
          <w:tcPr>
            <w:tcW w:w="780" w:type="dxa"/>
            <w:vAlign w:val="bottom"/>
          </w:tcPr>
          <w:p>
            <w:pPr>
              <w:jc w:val="center"/>
              <w:spacing w:after="0" w:line="124" w:lineRule="exact"/>
              <w:rPr>
                <w:sz w:val="20"/>
                <w:szCs w:val="20"/>
                <w:color w:val="auto"/>
              </w:rPr>
            </w:pPr>
            <w:r>
              <w:rPr>
                <w:rFonts w:ascii="Arial" w:cs="Arial" w:eastAsia="Arial" w:hAnsi="Arial"/>
                <w:sz w:val="11"/>
                <w:szCs w:val="11"/>
                <w:color w:val="auto"/>
              </w:rPr>
              <w:t>41.0%</w:t>
            </w:r>
          </w:p>
        </w:tc>
        <w:tc>
          <w:tcPr>
            <w:tcW w:w="8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6"/>
              </w:rPr>
              <w:t>51.1%</w:t>
            </w:r>
          </w:p>
        </w:tc>
        <w:tc>
          <w:tcPr>
            <w:tcW w:w="980" w:type="dxa"/>
            <w:vAlign w:val="bottom"/>
          </w:tcPr>
          <w:p>
            <w:pPr>
              <w:jc w:val="right"/>
              <w:ind w:right="165"/>
              <w:spacing w:after="0" w:line="124" w:lineRule="exact"/>
              <w:rPr>
                <w:sz w:val="20"/>
                <w:szCs w:val="20"/>
                <w:color w:val="auto"/>
              </w:rPr>
            </w:pPr>
            <w:r>
              <w:rPr>
                <w:rFonts w:ascii="Arial" w:cs="Arial" w:eastAsia="Arial" w:hAnsi="Arial"/>
                <w:sz w:val="11"/>
                <w:szCs w:val="11"/>
                <w:color w:val="auto"/>
              </w:rPr>
              <w:t>29,110</w:t>
            </w:r>
          </w:p>
        </w:tc>
        <w:tc>
          <w:tcPr>
            <w:tcW w:w="6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41,392</w:t>
            </w:r>
          </w:p>
        </w:tc>
        <w:tc>
          <w:tcPr>
            <w:tcW w:w="7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6"/>
              </w:rPr>
              <w:t>42.2%</w:t>
            </w:r>
          </w:p>
        </w:tc>
      </w:tr>
      <w:tr>
        <w:trPr>
          <w:trHeight w:val="123"/>
        </w:trPr>
        <w:tc>
          <w:tcPr>
            <w:tcW w:w="40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Electricity and water</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rPr>
              <w:t>14,954</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rPr>
              <w:t>11,736</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13,614</w:t>
            </w:r>
          </w:p>
        </w:tc>
        <w:tc>
          <w:tcPr>
            <w:tcW w:w="780" w:type="dxa"/>
            <w:vAlign w:val="bottom"/>
          </w:tcPr>
          <w:p>
            <w:pPr>
              <w:jc w:val="center"/>
              <w:spacing w:after="0" w:line="124" w:lineRule="exact"/>
              <w:rPr>
                <w:sz w:val="20"/>
                <w:szCs w:val="20"/>
                <w:color w:val="auto"/>
              </w:rPr>
            </w:pPr>
            <w:r>
              <w:rPr>
                <w:rFonts w:ascii="Arial" w:cs="Arial" w:eastAsia="Arial" w:hAnsi="Arial"/>
                <w:sz w:val="11"/>
                <w:szCs w:val="11"/>
                <w:color w:val="auto"/>
              </w:rPr>
              <w:t>16.0%</w:t>
            </w:r>
          </w:p>
        </w:tc>
        <w:tc>
          <w:tcPr>
            <w:tcW w:w="8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-9.0%</w:t>
            </w:r>
          </w:p>
        </w:tc>
        <w:tc>
          <w:tcPr>
            <w:tcW w:w="980" w:type="dxa"/>
            <w:vAlign w:val="bottom"/>
          </w:tcPr>
          <w:p>
            <w:pPr>
              <w:jc w:val="right"/>
              <w:ind w:right="165"/>
              <w:spacing w:after="0" w:line="124" w:lineRule="exact"/>
              <w:rPr>
                <w:sz w:val="20"/>
                <w:szCs w:val="20"/>
                <w:color w:val="auto"/>
              </w:rPr>
            </w:pPr>
            <w:r>
              <w:rPr>
                <w:rFonts w:ascii="Arial" w:cs="Arial" w:eastAsia="Arial" w:hAnsi="Arial"/>
                <w:sz w:val="11"/>
                <w:szCs w:val="11"/>
                <w:color w:val="auto"/>
              </w:rPr>
              <w:t>26,451</w:t>
            </w:r>
          </w:p>
        </w:tc>
        <w:tc>
          <w:tcPr>
            <w:tcW w:w="6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25,350</w:t>
            </w:r>
          </w:p>
        </w:tc>
        <w:tc>
          <w:tcPr>
            <w:tcW w:w="7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-4.2%</w:t>
            </w:r>
          </w:p>
        </w:tc>
      </w:tr>
      <w:tr>
        <w:trPr>
          <w:trHeight w:val="123"/>
        </w:trPr>
        <w:tc>
          <w:tcPr>
            <w:tcW w:w="40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Electronic processing</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rPr>
              <w:t>9,791</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w w:val="94"/>
              </w:rPr>
              <w:t>7,748</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4"/>
              </w:rPr>
              <w:t>6,016</w:t>
            </w:r>
          </w:p>
        </w:tc>
        <w:tc>
          <w:tcPr>
            <w:tcW w:w="780" w:type="dxa"/>
            <w:vAlign w:val="bottom"/>
          </w:tcPr>
          <w:p>
            <w:pPr>
              <w:jc w:val="center"/>
              <w:spacing w:after="0" w:line="124" w:lineRule="exact"/>
              <w:rPr>
                <w:sz w:val="20"/>
                <w:szCs w:val="20"/>
                <w:color w:val="auto"/>
              </w:rPr>
            </w:pPr>
            <w:r>
              <w:rPr>
                <w:rFonts w:ascii="Arial" w:cs="Arial" w:eastAsia="Arial" w:hAnsi="Arial"/>
                <w:sz w:val="11"/>
                <w:szCs w:val="11"/>
                <w:color w:val="auto"/>
                <w:w w:val="97"/>
              </w:rPr>
              <w:t>-22.4%</w:t>
            </w:r>
          </w:p>
        </w:tc>
        <w:tc>
          <w:tcPr>
            <w:tcW w:w="8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-38.6%</w:t>
            </w:r>
          </w:p>
        </w:tc>
        <w:tc>
          <w:tcPr>
            <w:tcW w:w="980" w:type="dxa"/>
            <w:vAlign w:val="bottom"/>
          </w:tcPr>
          <w:p>
            <w:pPr>
              <w:jc w:val="right"/>
              <w:ind w:right="165"/>
              <w:spacing w:after="0" w:line="124" w:lineRule="exact"/>
              <w:rPr>
                <w:sz w:val="20"/>
                <w:szCs w:val="20"/>
                <w:color w:val="auto"/>
              </w:rPr>
            </w:pPr>
            <w:r>
              <w:rPr>
                <w:rFonts w:ascii="Arial" w:cs="Arial" w:eastAsia="Arial" w:hAnsi="Arial"/>
                <w:sz w:val="11"/>
                <w:szCs w:val="11"/>
                <w:color w:val="auto"/>
              </w:rPr>
              <w:t>18,521</w:t>
            </w:r>
          </w:p>
        </w:tc>
        <w:tc>
          <w:tcPr>
            <w:tcW w:w="6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13,764</w:t>
            </w:r>
          </w:p>
        </w:tc>
        <w:tc>
          <w:tcPr>
            <w:tcW w:w="7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-25.7%</w:t>
            </w:r>
          </w:p>
        </w:tc>
      </w:tr>
      <w:tr>
        <w:trPr>
          <w:trHeight w:val="123"/>
        </w:trPr>
        <w:tc>
          <w:tcPr>
            <w:tcW w:w="40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Insurance</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rPr>
              <w:t>5,022</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w w:val="94"/>
              </w:rPr>
              <w:t>5,172</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4"/>
              </w:rPr>
              <w:t>7,370</w:t>
            </w:r>
          </w:p>
        </w:tc>
        <w:tc>
          <w:tcPr>
            <w:tcW w:w="780" w:type="dxa"/>
            <w:vAlign w:val="bottom"/>
          </w:tcPr>
          <w:p>
            <w:pPr>
              <w:jc w:val="center"/>
              <w:spacing w:after="0" w:line="124" w:lineRule="exact"/>
              <w:rPr>
                <w:sz w:val="20"/>
                <w:szCs w:val="20"/>
                <w:color w:val="auto"/>
              </w:rPr>
            </w:pPr>
            <w:r>
              <w:rPr>
                <w:rFonts w:ascii="Arial" w:cs="Arial" w:eastAsia="Arial" w:hAnsi="Arial"/>
                <w:sz w:val="11"/>
                <w:szCs w:val="11"/>
                <w:color w:val="auto"/>
              </w:rPr>
              <w:t>42.5%</w:t>
            </w:r>
          </w:p>
        </w:tc>
        <w:tc>
          <w:tcPr>
            <w:tcW w:w="8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6"/>
              </w:rPr>
              <w:t>46.8%</w:t>
            </w:r>
          </w:p>
        </w:tc>
        <w:tc>
          <w:tcPr>
            <w:tcW w:w="980" w:type="dxa"/>
            <w:vAlign w:val="bottom"/>
          </w:tcPr>
          <w:p>
            <w:pPr>
              <w:jc w:val="right"/>
              <w:ind w:right="165"/>
              <w:spacing w:after="0" w:line="124" w:lineRule="exact"/>
              <w:rPr>
                <w:sz w:val="20"/>
                <w:szCs w:val="20"/>
                <w:color w:val="auto"/>
              </w:rPr>
            </w:pPr>
            <w:r>
              <w:rPr>
                <w:rFonts w:ascii="Arial" w:cs="Arial" w:eastAsia="Arial" w:hAnsi="Arial"/>
                <w:sz w:val="11"/>
                <w:szCs w:val="11"/>
                <w:color w:val="auto"/>
              </w:rPr>
              <w:t>13,772</w:t>
            </w:r>
          </w:p>
        </w:tc>
        <w:tc>
          <w:tcPr>
            <w:tcW w:w="6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12,542</w:t>
            </w:r>
          </w:p>
        </w:tc>
        <w:tc>
          <w:tcPr>
            <w:tcW w:w="7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-8.9%</w:t>
            </w:r>
          </w:p>
        </w:tc>
      </w:tr>
      <w:tr>
        <w:trPr>
          <w:trHeight w:val="123"/>
        </w:trPr>
        <w:tc>
          <w:tcPr>
            <w:tcW w:w="40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Cleaning</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rPr>
              <w:t>5,463</w:t>
            </w:r>
          </w:p>
        </w:tc>
        <w:tc>
          <w:tcPr>
            <w:tcW w:w="760" w:type="dxa"/>
            <w:vAlign w:val="bottom"/>
          </w:tcPr>
          <w:p>
            <w:pPr>
              <w:jc w:val="center"/>
              <w:spacing w:after="0" w:line="124" w:lineRule="exact"/>
              <w:rPr>
                <w:sz w:val="20"/>
                <w:szCs w:val="20"/>
                <w:color w:val="auto"/>
              </w:rPr>
            </w:pPr>
            <w:r>
              <w:rPr>
                <w:rFonts w:ascii="Arial" w:cs="Arial" w:eastAsia="Arial" w:hAnsi="Arial"/>
                <w:sz w:val="11"/>
                <w:szCs w:val="11"/>
                <w:color w:val="auto"/>
                <w:w w:val="94"/>
              </w:rPr>
              <w:t>5,744</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4"/>
              </w:rPr>
              <w:t>5,629</w:t>
            </w:r>
          </w:p>
        </w:tc>
        <w:tc>
          <w:tcPr>
            <w:tcW w:w="780" w:type="dxa"/>
            <w:vAlign w:val="bottom"/>
          </w:tcPr>
          <w:p>
            <w:pPr>
              <w:jc w:val="center"/>
              <w:spacing w:after="0" w:line="124" w:lineRule="exact"/>
              <w:rPr>
                <w:sz w:val="20"/>
                <w:szCs w:val="20"/>
                <w:color w:val="auto"/>
              </w:rPr>
            </w:pPr>
            <w:r>
              <w:rPr>
                <w:rFonts w:ascii="Arial" w:cs="Arial" w:eastAsia="Arial" w:hAnsi="Arial"/>
                <w:sz w:val="11"/>
                <w:szCs w:val="11"/>
                <w:color w:val="auto"/>
                <w:w w:val="97"/>
              </w:rPr>
              <w:t>-2.0%</w:t>
            </w:r>
          </w:p>
        </w:tc>
        <w:tc>
          <w:tcPr>
            <w:tcW w:w="8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3.0%</w:t>
            </w:r>
          </w:p>
        </w:tc>
        <w:tc>
          <w:tcPr>
            <w:tcW w:w="980" w:type="dxa"/>
            <w:vAlign w:val="bottom"/>
          </w:tcPr>
          <w:p>
            <w:pPr>
              <w:jc w:val="right"/>
              <w:ind w:right="165"/>
              <w:spacing w:after="0" w:line="124" w:lineRule="exact"/>
              <w:rPr>
                <w:sz w:val="20"/>
                <w:szCs w:val="20"/>
                <w:color w:val="auto"/>
              </w:rPr>
            </w:pPr>
            <w:r>
              <w:rPr>
                <w:rFonts w:ascii="Arial" w:cs="Arial" w:eastAsia="Arial" w:hAnsi="Arial"/>
                <w:sz w:val="11"/>
                <w:szCs w:val="11"/>
                <w:color w:val="auto"/>
              </w:rPr>
              <w:t>10,625</w:t>
            </w:r>
          </w:p>
        </w:tc>
        <w:tc>
          <w:tcPr>
            <w:tcW w:w="6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11,373</w:t>
            </w:r>
          </w:p>
        </w:tc>
        <w:tc>
          <w:tcPr>
            <w:tcW w:w="7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7.0%</w:t>
            </w:r>
          </w:p>
        </w:tc>
      </w:tr>
      <w:tr>
        <w:trPr>
          <w:trHeight w:val="130"/>
        </w:trPr>
        <w:tc>
          <w:tcPr>
            <w:tcW w:w="40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Others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82,326</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74,132</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59,018</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-20.4%</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-28.3%</w:t>
            </w:r>
          </w:p>
        </w:tc>
        <w:tc>
          <w:tcPr>
            <w:tcW w:w="980" w:type="dxa"/>
            <w:vAlign w:val="bottom"/>
            <w:tcBorders>
              <w:bottom w:val="single" w:sz="8" w:color="auto"/>
            </w:tcBorders>
          </w:tcPr>
          <w:p>
            <w:pPr>
              <w:jc w:val="right"/>
              <w:ind w:right="165"/>
              <w:spacing w:after="0"/>
              <w:rPr>
                <w:sz w:val="20"/>
                <w:szCs w:val="20"/>
                <w:color w:val="auto"/>
              </w:rPr>
            </w:pPr>
            <w:r>
              <w:rPr>
                <w:rFonts w:ascii="Arial" w:cs="Arial" w:eastAsia="Arial" w:hAnsi="Arial"/>
                <w:sz w:val="11"/>
                <w:szCs w:val="11"/>
                <w:color w:val="auto"/>
              </w:rPr>
              <w:t>152,124</w:t>
            </w: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133,150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-12.5%</w:t>
            </w:r>
          </w:p>
        </w:tc>
      </w:tr>
      <w:tr>
        <w:trPr>
          <w:trHeight w:val="114"/>
        </w:trPr>
        <w:tc>
          <w:tcPr>
            <w:tcW w:w="4080" w:type="dxa"/>
            <w:vAlign w:val="bottom"/>
            <w:tcBorders>
              <w:left w:val="single" w:sz="8" w:color="auto"/>
              <w:bottom w:val="single" w:sz="8" w:color="auto"/>
              <w:right w:val="single" w:sz="8" w:color="auto"/>
            </w:tcBorders>
          </w:tcPr>
          <w:p>
            <w:pPr>
              <w:ind w:left="20"/>
              <w:spacing w:after="0" w:line="114" w:lineRule="exact"/>
              <w:rPr>
                <w:sz w:val="20"/>
                <w:szCs w:val="20"/>
                <w:color w:val="auto"/>
              </w:rPr>
            </w:pPr>
            <w:r>
              <w:rPr>
                <w:rFonts w:ascii="Arial" w:cs="Arial" w:eastAsia="Arial" w:hAnsi="Arial"/>
                <w:sz w:val="11"/>
                <w:szCs w:val="11"/>
                <w:b w:val="1"/>
                <w:bCs w:val="1"/>
                <w:color w:val="auto"/>
              </w:rPr>
              <w:t>Total</w:t>
            </w:r>
          </w:p>
        </w:tc>
        <w:tc>
          <w:tcPr>
            <w:tcW w:w="7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871,046</w:t>
            </w:r>
          </w:p>
        </w:tc>
        <w:tc>
          <w:tcPr>
            <w:tcW w:w="76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w w:val="95"/>
              </w:rPr>
              <w:t>888,583</w:t>
            </w:r>
          </w:p>
        </w:tc>
        <w:tc>
          <w:tcPr>
            <w:tcW w:w="82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1,017,707</w:t>
            </w:r>
          </w:p>
        </w:tc>
        <w:tc>
          <w:tcPr>
            <w:tcW w:w="78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rPr>
              <w:t>14.5%</w:t>
            </w:r>
          </w:p>
        </w:tc>
        <w:tc>
          <w:tcPr>
            <w:tcW w:w="80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w w:val="96"/>
              </w:rPr>
              <w:t>16.8%</w:t>
            </w:r>
          </w:p>
        </w:tc>
        <w:tc>
          <w:tcPr>
            <w:tcW w:w="980" w:type="dxa"/>
            <w:vAlign w:val="bottom"/>
            <w:tcBorders>
              <w:bottom w:val="single" w:sz="8" w:color="auto"/>
            </w:tcBorders>
          </w:tcPr>
          <w:p>
            <w:pPr>
              <w:jc w:val="right"/>
              <w:ind w:right="165"/>
              <w:spacing w:after="0" w:line="114" w:lineRule="exact"/>
              <w:rPr>
                <w:sz w:val="20"/>
                <w:szCs w:val="20"/>
                <w:color w:val="auto"/>
              </w:rPr>
            </w:pPr>
            <w:r>
              <w:rPr>
                <w:rFonts w:ascii="Arial" w:cs="Arial" w:eastAsia="Arial" w:hAnsi="Arial"/>
                <w:sz w:val="11"/>
                <w:szCs w:val="11"/>
                <w:b w:val="1"/>
                <w:bCs w:val="1"/>
                <w:color w:val="auto"/>
              </w:rPr>
              <w:t>1,706,106</w:t>
            </w:r>
          </w:p>
        </w:tc>
        <w:tc>
          <w:tcPr>
            <w:tcW w:w="62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1,906,290</w:t>
            </w:r>
          </w:p>
        </w:tc>
        <w:tc>
          <w:tcPr>
            <w:tcW w:w="78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w w:val="96"/>
              </w:rPr>
              <w:t>11.7%</w:t>
            </w:r>
          </w:p>
        </w:tc>
      </w:tr>
    </w:tbl>
    <w:p>
      <w:pPr>
        <w:spacing w:after="0" w:line="142" w:lineRule="exact"/>
        <w:rPr>
          <w:sz w:val="20"/>
          <w:szCs w:val="20"/>
          <w:color w:val="auto"/>
        </w:rPr>
      </w:pPr>
    </w:p>
    <w:p>
      <w:pPr>
        <w:jc w:val="both"/>
        <w:ind w:left="26"/>
        <w:spacing w:after="0" w:line="258" w:lineRule="auto"/>
        <w:rPr>
          <w:sz w:val="20"/>
          <w:szCs w:val="20"/>
          <w:color w:val="auto"/>
        </w:rPr>
      </w:pPr>
      <w:r>
        <w:rPr>
          <w:rFonts w:ascii="Arial" w:cs="Arial" w:eastAsia="Arial" w:hAnsi="Arial"/>
          <w:sz w:val="14"/>
          <w:szCs w:val="14"/>
          <w:color w:val="auto"/>
        </w:rPr>
        <w:t>Administrative and general expenses rose 11.7% YTD. This growth is over an extraordinarily low base in 2Q23. The increase in operating expenses corresponds to higher IT expenses and IT third-party services at BCP, as well as disruptive initiatives at Credicorp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611505</wp:posOffset>
            </wp:positionV>
            <wp:extent cx="7164705" cy="133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81915</wp:posOffset>
            </wp:positionV>
            <wp:extent cx="1502410" cy="4438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226060</wp:posOffset>
            </wp:positionV>
            <wp:extent cx="1750695" cy="3003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750695" cy="300355"/>
                    </a:xfrm>
                    <a:prstGeom prst="rect">
                      <a:avLst/>
                    </a:prstGeom>
                    <a:noFill/>
                  </pic:spPr>
                </pic:pic>
              </a:graphicData>
            </a:graphic>
          </wp:anchor>
        </w:drawing>
      </w:r>
    </w:p>
    <w:p>
      <w:pPr>
        <w:sectPr>
          <w:pgSz w:w="11900" w:h="16838" w:orient="portrait"/>
          <w:cols w:equalWidth="0" w:num="1">
            <w:col w:w="10406"/>
          </w:cols>
          <w:pgMar w:left="734" w:top="298" w:right="759" w:bottom="1440" w:gutter="0" w:footer="0" w:header="0"/>
        </w:sectPr>
      </w:pPr>
    </w:p>
    <w:bookmarkStart w:id="40" w:name="page41"/>
    <w:bookmarkEnd w:id="40"/>
    <w:p>
      <w:pPr>
        <w:ind w:left="2380"/>
        <w:spacing w:after="0"/>
        <w:tabs>
          <w:tab w:leader="none" w:pos="2580" w:val="left"/>
          <w:tab w:leader="none" w:pos="7540"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48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4705" cy="548640"/>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08. Operating Expenses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Operating Expenses for Core Businesses and Disruption </w:t>
      </w:r>
      <w:r>
        <w:rPr>
          <w:rFonts w:ascii="Arial" w:cs="Arial" w:eastAsia="Arial" w:hAnsi="Arial"/>
          <w:sz w:val="22"/>
          <w:szCs w:val="22"/>
          <w:b w:val="1"/>
          <w:bCs w:val="1"/>
          <w:color w:val="auto"/>
          <w:vertAlign w:val="superscript"/>
        </w:rPr>
        <w:t>(1)</w:t>
      </w:r>
    </w:p>
    <w:p>
      <w:pPr>
        <w:spacing w:after="0" w:line="58" w:lineRule="exact"/>
        <w:rPr>
          <w:sz w:val="20"/>
          <w:szCs w:val="20"/>
          <w:color w:val="auto"/>
        </w:rPr>
      </w:pPr>
    </w:p>
    <w:tbl>
      <w:tblPr>
        <w:tblLayout w:type="fixed"/>
        <w:tblInd w:w="130" w:type="dxa"/>
        <w:tblCellMar>
          <w:top w:w="0" w:type="dxa"/>
          <w:left w:w="0" w:type="dxa"/>
          <w:bottom w:w="0" w:type="dxa"/>
          <w:right w:w="0" w:type="dxa"/>
        </w:tblCellMar>
      </w:tblPr>
      <w:tr>
        <w:trPr>
          <w:trHeight w:val="133"/>
        </w:trPr>
        <w:tc>
          <w:tcPr>
            <w:tcW w:w="2260" w:type="dxa"/>
            <w:vAlign w:val="bottom"/>
            <w:tcBorders>
              <w:top w:val="single" w:sz="8" w:color="auto"/>
              <w:left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1"/>
                <w:szCs w:val="11"/>
                <w:b w:val="1"/>
                <w:bCs w:val="1"/>
                <w:color w:val="FFFFFF"/>
              </w:rPr>
              <w:t>Operating Expenses</w:t>
            </w:r>
          </w:p>
        </w:tc>
        <w:tc>
          <w:tcPr>
            <w:tcW w:w="1140" w:type="dxa"/>
            <w:vAlign w:val="bottom"/>
            <w:tcBorders>
              <w:top w:val="single" w:sz="8" w:color="auto"/>
            </w:tcBorders>
            <w:shd w:val="clear" w:color="auto" w:fill="2AD2C9"/>
          </w:tcPr>
          <w:p>
            <w:pPr>
              <w:spacing w:after="0"/>
              <w:rPr>
                <w:sz w:val="11"/>
                <w:szCs w:val="11"/>
                <w:color w:val="auto"/>
              </w:rPr>
            </w:pPr>
          </w:p>
        </w:tc>
        <w:tc>
          <w:tcPr>
            <w:tcW w:w="1040" w:type="dxa"/>
            <w:vAlign w:val="bottom"/>
            <w:tcBorders>
              <w:top w:val="single" w:sz="8" w:color="auto"/>
            </w:tcBorders>
            <w:shd w:val="clear" w:color="auto" w:fill="2AD2C9"/>
          </w:tcPr>
          <w:p>
            <w:pPr>
              <w:jc w:val="right"/>
              <w:ind w:right="425"/>
              <w:spacing w:after="0"/>
              <w:rPr>
                <w:sz w:val="20"/>
                <w:szCs w:val="20"/>
                <w:color w:val="auto"/>
              </w:rPr>
            </w:pPr>
            <w:r>
              <w:rPr>
                <w:rFonts w:ascii="Arial" w:cs="Arial" w:eastAsia="Arial" w:hAnsi="Arial"/>
                <w:sz w:val="11"/>
                <w:szCs w:val="11"/>
                <w:b w:val="1"/>
                <w:bCs w:val="1"/>
                <w:color w:val="FFFFFF"/>
              </w:rPr>
              <w:t>Quarter</w:t>
            </w:r>
          </w:p>
        </w:tc>
        <w:tc>
          <w:tcPr>
            <w:tcW w:w="860" w:type="dxa"/>
            <w:vAlign w:val="bottom"/>
            <w:tcBorders>
              <w:top w:val="single" w:sz="8" w:color="auto"/>
              <w:right w:val="single" w:sz="8" w:color="auto"/>
            </w:tcBorders>
            <w:shd w:val="clear" w:color="auto" w:fill="2AD2C9"/>
          </w:tcPr>
          <w:p>
            <w:pPr>
              <w:spacing w:after="0"/>
              <w:rPr>
                <w:sz w:val="11"/>
                <w:szCs w:val="11"/>
                <w:color w:val="auto"/>
              </w:rPr>
            </w:pPr>
          </w:p>
        </w:tc>
        <w:tc>
          <w:tcPr>
            <w:tcW w:w="700" w:type="dxa"/>
            <w:vAlign w:val="bottom"/>
            <w:tcBorders>
              <w:top w:val="single" w:sz="8" w:color="auto"/>
            </w:tcBorders>
            <w:shd w:val="clear" w:color="auto" w:fill="2AD2C9"/>
          </w:tcPr>
          <w:p>
            <w:pPr>
              <w:spacing w:after="0"/>
              <w:rPr>
                <w:sz w:val="11"/>
                <w:szCs w:val="11"/>
                <w:color w:val="auto"/>
              </w:rPr>
            </w:pPr>
          </w:p>
        </w:tc>
        <w:tc>
          <w:tcPr>
            <w:tcW w:w="1320" w:type="dxa"/>
            <w:vAlign w:val="bottom"/>
            <w:tcBorders>
              <w:top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1"/>
                <w:szCs w:val="11"/>
                <w:b w:val="1"/>
                <w:bCs w:val="1"/>
                <w:color w:val="FFFFFF"/>
              </w:rPr>
              <w:t>% change</w:t>
            </w:r>
          </w:p>
        </w:tc>
        <w:tc>
          <w:tcPr>
            <w:tcW w:w="1260" w:type="dxa"/>
            <w:vAlign w:val="bottom"/>
            <w:tcBorders>
              <w:top w:val="single" w:sz="8" w:color="auto"/>
            </w:tcBorders>
            <w:shd w:val="clear" w:color="auto" w:fill="2AD2C9"/>
          </w:tcPr>
          <w:p>
            <w:pPr>
              <w:jc w:val="right"/>
              <w:ind w:right="45"/>
              <w:spacing w:after="0"/>
              <w:rPr>
                <w:sz w:val="20"/>
                <w:szCs w:val="20"/>
                <w:color w:val="auto"/>
              </w:rPr>
            </w:pPr>
            <w:r>
              <w:rPr>
                <w:rFonts w:ascii="Arial" w:cs="Arial" w:eastAsia="Arial" w:hAnsi="Arial"/>
                <w:sz w:val="11"/>
                <w:szCs w:val="11"/>
                <w:b w:val="1"/>
                <w:bCs w:val="1"/>
                <w:color w:val="FFFFFF"/>
              </w:rPr>
              <w:t>Up to</w:t>
            </w:r>
          </w:p>
        </w:tc>
        <w:tc>
          <w:tcPr>
            <w:tcW w:w="780" w:type="dxa"/>
            <w:vAlign w:val="bottom"/>
            <w:tcBorders>
              <w:top w:val="single" w:sz="8" w:color="auto"/>
              <w:right w:val="single" w:sz="8" w:color="auto"/>
            </w:tcBorders>
            <w:shd w:val="clear" w:color="auto" w:fill="2AD2C9"/>
          </w:tcPr>
          <w:p>
            <w:pPr>
              <w:spacing w:after="0"/>
              <w:rPr>
                <w:sz w:val="11"/>
                <w:szCs w:val="11"/>
                <w:color w:val="auto"/>
              </w:rPr>
            </w:pPr>
          </w:p>
        </w:tc>
        <w:tc>
          <w:tcPr>
            <w:tcW w:w="1020" w:type="dxa"/>
            <w:vAlign w:val="bottom"/>
            <w:tcBorders>
              <w:top w:val="single" w:sz="8" w:color="auto"/>
              <w:right w:val="single" w:sz="8" w:color="auto"/>
            </w:tcBorders>
            <w:shd w:val="clear" w:color="auto" w:fill="2AD2C9"/>
          </w:tcPr>
          <w:p>
            <w:pPr>
              <w:ind w:left="240"/>
              <w:spacing w:after="0"/>
              <w:rPr>
                <w:sz w:val="20"/>
                <w:szCs w:val="20"/>
                <w:color w:val="auto"/>
              </w:rPr>
            </w:pPr>
            <w:r>
              <w:rPr>
                <w:rFonts w:ascii="Arial" w:cs="Arial" w:eastAsia="Arial" w:hAnsi="Arial"/>
                <w:sz w:val="11"/>
                <w:szCs w:val="11"/>
                <w:b w:val="1"/>
                <w:bCs w:val="1"/>
                <w:color w:val="FFFFFF"/>
              </w:rPr>
              <w:t>% change</w:t>
            </w:r>
          </w:p>
        </w:tc>
      </w:tr>
      <w:tr>
        <w:trPr>
          <w:trHeight w:val="123"/>
        </w:trPr>
        <w:tc>
          <w:tcPr>
            <w:tcW w:w="2260" w:type="dxa"/>
            <w:vAlign w:val="bottom"/>
            <w:tcBorders>
              <w:left w:val="single" w:sz="8" w:color="auto"/>
              <w:bottom w:val="single" w:sz="8" w:color="auto"/>
              <w:right w:val="single" w:sz="8" w:color="auto"/>
            </w:tcBorders>
            <w:shd w:val="clear" w:color="auto" w:fill="2AD2C9"/>
          </w:tcPr>
          <w:p>
            <w:pPr>
              <w:ind w:left="40"/>
              <w:spacing w:after="0" w:line="124" w:lineRule="exact"/>
              <w:rPr>
                <w:sz w:val="20"/>
                <w:szCs w:val="20"/>
                <w:color w:val="auto"/>
              </w:rPr>
            </w:pPr>
            <w:r>
              <w:rPr>
                <w:rFonts w:ascii="Arial" w:cs="Arial" w:eastAsia="Arial" w:hAnsi="Arial"/>
                <w:sz w:val="11"/>
                <w:szCs w:val="11"/>
                <w:b w:val="1"/>
                <w:bCs w:val="1"/>
                <w:color w:val="FFFFFF"/>
              </w:rPr>
              <w:t>S/ 000</w:t>
            </w:r>
          </w:p>
        </w:tc>
        <w:tc>
          <w:tcPr>
            <w:tcW w:w="1140" w:type="dxa"/>
            <w:vAlign w:val="bottom"/>
            <w:tcBorders>
              <w:bottom w:val="single" w:sz="8" w:color="auto"/>
            </w:tcBorders>
            <w:shd w:val="clear" w:color="auto" w:fill="2AD2C9"/>
          </w:tcPr>
          <w:p>
            <w:pPr>
              <w:jc w:val="right"/>
              <w:ind w:right="445"/>
              <w:spacing w:after="0" w:line="124" w:lineRule="exact"/>
              <w:rPr>
                <w:sz w:val="20"/>
                <w:szCs w:val="20"/>
                <w:color w:val="auto"/>
              </w:rPr>
            </w:pPr>
            <w:r>
              <w:rPr>
                <w:rFonts w:ascii="Arial" w:cs="Arial" w:eastAsia="Arial" w:hAnsi="Arial"/>
                <w:sz w:val="11"/>
                <w:szCs w:val="11"/>
                <w:b w:val="1"/>
                <w:bCs w:val="1"/>
                <w:color w:val="FFFFFF"/>
              </w:rPr>
              <w:t>2Q23</w:t>
            </w:r>
          </w:p>
        </w:tc>
        <w:tc>
          <w:tcPr>
            <w:tcW w:w="1040" w:type="dxa"/>
            <w:vAlign w:val="bottom"/>
            <w:tcBorders>
              <w:bottom w:val="single" w:sz="8" w:color="auto"/>
            </w:tcBorders>
            <w:shd w:val="clear" w:color="auto" w:fill="2AD2C9"/>
          </w:tcPr>
          <w:p>
            <w:pPr>
              <w:jc w:val="right"/>
              <w:ind w:right="485"/>
              <w:spacing w:after="0" w:line="124" w:lineRule="exact"/>
              <w:rPr>
                <w:sz w:val="20"/>
                <w:szCs w:val="20"/>
                <w:color w:val="auto"/>
              </w:rPr>
            </w:pPr>
            <w:r>
              <w:rPr>
                <w:rFonts w:ascii="Arial" w:cs="Arial" w:eastAsia="Arial" w:hAnsi="Arial"/>
                <w:sz w:val="11"/>
                <w:szCs w:val="11"/>
                <w:b w:val="1"/>
                <w:bCs w:val="1"/>
                <w:color w:val="FFFFFF"/>
              </w:rPr>
              <w:t>1Q24</w:t>
            </w:r>
          </w:p>
        </w:tc>
        <w:tc>
          <w:tcPr>
            <w:tcW w:w="860" w:type="dxa"/>
            <w:vAlign w:val="bottom"/>
            <w:tcBorders>
              <w:bottom w:val="single" w:sz="8" w:color="auto"/>
              <w:right w:val="single" w:sz="8" w:color="auto"/>
            </w:tcBorders>
            <w:shd w:val="clear" w:color="auto" w:fill="2AD2C9"/>
          </w:tcPr>
          <w:p>
            <w:pPr>
              <w:jc w:val="right"/>
              <w:ind w:right="345"/>
              <w:spacing w:after="0" w:line="124" w:lineRule="exact"/>
              <w:rPr>
                <w:sz w:val="20"/>
                <w:szCs w:val="20"/>
                <w:color w:val="auto"/>
              </w:rPr>
            </w:pPr>
            <w:r>
              <w:rPr>
                <w:rFonts w:ascii="Arial" w:cs="Arial" w:eastAsia="Arial" w:hAnsi="Arial"/>
                <w:sz w:val="11"/>
                <w:szCs w:val="11"/>
                <w:b w:val="1"/>
                <w:bCs w:val="1"/>
                <w:color w:val="FFFFFF"/>
              </w:rPr>
              <w:t>2Q24</w:t>
            </w:r>
          </w:p>
        </w:tc>
        <w:tc>
          <w:tcPr>
            <w:tcW w:w="700" w:type="dxa"/>
            <w:vAlign w:val="bottom"/>
            <w:tcBorders>
              <w:bottom w:val="single" w:sz="8" w:color="auto"/>
            </w:tcBorders>
            <w:shd w:val="clear" w:color="auto" w:fill="2AD2C9"/>
          </w:tcPr>
          <w:p>
            <w:pPr>
              <w:ind w:left="360"/>
              <w:spacing w:after="0" w:line="124" w:lineRule="exact"/>
              <w:rPr>
                <w:sz w:val="20"/>
                <w:szCs w:val="20"/>
                <w:color w:val="auto"/>
              </w:rPr>
            </w:pPr>
            <w:r>
              <w:rPr>
                <w:rFonts w:ascii="Arial" w:cs="Arial" w:eastAsia="Arial" w:hAnsi="Arial"/>
                <w:sz w:val="11"/>
                <w:szCs w:val="11"/>
                <w:b w:val="1"/>
                <w:bCs w:val="1"/>
                <w:color w:val="FFFFFF"/>
              </w:rPr>
              <w:t>QoQ</w:t>
            </w:r>
          </w:p>
        </w:tc>
        <w:tc>
          <w:tcPr>
            <w:tcW w:w="1320" w:type="dxa"/>
            <w:vAlign w:val="bottom"/>
            <w:tcBorders>
              <w:bottom w:val="single" w:sz="8" w:color="auto"/>
              <w:right w:val="single" w:sz="8" w:color="auto"/>
            </w:tcBorders>
            <w:shd w:val="clear" w:color="auto" w:fill="2AD2C9"/>
          </w:tcPr>
          <w:p>
            <w:pPr>
              <w:ind w:left="700"/>
              <w:spacing w:after="0" w:line="124" w:lineRule="exact"/>
              <w:rPr>
                <w:sz w:val="20"/>
                <w:szCs w:val="20"/>
                <w:color w:val="auto"/>
              </w:rPr>
            </w:pPr>
            <w:r>
              <w:rPr>
                <w:rFonts w:ascii="Arial" w:cs="Arial" w:eastAsia="Arial" w:hAnsi="Arial"/>
                <w:sz w:val="11"/>
                <w:szCs w:val="11"/>
                <w:b w:val="1"/>
                <w:bCs w:val="1"/>
                <w:color w:val="FFFFFF"/>
              </w:rPr>
              <w:t>YoY</w:t>
            </w:r>
          </w:p>
        </w:tc>
        <w:tc>
          <w:tcPr>
            <w:tcW w:w="1260" w:type="dxa"/>
            <w:vAlign w:val="bottom"/>
            <w:tcBorders>
              <w:bottom w:val="single" w:sz="8" w:color="auto"/>
            </w:tcBorders>
            <w:shd w:val="clear" w:color="auto" w:fill="2AD2C9"/>
          </w:tcPr>
          <w:p>
            <w:pPr>
              <w:jc w:val="right"/>
              <w:ind w:right="565"/>
              <w:spacing w:after="0" w:line="124" w:lineRule="exact"/>
              <w:rPr>
                <w:sz w:val="20"/>
                <w:szCs w:val="20"/>
                <w:color w:val="auto"/>
              </w:rPr>
            </w:pPr>
            <w:r>
              <w:rPr>
                <w:rFonts w:ascii="Arial" w:cs="Arial" w:eastAsia="Arial" w:hAnsi="Arial"/>
                <w:sz w:val="11"/>
                <w:szCs w:val="11"/>
                <w:b w:val="1"/>
                <w:bCs w:val="1"/>
                <w:color w:val="FFFFFF"/>
              </w:rPr>
              <w:t>1H23</w:t>
            </w:r>
          </w:p>
        </w:tc>
        <w:tc>
          <w:tcPr>
            <w:tcW w:w="780" w:type="dxa"/>
            <w:vAlign w:val="bottom"/>
            <w:tcBorders>
              <w:bottom w:val="single" w:sz="8" w:color="auto"/>
              <w:right w:val="single" w:sz="8" w:color="auto"/>
            </w:tcBorders>
            <w:shd w:val="clear" w:color="auto" w:fill="2AD2C9"/>
          </w:tcPr>
          <w:p>
            <w:pPr>
              <w:jc w:val="right"/>
              <w:ind w:right="345"/>
              <w:spacing w:after="0" w:line="124" w:lineRule="exact"/>
              <w:rPr>
                <w:sz w:val="20"/>
                <w:szCs w:val="20"/>
                <w:color w:val="auto"/>
              </w:rPr>
            </w:pPr>
            <w:r>
              <w:rPr>
                <w:rFonts w:ascii="Arial" w:cs="Arial" w:eastAsia="Arial" w:hAnsi="Arial"/>
                <w:sz w:val="11"/>
                <w:szCs w:val="11"/>
                <w:b w:val="1"/>
                <w:bCs w:val="1"/>
                <w:color w:val="FFFFFF"/>
              </w:rPr>
              <w:t>1H24</w:t>
            </w:r>
          </w:p>
        </w:tc>
        <w:tc>
          <w:tcPr>
            <w:tcW w:w="1020" w:type="dxa"/>
            <w:vAlign w:val="bottom"/>
            <w:tcBorders>
              <w:bottom w:val="single" w:sz="8" w:color="auto"/>
              <w:right w:val="single" w:sz="8" w:color="auto"/>
            </w:tcBorders>
            <w:shd w:val="clear" w:color="auto" w:fill="2AD2C9"/>
          </w:tcPr>
          <w:p>
            <w:pPr>
              <w:jc w:val="center"/>
              <w:spacing w:after="0" w:line="124" w:lineRule="exact"/>
              <w:rPr>
                <w:sz w:val="20"/>
                <w:szCs w:val="20"/>
                <w:color w:val="auto"/>
              </w:rPr>
            </w:pPr>
            <w:r>
              <w:rPr>
                <w:rFonts w:ascii="Arial" w:cs="Arial" w:eastAsia="Arial" w:hAnsi="Arial"/>
                <w:sz w:val="11"/>
                <w:szCs w:val="11"/>
                <w:b w:val="1"/>
                <w:bCs w:val="1"/>
                <w:color w:val="FFFFFF"/>
                <w:w w:val="97"/>
              </w:rPr>
              <w:t>1H24 / 1H23</w:t>
            </w:r>
          </w:p>
        </w:tc>
      </w:tr>
      <w:tr>
        <w:trPr>
          <w:trHeight w:val="107"/>
        </w:trPr>
        <w:tc>
          <w:tcPr>
            <w:tcW w:w="2260" w:type="dxa"/>
            <w:vAlign w:val="bottom"/>
            <w:tcBorders>
              <w:left w:val="single" w:sz="8" w:color="auto"/>
              <w:right w:val="single" w:sz="8" w:color="auto"/>
            </w:tcBorders>
          </w:tcPr>
          <w:p>
            <w:pPr>
              <w:ind w:left="40"/>
              <w:spacing w:after="0" w:line="107" w:lineRule="exact"/>
              <w:rPr>
                <w:sz w:val="20"/>
                <w:szCs w:val="20"/>
                <w:color w:val="auto"/>
              </w:rPr>
            </w:pPr>
            <w:r>
              <w:rPr>
                <w:rFonts w:ascii="Arial" w:cs="Arial" w:eastAsia="Arial" w:hAnsi="Arial"/>
                <w:sz w:val="11"/>
                <w:szCs w:val="11"/>
                <w:color w:val="auto"/>
              </w:rPr>
              <w:t>Core Business BCP</w:t>
            </w:r>
          </w:p>
        </w:tc>
        <w:tc>
          <w:tcPr>
            <w:tcW w:w="1140" w:type="dxa"/>
            <w:vAlign w:val="bottom"/>
          </w:tcPr>
          <w:p>
            <w:pPr>
              <w:jc w:val="right"/>
              <w:ind w:right="125"/>
              <w:spacing w:after="0" w:line="107" w:lineRule="exact"/>
              <w:rPr>
                <w:sz w:val="20"/>
                <w:szCs w:val="20"/>
                <w:color w:val="auto"/>
              </w:rPr>
            </w:pPr>
            <w:r>
              <w:rPr>
                <w:rFonts w:ascii="Arial" w:cs="Arial" w:eastAsia="Arial" w:hAnsi="Arial"/>
                <w:sz w:val="11"/>
                <w:szCs w:val="11"/>
                <w:color w:val="auto"/>
              </w:rPr>
              <w:t>1,159,319</w:t>
            </w:r>
          </w:p>
        </w:tc>
        <w:tc>
          <w:tcPr>
            <w:tcW w:w="1040" w:type="dxa"/>
            <w:vAlign w:val="bottom"/>
          </w:tcPr>
          <w:p>
            <w:pPr>
              <w:jc w:val="right"/>
              <w:ind w:right="145"/>
              <w:spacing w:after="0" w:line="107" w:lineRule="exact"/>
              <w:rPr>
                <w:sz w:val="20"/>
                <w:szCs w:val="20"/>
                <w:color w:val="auto"/>
              </w:rPr>
            </w:pPr>
            <w:r>
              <w:rPr>
                <w:rFonts w:ascii="Arial" w:cs="Arial" w:eastAsia="Arial" w:hAnsi="Arial"/>
                <w:sz w:val="11"/>
                <w:szCs w:val="11"/>
                <w:color w:val="auto"/>
              </w:rPr>
              <w:t>1,203,361</w:t>
            </w:r>
          </w:p>
        </w:tc>
        <w:tc>
          <w:tcPr>
            <w:tcW w:w="860" w:type="dxa"/>
            <w:vAlign w:val="bottom"/>
            <w:tcBorders>
              <w:right w:val="single" w:sz="8" w:color="auto"/>
            </w:tcBorders>
          </w:tcPr>
          <w:p>
            <w:pPr>
              <w:jc w:val="right"/>
              <w:ind w:right="5"/>
              <w:spacing w:after="0" w:line="107" w:lineRule="exact"/>
              <w:rPr>
                <w:sz w:val="20"/>
                <w:szCs w:val="20"/>
                <w:color w:val="auto"/>
              </w:rPr>
            </w:pPr>
            <w:r>
              <w:rPr>
                <w:rFonts w:ascii="Arial" w:cs="Arial" w:eastAsia="Arial" w:hAnsi="Arial"/>
                <w:sz w:val="11"/>
                <w:szCs w:val="11"/>
                <w:color w:val="auto"/>
              </w:rPr>
              <w:t>1,302,902</w:t>
            </w:r>
          </w:p>
        </w:tc>
        <w:tc>
          <w:tcPr>
            <w:tcW w:w="700" w:type="dxa"/>
            <w:vAlign w:val="bottom"/>
          </w:tcPr>
          <w:p>
            <w:pPr>
              <w:jc w:val="center"/>
              <w:ind w:left="225"/>
              <w:spacing w:after="0" w:line="107" w:lineRule="exact"/>
              <w:rPr>
                <w:sz w:val="20"/>
                <w:szCs w:val="20"/>
                <w:color w:val="auto"/>
              </w:rPr>
            </w:pPr>
            <w:r>
              <w:rPr>
                <w:rFonts w:ascii="Arial" w:cs="Arial" w:eastAsia="Arial" w:hAnsi="Arial"/>
                <w:sz w:val="11"/>
                <w:szCs w:val="11"/>
                <w:color w:val="auto"/>
              </w:rPr>
              <w:t>8.3%</w:t>
            </w:r>
          </w:p>
        </w:tc>
        <w:tc>
          <w:tcPr>
            <w:tcW w:w="1320" w:type="dxa"/>
            <w:vAlign w:val="bottom"/>
            <w:tcBorders>
              <w:right w:val="single" w:sz="8" w:color="auto"/>
            </w:tcBorders>
          </w:tcPr>
          <w:p>
            <w:pPr>
              <w:jc w:val="center"/>
              <w:ind w:left="225"/>
              <w:spacing w:after="0" w:line="107" w:lineRule="exact"/>
              <w:rPr>
                <w:sz w:val="20"/>
                <w:szCs w:val="20"/>
                <w:color w:val="auto"/>
              </w:rPr>
            </w:pPr>
            <w:r>
              <w:rPr>
                <w:rFonts w:ascii="Arial" w:cs="Arial" w:eastAsia="Arial" w:hAnsi="Arial"/>
                <w:sz w:val="11"/>
                <w:szCs w:val="11"/>
                <w:color w:val="auto"/>
              </w:rPr>
              <w:t>12.4%</w:t>
            </w:r>
          </w:p>
        </w:tc>
        <w:tc>
          <w:tcPr>
            <w:tcW w:w="1260" w:type="dxa"/>
            <w:vAlign w:val="bottom"/>
          </w:tcPr>
          <w:p>
            <w:pPr>
              <w:jc w:val="right"/>
              <w:ind w:right="225"/>
              <w:spacing w:after="0" w:line="107" w:lineRule="exact"/>
              <w:rPr>
                <w:sz w:val="20"/>
                <w:szCs w:val="20"/>
                <w:color w:val="auto"/>
              </w:rPr>
            </w:pPr>
            <w:r>
              <w:rPr>
                <w:rFonts w:ascii="Arial" w:cs="Arial" w:eastAsia="Arial" w:hAnsi="Arial"/>
                <w:sz w:val="11"/>
                <w:szCs w:val="11"/>
                <w:color w:val="auto"/>
              </w:rPr>
              <w:t>2,308,600</w:t>
            </w:r>
          </w:p>
        </w:tc>
        <w:tc>
          <w:tcPr>
            <w:tcW w:w="780" w:type="dxa"/>
            <w:vAlign w:val="bottom"/>
            <w:tcBorders>
              <w:right w:val="single" w:sz="8" w:color="auto"/>
            </w:tcBorders>
          </w:tcPr>
          <w:p>
            <w:pPr>
              <w:jc w:val="right"/>
              <w:spacing w:after="0" w:line="107" w:lineRule="exact"/>
              <w:rPr>
                <w:sz w:val="20"/>
                <w:szCs w:val="20"/>
                <w:color w:val="auto"/>
              </w:rPr>
            </w:pPr>
            <w:r>
              <w:rPr>
                <w:rFonts w:ascii="Arial" w:cs="Arial" w:eastAsia="Arial" w:hAnsi="Arial"/>
                <w:sz w:val="11"/>
                <w:szCs w:val="11"/>
                <w:color w:val="auto"/>
              </w:rPr>
              <w:t>2,506,263</w:t>
            </w:r>
          </w:p>
        </w:tc>
        <w:tc>
          <w:tcPr>
            <w:tcW w:w="102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1"/>
                <w:szCs w:val="11"/>
                <w:color w:val="auto"/>
                <w:w w:val="95"/>
              </w:rPr>
              <w:t>8.6%</w:t>
            </w:r>
          </w:p>
        </w:tc>
      </w:tr>
      <w:tr>
        <w:trPr>
          <w:trHeight w:val="123"/>
        </w:trPr>
        <w:tc>
          <w:tcPr>
            <w:tcW w:w="2260" w:type="dxa"/>
            <w:vAlign w:val="bottom"/>
            <w:tcBorders>
              <w:left w:val="single" w:sz="8" w:color="auto"/>
              <w:right w:val="single" w:sz="8" w:color="auto"/>
            </w:tcBorders>
          </w:tcPr>
          <w:p>
            <w:pPr>
              <w:ind w:left="40"/>
              <w:spacing w:after="0" w:line="124" w:lineRule="exact"/>
              <w:rPr>
                <w:sz w:val="20"/>
                <w:szCs w:val="20"/>
                <w:color w:val="auto"/>
              </w:rPr>
            </w:pPr>
            <w:r>
              <w:rPr>
                <w:rFonts w:ascii="Arial" w:cs="Arial" w:eastAsia="Arial" w:hAnsi="Arial"/>
                <w:sz w:val="11"/>
                <w:szCs w:val="11"/>
                <w:color w:val="auto"/>
              </w:rPr>
              <w:t>Core Business Mibanco</w:t>
            </w:r>
          </w:p>
        </w:tc>
        <w:tc>
          <w:tcPr>
            <w:tcW w:w="114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300,220</w:t>
            </w:r>
          </w:p>
        </w:tc>
        <w:tc>
          <w:tcPr>
            <w:tcW w:w="1040" w:type="dxa"/>
            <w:vAlign w:val="bottom"/>
          </w:tcPr>
          <w:p>
            <w:pPr>
              <w:jc w:val="right"/>
              <w:ind w:right="145"/>
              <w:spacing w:after="0" w:line="124" w:lineRule="exact"/>
              <w:rPr>
                <w:sz w:val="20"/>
                <w:szCs w:val="20"/>
                <w:color w:val="auto"/>
              </w:rPr>
            </w:pPr>
            <w:r>
              <w:rPr>
                <w:rFonts w:ascii="Arial" w:cs="Arial" w:eastAsia="Arial" w:hAnsi="Arial"/>
                <w:sz w:val="11"/>
                <w:szCs w:val="11"/>
                <w:color w:val="auto"/>
              </w:rPr>
              <w:t>304,389</w:t>
            </w:r>
          </w:p>
        </w:tc>
        <w:tc>
          <w:tcPr>
            <w:tcW w:w="860" w:type="dxa"/>
            <w:vAlign w:val="bottom"/>
            <w:tcBorders>
              <w:right w:val="single" w:sz="8" w:color="auto"/>
            </w:tcBorders>
          </w:tcPr>
          <w:p>
            <w:pPr>
              <w:jc w:val="right"/>
              <w:ind w:right="5"/>
              <w:spacing w:after="0" w:line="124" w:lineRule="exact"/>
              <w:rPr>
                <w:sz w:val="20"/>
                <w:szCs w:val="20"/>
                <w:color w:val="auto"/>
              </w:rPr>
            </w:pPr>
            <w:r>
              <w:rPr>
                <w:rFonts w:ascii="Arial" w:cs="Arial" w:eastAsia="Arial" w:hAnsi="Arial"/>
                <w:sz w:val="11"/>
                <w:szCs w:val="11"/>
                <w:color w:val="auto"/>
              </w:rPr>
              <w:t>295,728</w:t>
            </w:r>
          </w:p>
        </w:tc>
        <w:tc>
          <w:tcPr>
            <w:tcW w:w="700" w:type="dxa"/>
            <w:vAlign w:val="bottom"/>
          </w:tcPr>
          <w:p>
            <w:pPr>
              <w:jc w:val="center"/>
              <w:ind w:left="205"/>
              <w:spacing w:after="0" w:line="124" w:lineRule="exact"/>
              <w:rPr>
                <w:sz w:val="20"/>
                <w:szCs w:val="20"/>
                <w:color w:val="auto"/>
              </w:rPr>
            </w:pPr>
            <w:r>
              <w:rPr>
                <w:rFonts w:ascii="Arial" w:cs="Arial" w:eastAsia="Arial" w:hAnsi="Arial"/>
                <w:sz w:val="11"/>
                <w:szCs w:val="11"/>
                <w:color w:val="auto"/>
                <w:w w:val="97"/>
              </w:rPr>
              <w:t>-2.8%</w:t>
            </w:r>
          </w:p>
        </w:tc>
        <w:tc>
          <w:tcPr>
            <w:tcW w:w="1320" w:type="dxa"/>
            <w:vAlign w:val="bottom"/>
            <w:tcBorders>
              <w:right w:val="single" w:sz="8" w:color="auto"/>
            </w:tcBorders>
          </w:tcPr>
          <w:p>
            <w:pPr>
              <w:jc w:val="center"/>
              <w:ind w:left="225"/>
              <w:spacing w:after="0" w:line="124" w:lineRule="exact"/>
              <w:rPr>
                <w:sz w:val="20"/>
                <w:szCs w:val="20"/>
                <w:color w:val="auto"/>
              </w:rPr>
            </w:pPr>
            <w:r>
              <w:rPr>
                <w:rFonts w:ascii="Arial" w:cs="Arial" w:eastAsia="Arial" w:hAnsi="Arial"/>
                <w:sz w:val="11"/>
                <w:szCs w:val="11"/>
                <w:color w:val="auto"/>
                <w:w w:val="97"/>
              </w:rPr>
              <w:t>-1.5%</w:t>
            </w:r>
          </w:p>
        </w:tc>
        <w:tc>
          <w:tcPr>
            <w:tcW w:w="1260" w:type="dxa"/>
            <w:vAlign w:val="bottom"/>
          </w:tcPr>
          <w:p>
            <w:pPr>
              <w:jc w:val="right"/>
              <w:ind w:right="225"/>
              <w:spacing w:after="0" w:line="124" w:lineRule="exact"/>
              <w:rPr>
                <w:sz w:val="20"/>
                <w:szCs w:val="20"/>
                <w:color w:val="auto"/>
              </w:rPr>
            </w:pPr>
            <w:r>
              <w:rPr>
                <w:rFonts w:ascii="Arial" w:cs="Arial" w:eastAsia="Arial" w:hAnsi="Arial"/>
                <w:sz w:val="11"/>
                <w:szCs w:val="11"/>
                <w:color w:val="auto"/>
              </w:rPr>
              <w:t>598,000</w:t>
            </w: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600,117</w:t>
            </w:r>
          </w:p>
        </w:tc>
        <w:tc>
          <w:tcPr>
            <w:tcW w:w="10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5"/>
              </w:rPr>
              <w:t>0.4%</w:t>
            </w:r>
          </w:p>
        </w:tc>
      </w:tr>
      <w:tr>
        <w:trPr>
          <w:trHeight w:val="111"/>
        </w:trPr>
        <w:tc>
          <w:tcPr>
            <w:tcW w:w="2260" w:type="dxa"/>
            <w:vAlign w:val="bottom"/>
            <w:tcBorders>
              <w:left w:val="single" w:sz="8" w:color="auto"/>
              <w:right w:val="single" w:sz="8" w:color="auto"/>
            </w:tcBorders>
          </w:tcPr>
          <w:p>
            <w:pPr>
              <w:ind w:left="40"/>
              <w:spacing w:after="0" w:line="111" w:lineRule="exact"/>
              <w:rPr>
                <w:sz w:val="20"/>
                <w:szCs w:val="20"/>
                <w:color w:val="auto"/>
              </w:rPr>
            </w:pPr>
            <w:r>
              <w:rPr>
                <w:rFonts w:ascii="Arial" w:cs="Arial" w:eastAsia="Arial" w:hAnsi="Arial"/>
                <w:sz w:val="11"/>
                <w:szCs w:val="11"/>
                <w:color w:val="auto"/>
              </w:rPr>
              <w:t>Core Business Pacifico</w:t>
            </w:r>
          </w:p>
        </w:tc>
        <w:tc>
          <w:tcPr>
            <w:tcW w:w="1140" w:type="dxa"/>
            <w:vAlign w:val="bottom"/>
          </w:tcPr>
          <w:p>
            <w:pPr>
              <w:jc w:val="right"/>
              <w:ind w:right="125"/>
              <w:spacing w:after="0" w:line="111" w:lineRule="exact"/>
              <w:rPr>
                <w:sz w:val="20"/>
                <w:szCs w:val="20"/>
                <w:color w:val="auto"/>
              </w:rPr>
            </w:pPr>
            <w:r>
              <w:rPr>
                <w:rFonts w:ascii="Arial" w:cs="Arial" w:eastAsia="Arial" w:hAnsi="Arial"/>
                <w:sz w:val="11"/>
                <w:szCs w:val="11"/>
                <w:color w:val="auto"/>
              </w:rPr>
              <w:t>72,708</w:t>
            </w:r>
          </w:p>
        </w:tc>
        <w:tc>
          <w:tcPr>
            <w:tcW w:w="1040" w:type="dxa"/>
            <w:vAlign w:val="bottom"/>
          </w:tcPr>
          <w:p>
            <w:pPr>
              <w:jc w:val="right"/>
              <w:ind w:right="145"/>
              <w:spacing w:after="0" w:line="111" w:lineRule="exact"/>
              <w:rPr>
                <w:sz w:val="20"/>
                <w:szCs w:val="20"/>
                <w:color w:val="auto"/>
              </w:rPr>
            </w:pPr>
            <w:r>
              <w:rPr>
                <w:rFonts w:ascii="Arial" w:cs="Arial" w:eastAsia="Arial" w:hAnsi="Arial"/>
                <w:sz w:val="11"/>
                <w:szCs w:val="11"/>
                <w:color w:val="auto"/>
              </w:rPr>
              <w:t>76,174</w:t>
            </w:r>
          </w:p>
        </w:tc>
        <w:tc>
          <w:tcPr>
            <w:tcW w:w="860" w:type="dxa"/>
            <w:vAlign w:val="bottom"/>
            <w:tcBorders>
              <w:right w:val="single" w:sz="8" w:color="auto"/>
            </w:tcBorders>
          </w:tcPr>
          <w:p>
            <w:pPr>
              <w:jc w:val="right"/>
              <w:ind w:right="5"/>
              <w:spacing w:after="0" w:line="111" w:lineRule="exact"/>
              <w:rPr>
                <w:sz w:val="20"/>
                <w:szCs w:val="20"/>
                <w:color w:val="auto"/>
              </w:rPr>
            </w:pPr>
            <w:r>
              <w:rPr>
                <w:rFonts w:ascii="Arial" w:cs="Arial" w:eastAsia="Arial" w:hAnsi="Arial"/>
                <w:sz w:val="11"/>
                <w:szCs w:val="11"/>
                <w:color w:val="auto"/>
              </w:rPr>
              <w:t>75,397</w:t>
            </w:r>
          </w:p>
        </w:tc>
        <w:tc>
          <w:tcPr>
            <w:tcW w:w="700" w:type="dxa"/>
            <w:vAlign w:val="bottom"/>
          </w:tcPr>
          <w:p>
            <w:pPr>
              <w:jc w:val="center"/>
              <w:ind w:left="205"/>
              <w:spacing w:after="0" w:line="111" w:lineRule="exact"/>
              <w:rPr>
                <w:sz w:val="20"/>
                <w:szCs w:val="20"/>
                <w:color w:val="auto"/>
              </w:rPr>
            </w:pPr>
            <w:r>
              <w:rPr>
                <w:rFonts w:ascii="Arial" w:cs="Arial" w:eastAsia="Arial" w:hAnsi="Arial"/>
                <w:sz w:val="11"/>
                <w:szCs w:val="11"/>
                <w:color w:val="auto"/>
                <w:w w:val="97"/>
              </w:rPr>
              <w:t>-1.0%</w:t>
            </w:r>
          </w:p>
        </w:tc>
        <w:tc>
          <w:tcPr>
            <w:tcW w:w="1320" w:type="dxa"/>
            <w:vAlign w:val="bottom"/>
            <w:tcBorders>
              <w:right w:val="single" w:sz="8" w:color="auto"/>
            </w:tcBorders>
          </w:tcPr>
          <w:p>
            <w:pPr>
              <w:jc w:val="center"/>
              <w:ind w:left="225"/>
              <w:spacing w:after="0" w:line="111" w:lineRule="exact"/>
              <w:rPr>
                <w:sz w:val="20"/>
                <w:szCs w:val="20"/>
                <w:color w:val="auto"/>
              </w:rPr>
            </w:pPr>
            <w:r>
              <w:rPr>
                <w:rFonts w:ascii="Arial" w:cs="Arial" w:eastAsia="Arial" w:hAnsi="Arial"/>
                <w:sz w:val="11"/>
                <w:szCs w:val="11"/>
                <w:color w:val="auto"/>
                <w:w w:val="95"/>
              </w:rPr>
              <w:t>3.7%</w:t>
            </w:r>
          </w:p>
        </w:tc>
        <w:tc>
          <w:tcPr>
            <w:tcW w:w="1260" w:type="dxa"/>
            <w:vAlign w:val="bottom"/>
          </w:tcPr>
          <w:p>
            <w:pPr>
              <w:jc w:val="right"/>
              <w:ind w:right="225"/>
              <w:spacing w:after="0" w:line="111" w:lineRule="exact"/>
              <w:rPr>
                <w:sz w:val="20"/>
                <w:szCs w:val="20"/>
                <w:color w:val="auto"/>
              </w:rPr>
            </w:pPr>
            <w:r>
              <w:rPr>
                <w:rFonts w:ascii="Arial" w:cs="Arial" w:eastAsia="Arial" w:hAnsi="Arial"/>
                <w:sz w:val="11"/>
                <w:szCs w:val="11"/>
                <w:color w:val="auto"/>
              </w:rPr>
              <w:t>136,976</w:t>
            </w:r>
          </w:p>
        </w:tc>
        <w:tc>
          <w:tcPr>
            <w:tcW w:w="780" w:type="dxa"/>
            <w:vAlign w:val="bottom"/>
            <w:tcBorders>
              <w:right w:val="single" w:sz="8" w:color="auto"/>
            </w:tcBorders>
          </w:tcPr>
          <w:p>
            <w:pPr>
              <w:jc w:val="right"/>
              <w:spacing w:after="0" w:line="111" w:lineRule="exact"/>
              <w:rPr>
                <w:sz w:val="20"/>
                <w:szCs w:val="20"/>
                <w:color w:val="auto"/>
              </w:rPr>
            </w:pPr>
            <w:r>
              <w:rPr>
                <w:rFonts w:ascii="Arial" w:cs="Arial" w:eastAsia="Arial" w:hAnsi="Arial"/>
                <w:sz w:val="11"/>
                <w:szCs w:val="11"/>
                <w:color w:val="auto"/>
              </w:rPr>
              <w:t>151,571</w:t>
            </w:r>
          </w:p>
        </w:tc>
        <w:tc>
          <w:tcPr>
            <w:tcW w:w="102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1"/>
                <w:szCs w:val="11"/>
                <w:color w:val="auto"/>
              </w:rPr>
              <w:t>10.7%</w:t>
            </w:r>
          </w:p>
        </w:tc>
      </w:tr>
      <w:tr>
        <w:trPr>
          <w:trHeight w:val="123"/>
        </w:trPr>
        <w:tc>
          <w:tcPr>
            <w:tcW w:w="2260" w:type="dxa"/>
            <w:vAlign w:val="bottom"/>
            <w:tcBorders>
              <w:left w:val="single" w:sz="8" w:color="auto"/>
              <w:right w:val="single" w:sz="8" w:color="auto"/>
            </w:tcBorders>
          </w:tcPr>
          <w:p>
            <w:pPr>
              <w:ind w:left="40"/>
              <w:spacing w:after="0" w:line="123" w:lineRule="exact"/>
              <w:rPr>
                <w:sz w:val="20"/>
                <w:szCs w:val="20"/>
                <w:color w:val="auto"/>
              </w:rPr>
            </w:pPr>
            <w:r>
              <w:rPr>
                <w:rFonts w:ascii="Arial" w:cs="Arial" w:eastAsia="Arial" w:hAnsi="Arial"/>
                <w:sz w:val="9"/>
                <w:szCs w:val="9"/>
                <w:color w:val="auto"/>
              </w:rPr>
              <w:t xml:space="preserve">Disruption </w:t>
            </w:r>
            <w:r>
              <w:rPr>
                <w:rFonts w:ascii="Arial" w:cs="Arial" w:eastAsia="Arial" w:hAnsi="Arial"/>
                <w:sz w:val="14"/>
                <w:szCs w:val="14"/>
                <w:color w:val="auto"/>
                <w:vertAlign w:val="superscript"/>
              </w:rPr>
              <w:t>(2)</w:t>
            </w:r>
          </w:p>
        </w:tc>
        <w:tc>
          <w:tcPr>
            <w:tcW w:w="1140" w:type="dxa"/>
            <w:vAlign w:val="bottom"/>
          </w:tcPr>
          <w:p>
            <w:pPr>
              <w:jc w:val="right"/>
              <w:ind w:right="125"/>
              <w:spacing w:after="0" w:line="124" w:lineRule="exact"/>
              <w:rPr>
                <w:sz w:val="20"/>
                <w:szCs w:val="20"/>
                <w:color w:val="auto"/>
              </w:rPr>
            </w:pPr>
            <w:r>
              <w:rPr>
                <w:rFonts w:ascii="Arial" w:cs="Arial" w:eastAsia="Arial" w:hAnsi="Arial"/>
                <w:sz w:val="11"/>
                <w:szCs w:val="11"/>
                <w:color w:val="auto"/>
              </w:rPr>
              <w:t>223,197</w:t>
            </w:r>
          </w:p>
        </w:tc>
        <w:tc>
          <w:tcPr>
            <w:tcW w:w="1040" w:type="dxa"/>
            <w:vAlign w:val="bottom"/>
          </w:tcPr>
          <w:p>
            <w:pPr>
              <w:jc w:val="right"/>
              <w:ind w:right="145"/>
              <w:spacing w:after="0" w:line="124" w:lineRule="exact"/>
              <w:rPr>
                <w:sz w:val="20"/>
                <w:szCs w:val="20"/>
                <w:color w:val="auto"/>
              </w:rPr>
            </w:pPr>
            <w:r>
              <w:rPr>
                <w:rFonts w:ascii="Arial" w:cs="Arial" w:eastAsia="Arial" w:hAnsi="Arial"/>
                <w:sz w:val="11"/>
                <w:szCs w:val="11"/>
                <w:color w:val="auto"/>
              </w:rPr>
              <w:t>245,757</w:t>
            </w:r>
          </w:p>
        </w:tc>
        <w:tc>
          <w:tcPr>
            <w:tcW w:w="860" w:type="dxa"/>
            <w:vAlign w:val="bottom"/>
            <w:tcBorders>
              <w:right w:val="single" w:sz="8" w:color="auto"/>
            </w:tcBorders>
          </w:tcPr>
          <w:p>
            <w:pPr>
              <w:jc w:val="right"/>
              <w:ind w:right="5"/>
              <w:spacing w:after="0" w:line="124" w:lineRule="exact"/>
              <w:rPr>
                <w:sz w:val="20"/>
                <w:szCs w:val="20"/>
                <w:color w:val="auto"/>
              </w:rPr>
            </w:pPr>
            <w:r>
              <w:rPr>
                <w:rFonts w:ascii="Arial" w:cs="Arial" w:eastAsia="Arial" w:hAnsi="Arial"/>
                <w:sz w:val="11"/>
                <w:szCs w:val="11"/>
                <w:color w:val="auto"/>
              </w:rPr>
              <w:t>283,515</w:t>
            </w:r>
          </w:p>
        </w:tc>
        <w:tc>
          <w:tcPr>
            <w:tcW w:w="700" w:type="dxa"/>
            <w:vAlign w:val="bottom"/>
          </w:tcPr>
          <w:p>
            <w:pPr>
              <w:jc w:val="center"/>
              <w:ind w:left="225"/>
              <w:spacing w:after="0" w:line="124" w:lineRule="exact"/>
              <w:rPr>
                <w:sz w:val="20"/>
                <w:szCs w:val="20"/>
                <w:color w:val="auto"/>
              </w:rPr>
            </w:pPr>
            <w:r>
              <w:rPr>
                <w:rFonts w:ascii="Arial" w:cs="Arial" w:eastAsia="Arial" w:hAnsi="Arial"/>
                <w:sz w:val="11"/>
                <w:szCs w:val="11"/>
                <w:color w:val="auto"/>
                <w:w w:val="96"/>
              </w:rPr>
              <w:t>15.4%</w:t>
            </w:r>
          </w:p>
        </w:tc>
        <w:tc>
          <w:tcPr>
            <w:tcW w:w="1320" w:type="dxa"/>
            <w:vAlign w:val="bottom"/>
            <w:tcBorders>
              <w:right w:val="single" w:sz="8" w:color="auto"/>
            </w:tcBorders>
          </w:tcPr>
          <w:p>
            <w:pPr>
              <w:jc w:val="center"/>
              <w:ind w:left="225"/>
              <w:spacing w:after="0" w:line="124" w:lineRule="exact"/>
              <w:rPr>
                <w:sz w:val="20"/>
                <w:szCs w:val="20"/>
                <w:color w:val="auto"/>
              </w:rPr>
            </w:pPr>
            <w:r>
              <w:rPr>
                <w:rFonts w:ascii="Arial" w:cs="Arial" w:eastAsia="Arial" w:hAnsi="Arial"/>
                <w:sz w:val="11"/>
                <w:szCs w:val="11"/>
                <w:color w:val="auto"/>
              </w:rPr>
              <w:t>27.0%</w:t>
            </w:r>
          </w:p>
        </w:tc>
        <w:tc>
          <w:tcPr>
            <w:tcW w:w="1260" w:type="dxa"/>
            <w:vAlign w:val="bottom"/>
          </w:tcPr>
          <w:p>
            <w:pPr>
              <w:jc w:val="right"/>
              <w:ind w:right="225"/>
              <w:spacing w:after="0" w:line="124" w:lineRule="exact"/>
              <w:rPr>
                <w:sz w:val="20"/>
                <w:szCs w:val="20"/>
                <w:color w:val="auto"/>
              </w:rPr>
            </w:pPr>
            <w:r>
              <w:rPr>
                <w:rFonts w:ascii="Arial" w:cs="Arial" w:eastAsia="Arial" w:hAnsi="Arial"/>
                <w:sz w:val="11"/>
                <w:szCs w:val="11"/>
                <w:color w:val="auto"/>
              </w:rPr>
              <w:t>409,613</w:t>
            </w: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529,273</w:t>
            </w:r>
          </w:p>
        </w:tc>
        <w:tc>
          <w:tcPr>
            <w:tcW w:w="10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29.2%</w:t>
            </w:r>
          </w:p>
        </w:tc>
      </w:tr>
      <w:tr>
        <w:trPr>
          <w:trHeight w:val="142"/>
        </w:trPr>
        <w:tc>
          <w:tcPr>
            <w:tcW w:w="2260" w:type="dxa"/>
            <w:vAlign w:val="bottom"/>
            <w:tcBorders>
              <w:left w:val="single" w:sz="8" w:color="auto"/>
              <w:bottom w:val="single" w:sz="8" w:color="auto"/>
              <w:right w:val="single" w:sz="8" w:color="auto"/>
            </w:tcBorders>
          </w:tcPr>
          <w:p>
            <w:pPr>
              <w:ind w:left="40"/>
              <w:spacing w:after="0" w:line="142" w:lineRule="exact"/>
              <w:rPr>
                <w:sz w:val="20"/>
                <w:szCs w:val="20"/>
                <w:color w:val="auto"/>
              </w:rPr>
            </w:pPr>
            <w:r>
              <w:rPr>
                <w:rFonts w:ascii="Arial" w:cs="Arial" w:eastAsia="Arial" w:hAnsi="Arial"/>
                <w:sz w:val="10"/>
                <w:szCs w:val="10"/>
                <w:color w:val="auto"/>
              </w:rPr>
              <w:t xml:space="preserve">Others </w:t>
            </w:r>
            <w:r>
              <w:rPr>
                <w:rFonts w:ascii="Arial" w:cs="Arial" w:eastAsia="Arial" w:hAnsi="Arial"/>
                <w:sz w:val="16"/>
                <w:szCs w:val="16"/>
                <w:color w:val="auto"/>
                <w:vertAlign w:val="superscript"/>
              </w:rPr>
              <w:t>(3)</w:t>
            </w:r>
          </w:p>
        </w:tc>
        <w:tc>
          <w:tcPr>
            <w:tcW w:w="1140" w:type="dxa"/>
            <w:vAlign w:val="bottom"/>
            <w:tcBorders>
              <w:bottom w:val="single" w:sz="8" w:color="auto"/>
            </w:tcBorders>
          </w:tcPr>
          <w:p>
            <w:pPr>
              <w:jc w:val="right"/>
              <w:ind w:right="125"/>
              <w:spacing w:after="0"/>
              <w:rPr>
                <w:sz w:val="20"/>
                <w:szCs w:val="20"/>
                <w:color w:val="auto"/>
              </w:rPr>
            </w:pPr>
            <w:r>
              <w:rPr>
                <w:rFonts w:ascii="Arial" w:cs="Arial" w:eastAsia="Arial" w:hAnsi="Arial"/>
                <w:sz w:val="11"/>
                <w:szCs w:val="11"/>
                <w:color w:val="auto"/>
              </w:rPr>
              <w:t>347,627</w:t>
            </w:r>
          </w:p>
        </w:tc>
        <w:tc>
          <w:tcPr>
            <w:tcW w:w="1040" w:type="dxa"/>
            <w:vAlign w:val="bottom"/>
            <w:tcBorders>
              <w:bottom w:val="single" w:sz="8" w:color="auto"/>
            </w:tcBorders>
          </w:tcPr>
          <w:p>
            <w:pPr>
              <w:jc w:val="right"/>
              <w:ind w:right="145"/>
              <w:spacing w:after="0"/>
              <w:rPr>
                <w:sz w:val="20"/>
                <w:szCs w:val="20"/>
                <w:color w:val="auto"/>
              </w:rPr>
            </w:pPr>
            <w:r>
              <w:rPr>
                <w:rFonts w:ascii="Arial" w:cs="Arial" w:eastAsia="Arial" w:hAnsi="Arial"/>
                <w:sz w:val="11"/>
                <w:szCs w:val="11"/>
                <w:color w:val="auto"/>
              </w:rPr>
              <w:t>349,964</w:t>
            </w:r>
          </w:p>
        </w:tc>
        <w:tc>
          <w:tcPr>
            <w:tcW w:w="860" w:type="dxa"/>
            <w:vAlign w:val="bottom"/>
            <w:tcBorders>
              <w:bottom w:val="single" w:sz="8" w:color="auto"/>
              <w:right w:val="single" w:sz="8" w:color="auto"/>
            </w:tcBorders>
          </w:tcPr>
          <w:p>
            <w:pPr>
              <w:jc w:val="right"/>
              <w:ind w:right="5"/>
              <w:spacing w:after="0"/>
              <w:rPr>
                <w:sz w:val="20"/>
                <w:szCs w:val="20"/>
                <w:color w:val="auto"/>
              </w:rPr>
            </w:pPr>
            <w:r>
              <w:rPr>
                <w:rFonts w:ascii="Arial" w:cs="Arial" w:eastAsia="Arial" w:hAnsi="Arial"/>
                <w:sz w:val="11"/>
                <w:szCs w:val="11"/>
                <w:color w:val="auto"/>
              </w:rPr>
              <w:t>383,391</w:t>
            </w:r>
          </w:p>
        </w:tc>
        <w:tc>
          <w:tcPr>
            <w:tcW w:w="700" w:type="dxa"/>
            <w:vAlign w:val="bottom"/>
            <w:tcBorders>
              <w:bottom w:val="single" w:sz="8" w:color="auto"/>
            </w:tcBorders>
          </w:tcPr>
          <w:p>
            <w:pPr>
              <w:jc w:val="center"/>
              <w:ind w:left="225"/>
              <w:spacing w:after="0"/>
              <w:rPr>
                <w:sz w:val="20"/>
                <w:szCs w:val="20"/>
                <w:color w:val="auto"/>
              </w:rPr>
            </w:pPr>
            <w:r>
              <w:rPr>
                <w:rFonts w:ascii="Arial" w:cs="Arial" w:eastAsia="Arial" w:hAnsi="Arial"/>
                <w:sz w:val="11"/>
                <w:szCs w:val="11"/>
                <w:color w:val="auto"/>
              </w:rPr>
              <w:t>9.6%</w:t>
            </w:r>
          </w:p>
        </w:tc>
        <w:tc>
          <w:tcPr>
            <w:tcW w:w="1320" w:type="dxa"/>
            <w:vAlign w:val="bottom"/>
            <w:tcBorders>
              <w:bottom w:val="single" w:sz="8" w:color="auto"/>
              <w:right w:val="single" w:sz="8" w:color="auto"/>
            </w:tcBorders>
          </w:tcPr>
          <w:p>
            <w:pPr>
              <w:jc w:val="center"/>
              <w:ind w:left="225"/>
              <w:spacing w:after="0"/>
              <w:rPr>
                <w:sz w:val="20"/>
                <w:szCs w:val="20"/>
                <w:color w:val="auto"/>
              </w:rPr>
            </w:pPr>
            <w:r>
              <w:rPr>
                <w:rFonts w:ascii="Arial" w:cs="Arial" w:eastAsia="Arial" w:hAnsi="Arial"/>
                <w:sz w:val="11"/>
                <w:szCs w:val="11"/>
                <w:color w:val="auto"/>
              </w:rPr>
              <w:t>10.3%</w:t>
            </w:r>
          </w:p>
        </w:tc>
        <w:tc>
          <w:tcPr>
            <w:tcW w:w="1260" w:type="dxa"/>
            <w:vAlign w:val="bottom"/>
            <w:tcBorders>
              <w:bottom w:val="single" w:sz="8" w:color="auto"/>
            </w:tcBorders>
          </w:tcPr>
          <w:p>
            <w:pPr>
              <w:jc w:val="right"/>
              <w:ind w:right="225"/>
              <w:spacing w:after="0"/>
              <w:rPr>
                <w:sz w:val="20"/>
                <w:szCs w:val="20"/>
                <w:color w:val="auto"/>
              </w:rPr>
            </w:pPr>
            <w:r>
              <w:rPr>
                <w:rFonts w:ascii="Arial" w:cs="Arial" w:eastAsia="Arial" w:hAnsi="Arial"/>
                <w:sz w:val="11"/>
                <w:szCs w:val="11"/>
                <w:color w:val="auto"/>
              </w:rPr>
              <w:t>688,192</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733,355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6.6%</w:t>
            </w:r>
          </w:p>
        </w:tc>
      </w:tr>
      <w:tr>
        <w:trPr>
          <w:trHeight w:val="114"/>
        </w:trPr>
        <w:tc>
          <w:tcPr>
            <w:tcW w:w="2260" w:type="dxa"/>
            <w:vAlign w:val="bottom"/>
            <w:tcBorders>
              <w:left w:val="single" w:sz="8" w:color="auto"/>
              <w:bottom w:val="single" w:sz="8" w:color="auto"/>
              <w:right w:val="single" w:sz="8" w:color="auto"/>
            </w:tcBorders>
          </w:tcPr>
          <w:p>
            <w:pPr>
              <w:ind w:left="40"/>
              <w:spacing w:after="0" w:line="114" w:lineRule="exact"/>
              <w:rPr>
                <w:sz w:val="20"/>
                <w:szCs w:val="20"/>
                <w:color w:val="auto"/>
              </w:rPr>
            </w:pPr>
            <w:r>
              <w:rPr>
                <w:rFonts w:ascii="Arial" w:cs="Arial" w:eastAsia="Arial" w:hAnsi="Arial"/>
                <w:sz w:val="11"/>
                <w:szCs w:val="11"/>
                <w:b w:val="1"/>
                <w:bCs w:val="1"/>
                <w:color w:val="auto"/>
              </w:rPr>
              <w:t>Total</w:t>
            </w:r>
          </w:p>
        </w:tc>
        <w:tc>
          <w:tcPr>
            <w:tcW w:w="1140" w:type="dxa"/>
            <w:vAlign w:val="bottom"/>
            <w:tcBorders>
              <w:bottom w:val="single" w:sz="8" w:color="auto"/>
            </w:tcBorders>
          </w:tcPr>
          <w:p>
            <w:pPr>
              <w:jc w:val="right"/>
              <w:ind w:right="125"/>
              <w:spacing w:after="0" w:line="114" w:lineRule="exact"/>
              <w:rPr>
                <w:sz w:val="20"/>
                <w:szCs w:val="20"/>
                <w:color w:val="auto"/>
              </w:rPr>
            </w:pPr>
            <w:r>
              <w:rPr>
                <w:rFonts w:ascii="Arial" w:cs="Arial" w:eastAsia="Arial" w:hAnsi="Arial"/>
                <w:sz w:val="11"/>
                <w:szCs w:val="11"/>
                <w:b w:val="1"/>
                <w:bCs w:val="1"/>
                <w:color w:val="auto"/>
              </w:rPr>
              <w:t>2,103,072</w:t>
            </w:r>
          </w:p>
        </w:tc>
        <w:tc>
          <w:tcPr>
            <w:tcW w:w="1040" w:type="dxa"/>
            <w:vAlign w:val="bottom"/>
            <w:tcBorders>
              <w:bottom w:val="single" w:sz="8" w:color="auto"/>
            </w:tcBorders>
          </w:tcPr>
          <w:p>
            <w:pPr>
              <w:jc w:val="right"/>
              <w:ind w:right="145"/>
              <w:spacing w:after="0" w:line="114" w:lineRule="exact"/>
              <w:rPr>
                <w:sz w:val="20"/>
                <w:szCs w:val="20"/>
                <w:color w:val="auto"/>
              </w:rPr>
            </w:pPr>
            <w:r>
              <w:rPr>
                <w:rFonts w:ascii="Arial" w:cs="Arial" w:eastAsia="Arial" w:hAnsi="Arial"/>
                <w:sz w:val="11"/>
                <w:szCs w:val="11"/>
                <w:b w:val="1"/>
                <w:bCs w:val="1"/>
                <w:color w:val="auto"/>
              </w:rPr>
              <w:t>2,179,645</w:t>
            </w:r>
          </w:p>
        </w:tc>
        <w:tc>
          <w:tcPr>
            <w:tcW w:w="860" w:type="dxa"/>
            <w:vAlign w:val="bottom"/>
            <w:tcBorders>
              <w:bottom w:val="single" w:sz="8" w:color="auto"/>
              <w:right w:val="single" w:sz="8" w:color="auto"/>
            </w:tcBorders>
          </w:tcPr>
          <w:p>
            <w:pPr>
              <w:jc w:val="right"/>
              <w:ind w:right="5"/>
              <w:spacing w:after="0" w:line="114" w:lineRule="exact"/>
              <w:rPr>
                <w:sz w:val="20"/>
                <w:szCs w:val="20"/>
                <w:color w:val="auto"/>
              </w:rPr>
            </w:pPr>
            <w:r>
              <w:rPr>
                <w:rFonts w:ascii="Arial" w:cs="Arial" w:eastAsia="Arial" w:hAnsi="Arial"/>
                <w:sz w:val="11"/>
                <w:szCs w:val="11"/>
                <w:b w:val="1"/>
                <w:bCs w:val="1"/>
                <w:color w:val="auto"/>
              </w:rPr>
              <w:t>2,340,934</w:t>
            </w:r>
          </w:p>
        </w:tc>
        <w:tc>
          <w:tcPr>
            <w:tcW w:w="700" w:type="dxa"/>
            <w:vAlign w:val="bottom"/>
            <w:tcBorders>
              <w:bottom w:val="single" w:sz="8" w:color="auto"/>
            </w:tcBorders>
          </w:tcPr>
          <w:p>
            <w:pPr>
              <w:jc w:val="center"/>
              <w:ind w:left="225"/>
              <w:spacing w:after="0" w:line="114" w:lineRule="exact"/>
              <w:rPr>
                <w:sz w:val="20"/>
                <w:szCs w:val="20"/>
                <w:color w:val="auto"/>
              </w:rPr>
            </w:pPr>
            <w:r>
              <w:rPr>
                <w:rFonts w:ascii="Arial" w:cs="Arial" w:eastAsia="Arial" w:hAnsi="Arial"/>
                <w:sz w:val="11"/>
                <w:szCs w:val="11"/>
                <w:b w:val="1"/>
                <w:bCs w:val="1"/>
                <w:color w:val="auto"/>
              </w:rPr>
              <w:t>7.4%</w:t>
            </w:r>
          </w:p>
        </w:tc>
        <w:tc>
          <w:tcPr>
            <w:tcW w:w="1320" w:type="dxa"/>
            <w:vAlign w:val="bottom"/>
            <w:tcBorders>
              <w:bottom w:val="single" w:sz="8" w:color="auto"/>
              <w:right w:val="single" w:sz="8" w:color="auto"/>
            </w:tcBorders>
          </w:tcPr>
          <w:p>
            <w:pPr>
              <w:jc w:val="center"/>
              <w:ind w:left="225"/>
              <w:spacing w:after="0" w:line="114" w:lineRule="exact"/>
              <w:rPr>
                <w:sz w:val="20"/>
                <w:szCs w:val="20"/>
                <w:color w:val="auto"/>
              </w:rPr>
            </w:pPr>
            <w:r>
              <w:rPr>
                <w:rFonts w:ascii="Arial" w:cs="Arial" w:eastAsia="Arial" w:hAnsi="Arial"/>
                <w:sz w:val="11"/>
                <w:szCs w:val="11"/>
                <w:b w:val="1"/>
                <w:bCs w:val="1"/>
                <w:color w:val="auto"/>
              </w:rPr>
              <w:t>11.3%</w:t>
            </w:r>
          </w:p>
        </w:tc>
        <w:tc>
          <w:tcPr>
            <w:tcW w:w="1260" w:type="dxa"/>
            <w:vAlign w:val="bottom"/>
            <w:tcBorders>
              <w:bottom w:val="single" w:sz="8" w:color="auto"/>
            </w:tcBorders>
          </w:tcPr>
          <w:p>
            <w:pPr>
              <w:jc w:val="right"/>
              <w:ind w:right="225"/>
              <w:spacing w:after="0" w:line="114" w:lineRule="exact"/>
              <w:rPr>
                <w:sz w:val="20"/>
                <w:szCs w:val="20"/>
                <w:color w:val="auto"/>
              </w:rPr>
            </w:pPr>
            <w:r>
              <w:rPr>
                <w:rFonts w:ascii="Arial" w:cs="Arial" w:eastAsia="Arial" w:hAnsi="Arial"/>
                <w:sz w:val="11"/>
                <w:szCs w:val="11"/>
                <w:b w:val="1"/>
                <w:bCs w:val="1"/>
                <w:color w:val="auto"/>
              </w:rPr>
              <w:t>4,141,381</w:t>
            </w:r>
          </w:p>
        </w:tc>
        <w:tc>
          <w:tcPr>
            <w:tcW w:w="780" w:type="dxa"/>
            <w:vAlign w:val="bottom"/>
            <w:tcBorders>
              <w:bottom w:val="single" w:sz="8" w:color="auto"/>
              <w:right w:val="single" w:sz="8" w:color="auto"/>
            </w:tcBorders>
          </w:tcPr>
          <w:p>
            <w:pPr>
              <w:jc w:val="right"/>
              <w:spacing w:after="0" w:line="114" w:lineRule="exact"/>
              <w:rPr>
                <w:sz w:val="20"/>
                <w:szCs w:val="20"/>
                <w:color w:val="auto"/>
              </w:rPr>
            </w:pPr>
            <w:r>
              <w:rPr>
                <w:rFonts w:ascii="Arial" w:cs="Arial" w:eastAsia="Arial" w:hAnsi="Arial"/>
                <w:sz w:val="11"/>
                <w:szCs w:val="11"/>
                <w:b w:val="1"/>
                <w:bCs w:val="1"/>
                <w:color w:val="auto"/>
              </w:rPr>
              <w:t>4,520,579</w:t>
            </w:r>
          </w:p>
        </w:tc>
        <w:tc>
          <w:tcPr>
            <w:tcW w:w="1020" w:type="dxa"/>
            <w:vAlign w:val="bottom"/>
            <w:tcBorders>
              <w:bottom w:val="single" w:sz="8" w:color="auto"/>
              <w:right w:val="single" w:sz="8" w:color="auto"/>
            </w:tcBorders>
          </w:tcPr>
          <w:p>
            <w:pPr>
              <w:jc w:val="center"/>
              <w:spacing w:after="0" w:line="114" w:lineRule="exact"/>
              <w:rPr>
                <w:sz w:val="20"/>
                <w:szCs w:val="20"/>
                <w:color w:val="auto"/>
              </w:rPr>
            </w:pPr>
            <w:r>
              <w:rPr>
                <w:rFonts w:ascii="Arial" w:cs="Arial" w:eastAsia="Arial" w:hAnsi="Arial"/>
                <w:sz w:val="11"/>
                <w:szCs w:val="11"/>
                <w:b w:val="1"/>
                <w:bCs w:val="1"/>
                <w:color w:val="auto"/>
                <w:w w:val="95"/>
              </w:rPr>
              <w:t>9.2%</w:t>
            </w:r>
          </w:p>
        </w:tc>
      </w:tr>
    </w:tbl>
    <w:p>
      <w:pPr>
        <w:spacing w:after="0" w:line="4" w:lineRule="exact"/>
        <w:rPr>
          <w:sz w:val="20"/>
          <w:szCs w:val="20"/>
          <w:color w:val="auto"/>
        </w:rPr>
      </w:pPr>
    </w:p>
    <w:p>
      <w:pPr>
        <w:ind w:left="280" w:hanging="138"/>
        <w:spacing w:after="0"/>
        <w:tabs>
          <w:tab w:leader="none" w:pos="280" w:val="left"/>
        </w:tabs>
        <w:numPr>
          <w:ilvl w:val="0"/>
          <w:numId w:val="41"/>
        </w:numPr>
        <w:rPr>
          <w:rFonts w:ascii="Arial" w:cs="Arial" w:eastAsia="Arial" w:hAnsi="Arial"/>
          <w:sz w:val="10"/>
          <w:szCs w:val="10"/>
          <w:color w:val="auto"/>
        </w:rPr>
      </w:pPr>
      <w:r>
        <w:rPr>
          <w:rFonts w:ascii="Arial" w:cs="Arial" w:eastAsia="Arial" w:hAnsi="Arial"/>
          <w:sz w:val="10"/>
          <w:szCs w:val="10"/>
          <w:color w:val="auto"/>
        </w:rPr>
        <w:t>Management figures.</w:t>
      </w:r>
    </w:p>
    <w:p>
      <w:pPr>
        <w:ind w:left="280" w:hanging="138"/>
        <w:spacing w:after="0" w:line="214" w:lineRule="auto"/>
        <w:tabs>
          <w:tab w:leader="none" w:pos="280" w:val="left"/>
        </w:tabs>
        <w:numPr>
          <w:ilvl w:val="0"/>
          <w:numId w:val="41"/>
        </w:numPr>
        <w:rPr>
          <w:rFonts w:ascii="Arial" w:cs="Arial" w:eastAsia="Arial" w:hAnsi="Arial"/>
          <w:sz w:val="10"/>
          <w:szCs w:val="10"/>
          <w:color w:val="auto"/>
        </w:rPr>
      </w:pPr>
      <w:r>
        <w:rPr>
          <w:rFonts w:ascii="Arial" w:cs="Arial" w:eastAsia="Arial" w:hAnsi="Arial"/>
          <w:sz w:val="10"/>
          <w:szCs w:val="10"/>
          <w:color w:val="auto"/>
        </w:rPr>
        <w:t>Includes disruptive initiatives at the subsidiaries and Krealo.</w:t>
      </w:r>
    </w:p>
    <w:p>
      <w:pPr>
        <w:ind w:left="280" w:hanging="138"/>
        <w:spacing w:after="0"/>
        <w:tabs>
          <w:tab w:leader="none" w:pos="280" w:val="left"/>
        </w:tabs>
        <w:numPr>
          <w:ilvl w:val="0"/>
          <w:numId w:val="41"/>
        </w:numPr>
        <w:rPr>
          <w:rFonts w:ascii="Arial" w:cs="Arial" w:eastAsia="Arial" w:hAnsi="Arial"/>
          <w:sz w:val="10"/>
          <w:szCs w:val="10"/>
          <w:color w:val="auto"/>
        </w:rPr>
      </w:pPr>
      <w:r>
        <w:rPr>
          <w:rFonts w:ascii="Arial" w:cs="Arial" w:eastAsia="Arial" w:hAnsi="Arial"/>
          <w:sz w:val="10"/>
          <w:szCs w:val="10"/>
          <w:color w:val="auto"/>
        </w:rPr>
        <w:t>Includes Credicorp Capital, ASB, Prima, BCP Bolivia, Mibanco Colombia, and other entities within the Group.</w:t>
      </w:r>
    </w:p>
    <w:p>
      <w:pPr>
        <w:spacing w:after="0" w:line="134" w:lineRule="exact"/>
        <w:rPr>
          <w:sz w:val="20"/>
          <w:szCs w:val="20"/>
          <w:color w:val="auto"/>
        </w:rPr>
      </w:pPr>
    </w:p>
    <w:p>
      <w:pPr>
        <w:ind w:left="160"/>
        <w:spacing w:after="0"/>
        <w:rPr>
          <w:sz w:val="20"/>
          <w:szCs w:val="20"/>
          <w:color w:val="auto"/>
        </w:rPr>
      </w:pPr>
      <w:r>
        <w:rPr>
          <w:rFonts w:ascii="Arial" w:cs="Arial" w:eastAsia="Arial" w:hAnsi="Arial"/>
          <w:sz w:val="14"/>
          <w:szCs w:val="14"/>
          <w:color w:val="auto"/>
        </w:rPr>
        <w:t>BCP’s core business accounted for 52.1% of the 9.2% YTD increase in operating expenses, and disruptive initiatives, 31.6%.</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The increase in expenses through core businesses at BCP was driven by:</w:t>
      </w:r>
    </w:p>
    <w:p>
      <w:pPr>
        <w:spacing w:after="0" w:line="146" w:lineRule="exact"/>
        <w:rPr>
          <w:sz w:val="20"/>
          <w:szCs w:val="20"/>
          <w:color w:val="auto"/>
        </w:rPr>
      </w:pPr>
    </w:p>
    <w:p>
      <w:pPr>
        <w:ind w:left="640" w:hanging="237"/>
        <w:spacing w:after="0"/>
        <w:tabs>
          <w:tab w:leader="none" w:pos="640"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auto"/>
        </w:rPr>
        <w:t>Core business expenses excluding IT</w:t>
      </w:r>
    </w:p>
    <w:p>
      <w:pPr>
        <w:spacing w:after="0" w:line="7" w:lineRule="exact"/>
        <w:rPr>
          <w:rFonts w:ascii="Arial" w:cs="Arial" w:eastAsia="Arial" w:hAnsi="Arial"/>
          <w:sz w:val="14"/>
          <w:szCs w:val="14"/>
          <w:b w:val="1"/>
          <w:bCs w:val="1"/>
          <w:color w:val="auto"/>
        </w:rPr>
      </w:pPr>
    </w:p>
    <w:p>
      <w:pPr>
        <w:ind w:left="1140" w:hanging="243"/>
        <w:spacing w:after="0" w:line="230" w:lineRule="auto"/>
        <w:tabs>
          <w:tab w:leader="none" w:pos="1140" w:val="left"/>
        </w:tabs>
        <w:numPr>
          <w:ilvl w:val="1"/>
          <w:numId w:val="42"/>
        </w:numPr>
        <w:rPr>
          <w:rFonts w:ascii="Arial" w:cs="Arial" w:eastAsia="Arial" w:hAnsi="Arial"/>
          <w:sz w:val="14"/>
          <w:szCs w:val="14"/>
          <w:color w:val="auto"/>
        </w:rPr>
      </w:pPr>
      <w:r>
        <w:rPr>
          <w:rFonts w:ascii="Arial" w:cs="Arial" w:eastAsia="Arial" w:hAnsi="Arial"/>
          <w:sz w:val="14"/>
          <w:szCs w:val="14"/>
          <w:color w:val="auto"/>
        </w:rPr>
        <w:t>Growth in Salaries and employee benefits, which reflected an increase in headcount to cover vacancies.</w:t>
      </w:r>
    </w:p>
    <w:p>
      <w:pPr>
        <w:ind w:left="640" w:hanging="237"/>
        <w:spacing w:after="0" w:line="230" w:lineRule="auto"/>
        <w:tabs>
          <w:tab w:leader="none" w:pos="640"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auto"/>
        </w:rPr>
        <w:t>Technology expenses (IT)</w:t>
      </w:r>
    </w:p>
    <w:p>
      <w:pPr>
        <w:jc w:val="both"/>
        <w:ind w:left="1140" w:right="40" w:hanging="243"/>
        <w:spacing w:after="0" w:line="229" w:lineRule="auto"/>
        <w:tabs>
          <w:tab w:leader="none" w:pos="1167" w:val="left"/>
        </w:tabs>
        <w:numPr>
          <w:ilvl w:val="1"/>
          <w:numId w:val="42"/>
        </w:numPr>
        <w:rPr>
          <w:rFonts w:ascii="Arial" w:cs="Arial" w:eastAsia="Arial" w:hAnsi="Arial"/>
          <w:sz w:val="14"/>
          <w:szCs w:val="14"/>
          <w:color w:val="auto"/>
        </w:rPr>
      </w:pPr>
      <w:r>
        <w:rPr>
          <w:rFonts w:ascii="Arial" w:cs="Arial" w:eastAsia="Arial" w:hAnsi="Arial"/>
          <w:sz w:val="14"/>
          <w:szCs w:val="14"/>
          <w:color w:val="auto"/>
        </w:rPr>
        <w:t>An increase in expenses for server use, in line with growth in the transaction volume, which was driven upward by an increase in transactions through digital channels in an increasingly digitalized client base. Total monetary transactions and transactions through digital channels grew 90.8% and 116.9%, respectively.</w:t>
      </w:r>
    </w:p>
    <w:p>
      <w:pPr>
        <w:spacing w:after="0" w:line="2" w:lineRule="exact"/>
        <w:rPr>
          <w:rFonts w:ascii="Arial" w:cs="Arial" w:eastAsia="Arial" w:hAnsi="Arial"/>
          <w:sz w:val="14"/>
          <w:szCs w:val="14"/>
          <w:color w:val="auto"/>
        </w:rPr>
      </w:pPr>
    </w:p>
    <w:p>
      <w:pPr>
        <w:ind w:left="1140" w:hanging="243"/>
        <w:spacing w:after="0" w:line="230" w:lineRule="auto"/>
        <w:tabs>
          <w:tab w:leader="none" w:pos="1140" w:val="left"/>
        </w:tabs>
        <w:numPr>
          <w:ilvl w:val="1"/>
          <w:numId w:val="42"/>
        </w:numPr>
        <w:rPr>
          <w:rFonts w:ascii="Arial" w:cs="Arial" w:eastAsia="Arial" w:hAnsi="Arial"/>
          <w:sz w:val="14"/>
          <w:szCs w:val="14"/>
          <w:color w:val="auto"/>
        </w:rPr>
      </w:pPr>
      <w:r>
        <w:rPr>
          <w:rFonts w:ascii="Arial" w:cs="Arial" w:eastAsia="Arial" w:hAnsi="Arial"/>
          <w:sz w:val="14"/>
          <w:szCs w:val="14"/>
          <w:color w:val="auto"/>
        </w:rPr>
        <w:t>More specialized personnel with digital capacities were employed with higher average salaries.</w:t>
      </w:r>
    </w:p>
    <w:p>
      <w:pPr>
        <w:ind w:left="1140" w:hanging="243"/>
        <w:spacing w:after="0"/>
        <w:tabs>
          <w:tab w:leader="none" w:pos="1140" w:val="left"/>
        </w:tabs>
        <w:numPr>
          <w:ilvl w:val="1"/>
          <w:numId w:val="42"/>
        </w:numPr>
        <w:rPr>
          <w:rFonts w:ascii="Arial" w:cs="Arial" w:eastAsia="Arial" w:hAnsi="Arial"/>
          <w:sz w:val="14"/>
          <w:szCs w:val="14"/>
          <w:color w:val="auto"/>
        </w:rPr>
      </w:pPr>
      <w:r>
        <w:rPr>
          <w:rFonts w:ascii="Arial" w:cs="Arial" w:eastAsia="Arial" w:hAnsi="Arial"/>
          <w:sz w:val="14"/>
          <w:szCs w:val="14"/>
          <w:color w:val="auto"/>
        </w:rPr>
        <w:t>Expenses related to project discontinuation.</w:t>
      </w:r>
    </w:p>
    <w:p>
      <w:pPr>
        <w:spacing w:after="0" w:line="136" w:lineRule="exact"/>
        <w:rPr>
          <w:sz w:val="20"/>
          <w:szCs w:val="20"/>
          <w:color w:val="auto"/>
        </w:rPr>
      </w:pPr>
    </w:p>
    <w:p>
      <w:pPr>
        <w:jc w:val="both"/>
        <w:ind w:left="160" w:right="60"/>
        <w:spacing w:after="0" w:line="244" w:lineRule="auto"/>
        <w:rPr>
          <w:sz w:val="20"/>
          <w:szCs w:val="20"/>
          <w:color w:val="auto"/>
        </w:rPr>
      </w:pPr>
      <w:r>
        <w:rPr>
          <w:rFonts w:ascii="Arial" w:cs="Arial" w:eastAsia="Arial" w:hAnsi="Arial"/>
          <w:sz w:val="14"/>
          <w:szCs w:val="14"/>
          <w:color w:val="auto"/>
        </w:rPr>
        <w:t>Disruption expenses accounted for 11.7% of total expenses and rose 29.2% in the first half of 2024. These expenses correspond primarily to disruptive initiatives such as Yape, where an uptick in transactionality and new product development generated IT- related expenses. At the end of 2Q24, Yape, Tenpo and Culqi were the primary contributors to expenses and represented 66% of total expenses for disruptive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617220</wp:posOffset>
            </wp:positionV>
            <wp:extent cx="7164705" cy="133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-213995</wp:posOffset>
            </wp:positionH>
            <wp:positionV relativeFrom="paragraph">
              <wp:posOffset>88265</wp:posOffset>
            </wp:positionV>
            <wp:extent cx="1502410" cy="4438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231775</wp:posOffset>
            </wp:positionV>
            <wp:extent cx="1750695" cy="3003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50695" cy="300355"/>
                    </a:xfrm>
                    <a:prstGeom prst="rect">
                      <a:avLst/>
                    </a:prstGeom>
                    <a:noFill/>
                  </pic:spPr>
                </pic:pic>
              </a:graphicData>
            </a:graphic>
          </wp:anchor>
        </w:drawing>
      </w:r>
    </w:p>
    <w:p>
      <w:pPr>
        <w:sectPr>
          <w:pgSz w:w="11900" w:h="16838" w:orient="portrait"/>
          <w:cols w:equalWidth="0" w:num="1">
            <w:col w:w="10500"/>
          </w:cols>
          <w:pgMar w:left="640" w:top="287" w:right="759" w:bottom="1440" w:gutter="0" w:footer="0" w:header="0"/>
        </w:sectPr>
      </w:pPr>
    </w:p>
    <w:bookmarkStart w:id="41" w:name="page42"/>
    <w:bookmarkEnd w:id="41"/>
    <w:p>
      <w:pPr>
        <w:ind w:left="2480"/>
        <w:spacing w:after="0"/>
        <w:tabs>
          <w:tab w:leader="none" w:pos="2680" w:val="left"/>
          <w:tab w:leader="none" w:pos="7680"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3657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4705" cy="365760"/>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E93BAC"/>
        </w:rPr>
        <w:t xml:space="preserve">09 </w:t>
      </w:r>
      <w:r>
        <w:rPr>
          <w:rFonts w:ascii="Arial" w:cs="Arial" w:eastAsia="Arial" w:hAnsi="Arial"/>
          <w:sz w:val="24"/>
          <w:szCs w:val="24"/>
          <w:color w:val="E93BAC"/>
        </w:rPr>
        <w:t>Operating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118745</wp:posOffset>
            </wp:positionV>
            <wp:extent cx="6877685" cy="398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77685" cy="398145"/>
                    </a:xfrm>
                    <a:prstGeom prst="rect">
                      <a:avLst/>
                    </a:prstGeom>
                    <a:noFill/>
                  </pic:spPr>
                </pic:pic>
              </a:graphicData>
            </a:graphic>
          </wp:anchor>
        </w:drawing>
      </w:r>
    </w:p>
    <w:p>
      <w:pPr>
        <w:spacing w:after="0" w:line="236" w:lineRule="exact"/>
        <w:rPr>
          <w:sz w:val="20"/>
          <w:szCs w:val="20"/>
          <w:color w:val="auto"/>
        </w:rPr>
      </w:pPr>
    </w:p>
    <w:p>
      <w:pPr>
        <w:jc w:val="both"/>
        <w:ind w:left="80" w:right="80"/>
        <w:spacing w:after="0" w:line="244" w:lineRule="auto"/>
        <w:rPr>
          <w:sz w:val="20"/>
          <w:szCs w:val="20"/>
          <w:color w:val="auto"/>
        </w:rPr>
      </w:pPr>
      <w:r>
        <w:rPr>
          <w:rFonts w:ascii="Arial" w:cs="Arial" w:eastAsia="Arial" w:hAnsi="Arial"/>
          <w:sz w:val="14"/>
          <w:szCs w:val="14"/>
          <w:color w:val="FFFFFF"/>
        </w:rPr>
        <w:t>The efficiency ratio improved 19 bps YTD. Improvement this quarter reflects the fact that the increase in income outpaced the growth generated in expenses. This evolution was fueled by an uptick in core income, which was driven by a rise in net interest income via an improvement in the loan mix and by an increase in fee income, which was spearheaded by Yape.</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Efficiency ratio </w:t>
      </w:r>
      <w:r>
        <w:rPr>
          <w:rFonts w:ascii="Arial" w:cs="Arial" w:eastAsia="Arial" w:hAnsi="Arial"/>
          <w:sz w:val="22"/>
          <w:szCs w:val="22"/>
          <w:b w:val="1"/>
          <w:bCs w:val="1"/>
          <w:color w:val="auto"/>
          <w:vertAlign w:val="superscript"/>
        </w:rPr>
        <w:t>(1)</w:t>
      </w:r>
      <w:r>
        <w:rPr>
          <w:rFonts w:ascii="Arial" w:cs="Arial" w:eastAsia="Arial" w:hAnsi="Arial"/>
          <w:sz w:val="14"/>
          <w:szCs w:val="14"/>
          <w:b w:val="1"/>
          <w:bCs w:val="1"/>
          <w:color w:val="auto"/>
        </w:rPr>
        <w:t xml:space="preserve"> reported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6877685" cy="8489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77685" cy="8489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8"/>
        </w:trPr>
        <w:tc>
          <w:tcPr>
            <w:tcW w:w="1640" w:type="dxa"/>
            <w:vAlign w:val="bottom"/>
            <w:shd w:val="clear" w:color="auto" w:fill="2AD2C8"/>
          </w:tcPr>
          <w:p>
            <w:pPr>
              <w:ind w:left="520"/>
              <w:spacing w:after="0"/>
              <w:rPr>
                <w:sz w:val="20"/>
                <w:szCs w:val="20"/>
                <w:color w:val="auto"/>
              </w:rPr>
            </w:pPr>
            <w:r>
              <w:rPr>
                <w:rFonts w:ascii="Arial" w:cs="Arial" w:eastAsia="Arial" w:hAnsi="Arial"/>
                <w:sz w:val="12"/>
                <w:szCs w:val="12"/>
                <w:b w:val="1"/>
                <w:bCs w:val="1"/>
                <w:color w:val="FFFFFF"/>
              </w:rPr>
              <w:t>Subsidiary</w:t>
            </w:r>
          </w:p>
        </w:tc>
        <w:tc>
          <w:tcPr>
            <w:tcW w:w="1060" w:type="dxa"/>
            <w:vAlign w:val="bottom"/>
            <w:shd w:val="clear" w:color="auto" w:fill="2AD2C8"/>
          </w:tcPr>
          <w:p>
            <w:pPr>
              <w:spacing w:after="0"/>
              <w:rPr>
                <w:sz w:val="12"/>
                <w:szCs w:val="12"/>
                <w:color w:val="auto"/>
              </w:rPr>
            </w:pPr>
          </w:p>
        </w:tc>
        <w:tc>
          <w:tcPr>
            <w:tcW w:w="1140" w:type="dxa"/>
            <w:vAlign w:val="bottom"/>
            <w:shd w:val="clear" w:color="auto" w:fill="2AD2C8"/>
          </w:tcPr>
          <w:p>
            <w:pPr>
              <w:ind w:left="340"/>
              <w:spacing w:after="0"/>
              <w:rPr>
                <w:sz w:val="20"/>
                <w:szCs w:val="20"/>
                <w:color w:val="auto"/>
              </w:rPr>
            </w:pPr>
            <w:r>
              <w:rPr>
                <w:rFonts w:ascii="Arial" w:cs="Arial" w:eastAsia="Arial" w:hAnsi="Arial"/>
                <w:sz w:val="12"/>
                <w:szCs w:val="12"/>
                <w:b w:val="1"/>
                <w:bCs w:val="1"/>
                <w:color w:val="FFFFFF"/>
              </w:rPr>
              <w:t>Quarter</w:t>
            </w:r>
          </w:p>
        </w:tc>
        <w:tc>
          <w:tcPr>
            <w:tcW w:w="1020" w:type="dxa"/>
            <w:vAlign w:val="bottom"/>
            <w:shd w:val="clear" w:color="auto" w:fill="2AD2C8"/>
          </w:tcPr>
          <w:p>
            <w:pPr>
              <w:spacing w:after="0"/>
              <w:rPr>
                <w:sz w:val="12"/>
                <w:szCs w:val="12"/>
                <w:color w:val="auto"/>
              </w:rPr>
            </w:pPr>
          </w:p>
        </w:tc>
        <w:tc>
          <w:tcPr>
            <w:tcW w:w="820" w:type="dxa"/>
            <w:vAlign w:val="bottom"/>
            <w:shd w:val="clear" w:color="auto" w:fill="2AD2C8"/>
          </w:tcPr>
          <w:p>
            <w:pPr>
              <w:spacing w:after="0"/>
              <w:rPr>
                <w:sz w:val="12"/>
                <w:szCs w:val="12"/>
                <w:color w:val="auto"/>
              </w:rPr>
            </w:pPr>
          </w:p>
        </w:tc>
        <w:tc>
          <w:tcPr>
            <w:tcW w:w="1420" w:type="dxa"/>
            <w:vAlign w:val="bottom"/>
            <w:shd w:val="clear" w:color="auto" w:fill="2AD2C8"/>
          </w:tcPr>
          <w:p>
            <w:pPr>
              <w:ind w:left="20"/>
              <w:spacing w:after="0"/>
              <w:rPr>
                <w:sz w:val="20"/>
                <w:szCs w:val="20"/>
                <w:color w:val="auto"/>
              </w:rPr>
            </w:pPr>
            <w:r>
              <w:rPr>
                <w:rFonts w:ascii="Arial" w:cs="Arial" w:eastAsia="Arial" w:hAnsi="Arial"/>
                <w:sz w:val="12"/>
                <w:szCs w:val="12"/>
                <w:b w:val="1"/>
                <w:bCs w:val="1"/>
                <w:color w:val="FFFFFF"/>
              </w:rPr>
              <w:t>% change</w:t>
            </w:r>
          </w:p>
        </w:tc>
        <w:tc>
          <w:tcPr>
            <w:tcW w:w="780" w:type="dxa"/>
            <w:vAlign w:val="bottom"/>
            <w:shd w:val="clear" w:color="auto" w:fill="2AD2C8"/>
          </w:tcPr>
          <w:p>
            <w:pPr>
              <w:spacing w:after="0"/>
              <w:rPr>
                <w:sz w:val="12"/>
                <w:szCs w:val="12"/>
                <w:color w:val="auto"/>
              </w:rPr>
            </w:pPr>
          </w:p>
        </w:tc>
        <w:tc>
          <w:tcPr>
            <w:tcW w:w="1380" w:type="dxa"/>
            <w:vAlign w:val="bottom"/>
            <w:shd w:val="clear" w:color="auto" w:fill="2AD2C8"/>
          </w:tcPr>
          <w:p>
            <w:pPr>
              <w:ind w:left="100"/>
              <w:spacing w:after="0"/>
              <w:rPr>
                <w:sz w:val="20"/>
                <w:szCs w:val="20"/>
                <w:color w:val="auto"/>
              </w:rPr>
            </w:pPr>
            <w:r>
              <w:rPr>
                <w:rFonts w:ascii="Arial" w:cs="Arial" w:eastAsia="Arial" w:hAnsi="Arial"/>
                <w:sz w:val="12"/>
                <w:szCs w:val="12"/>
                <w:b w:val="1"/>
                <w:bCs w:val="1"/>
                <w:color w:val="FFFFFF"/>
              </w:rPr>
              <w:t>Up to</w:t>
            </w:r>
          </w:p>
        </w:tc>
        <w:tc>
          <w:tcPr>
            <w:tcW w:w="1560" w:type="dxa"/>
            <w:vAlign w:val="bottom"/>
            <w:shd w:val="clear" w:color="auto" w:fill="2AD2C8"/>
          </w:tcPr>
          <w:p>
            <w:pPr>
              <w:jc w:val="center"/>
              <w:spacing w:after="0"/>
              <w:rPr>
                <w:sz w:val="20"/>
                <w:szCs w:val="20"/>
                <w:color w:val="auto"/>
              </w:rPr>
            </w:pPr>
            <w:r>
              <w:rPr>
                <w:rFonts w:ascii="Arial" w:cs="Arial" w:eastAsia="Arial" w:hAnsi="Arial"/>
                <w:sz w:val="12"/>
                <w:szCs w:val="12"/>
                <w:b w:val="1"/>
                <w:bCs w:val="1"/>
                <w:color w:val="FFFFFF"/>
              </w:rPr>
              <w:t>% change</w:t>
            </w:r>
          </w:p>
        </w:tc>
        <w:tc>
          <w:tcPr>
            <w:tcW w:w="20" w:type="dxa"/>
            <w:vAlign w:val="bottom"/>
          </w:tcPr>
          <w:p>
            <w:pPr>
              <w:spacing w:after="0"/>
              <w:rPr>
                <w:sz w:val="12"/>
                <w:szCs w:val="12"/>
                <w:color w:val="auto"/>
              </w:rPr>
            </w:pPr>
          </w:p>
        </w:tc>
      </w:tr>
      <w:tr>
        <w:trPr>
          <w:trHeight w:val="144"/>
        </w:trPr>
        <w:tc>
          <w:tcPr>
            <w:tcW w:w="1640" w:type="dxa"/>
            <w:vAlign w:val="bottom"/>
            <w:tcBorders>
              <w:bottom w:val="single" w:sz="8" w:color="auto"/>
            </w:tcBorders>
            <w:shd w:val="clear" w:color="auto" w:fill="2AD2C8"/>
          </w:tcPr>
          <w:p>
            <w:pPr>
              <w:spacing w:after="0"/>
              <w:rPr>
                <w:sz w:val="12"/>
                <w:szCs w:val="12"/>
                <w:color w:val="auto"/>
              </w:rPr>
            </w:pPr>
          </w:p>
        </w:tc>
        <w:tc>
          <w:tcPr>
            <w:tcW w:w="106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2"/>
                <w:szCs w:val="12"/>
                <w:b w:val="1"/>
                <w:bCs w:val="1"/>
                <w:color w:val="FFFFFF"/>
              </w:rPr>
              <w:t>2Q23</w:t>
            </w:r>
          </w:p>
        </w:tc>
        <w:tc>
          <w:tcPr>
            <w:tcW w:w="114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2"/>
                <w:szCs w:val="12"/>
                <w:b w:val="1"/>
                <w:bCs w:val="1"/>
                <w:color w:val="FFFFFF"/>
              </w:rPr>
              <w:t>1Q24</w:t>
            </w:r>
          </w:p>
        </w:tc>
        <w:tc>
          <w:tcPr>
            <w:tcW w:w="102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2"/>
                <w:szCs w:val="12"/>
                <w:b w:val="1"/>
                <w:bCs w:val="1"/>
                <w:color w:val="FFFFFF"/>
              </w:rPr>
              <w:t>2Q24</w:t>
            </w:r>
          </w:p>
        </w:tc>
        <w:tc>
          <w:tcPr>
            <w:tcW w:w="820" w:type="dxa"/>
            <w:vAlign w:val="bottom"/>
            <w:tcBorders>
              <w:bottom w:val="single" w:sz="8" w:color="auto"/>
            </w:tcBorders>
            <w:shd w:val="clear" w:color="auto" w:fill="2AD2C8"/>
          </w:tcPr>
          <w:p>
            <w:pPr>
              <w:jc w:val="center"/>
              <w:ind w:left="278"/>
              <w:spacing w:after="0"/>
              <w:rPr>
                <w:sz w:val="20"/>
                <w:szCs w:val="20"/>
                <w:color w:val="auto"/>
              </w:rPr>
            </w:pPr>
            <w:r>
              <w:rPr>
                <w:rFonts w:ascii="Arial" w:cs="Arial" w:eastAsia="Arial" w:hAnsi="Arial"/>
                <w:sz w:val="12"/>
                <w:szCs w:val="12"/>
                <w:b w:val="1"/>
                <w:bCs w:val="1"/>
                <w:color w:val="FFFFFF"/>
              </w:rPr>
              <w:t>QoQ</w:t>
            </w:r>
          </w:p>
        </w:tc>
        <w:tc>
          <w:tcPr>
            <w:tcW w:w="1420" w:type="dxa"/>
            <w:vAlign w:val="bottom"/>
            <w:tcBorders>
              <w:bottom w:val="single" w:sz="8" w:color="auto"/>
            </w:tcBorders>
            <w:shd w:val="clear" w:color="auto" w:fill="2AD2C8"/>
          </w:tcPr>
          <w:p>
            <w:pPr>
              <w:jc w:val="center"/>
              <w:ind w:left="198"/>
              <w:spacing w:after="0"/>
              <w:rPr>
                <w:sz w:val="20"/>
                <w:szCs w:val="20"/>
                <w:color w:val="auto"/>
              </w:rPr>
            </w:pPr>
            <w:r>
              <w:rPr>
                <w:rFonts w:ascii="Arial" w:cs="Arial" w:eastAsia="Arial" w:hAnsi="Arial"/>
                <w:sz w:val="12"/>
                <w:szCs w:val="12"/>
                <w:b w:val="1"/>
                <w:bCs w:val="1"/>
                <w:color w:val="FFFFFF"/>
              </w:rPr>
              <w:t>YoY</w:t>
            </w:r>
          </w:p>
        </w:tc>
        <w:tc>
          <w:tcPr>
            <w:tcW w:w="780" w:type="dxa"/>
            <w:vAlign w:val="bottom"/>
            <w:tcBorders>
              <w:bottom w:val="single" w:sz="8" w:color="auto"/>
            </w:tcBorders>
            <w:shd w:val="clear" w:color="auto" w:fill="2AD2C8"/>
          </w:tcPr>
          <w:p>
            <w:pPr>
              <w:jc w:val="center"/>
              <w:ind w:left="158"/>
              <w:spacing w:after="0"/>
              <w:rPr>
                <w:sz w:val="20"/>
                <w:szCs w:val="20"/>
                <w:color w:val="auto"/>
              </w:rPr>
            </w:pPr>
            <w:r>
              <w:rPr>
                <w:rFonts w:ascii="Arial" w:cs="Arial" w:eastAsia="Arial" w:hAnsi="Arial"/>
                <w:sz w:val="12"/>
                <w:szCs w:val="12"/>
                <w:b w:val="1"/>
                <w:bCs w:val="1"/>
                <w:color w:val="FFFFFF"/>
                <w:w w:val="97"/>
              </w:rPr>
              <w:t>1H23</w:t>
            </w:r>
          </w:p>
        </w:tc>
        <w:tc>
          <w:tcPr>
            <w:tcW w:w="1380" w:type="dxa"/>
            <w:vAlign w:val="bottom"/>
            <w:tcBorders>
              <w:bottom w:val="single" w:sz="8" w:color="auto"/>
            </w:tcBorders>
            <w:shd w:val="clear" w:color="auto" w:fill="2AD2C8"/>
          </w:tcPr>
          <w:p>
            <w:pPr>
              <w:jc w:val="center"/>
              <w:ind w:left="138"/>
              <w:spacing w:after="0"/>
              <w:rPr>
                <w:sz w:val="20"/>
                <w:szCs w:val="20"/>
                <w:color w:val="auto"/>
              </w:rPr>
            </w:pPr>
            <w:r>
              <w:rPr>
                <w:rFonts w:ascii="Arial" w:cs="Arial" w:eastAsia="Arial" w:hAnsi="Arial"/>
                <w:sz w:val="12"/>
                <w:szCs w:val="12"/>
                <w:b w:val="1"/>
                <w:bCs w:val="1"/>
                <w:color w:val="FFFFFF"/>
              </w:rPr>
              <w:t>1H24</w:t>
            </w:r>
          </w:p>
        </w:tc>
        <w:tc>
          <w:tcPr>
            <w:tcW w:w="156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2"/>
                <w:szCs w:val="12"/>
                <w:b w:val="1"/>
                <w:bCs w:val="1"/>
                <w:color w:val="FFFFFF"/>
              </w:rPr>
              <w:t>1H24 / 1H23</w:t>
            </w:r>
          </w:p>
        </w:tc>
        <w:tc>
          <w:tcPr>
            <w:tcW w:w="20" w:type="dxa"/>
            <w:vAlign w:val="bottom"/>
            <w:tcBorders>
              <w:bottom w:val="single" w:sz="8" w:color="auto"/>
            </w:tcBorders>
          </w:tcPr>
          <w:p>
            <w:pPr>
              <w:spacing w:after="0"/>
              <w:rPr>
                <w:sz w:val="12"/>
                <w:szCs w:val="12"/>
                <w:color w:val="auto"/>
              </w:rPr>
            </w:pPr>
          </w:p>
        </w:tc>
      </w:tr>
      <w:tr>
        <w:trPr>
          <w:trHeight w:val="124"/>
        </w:trPr>
        <w:tc>
          <w:tcPr>
            <w:tcW w:w="1640" w:type="dxa"/>
            <w:vAlign w:val="bottom"/>
          </w:tcPr>
          <w:p>
            <w:pPr>
              <w:ind w:left="40"/>
              <w:spacing w:after="0" w:line="124" w:lineRule="exact"/>
              <w:rPr>
                <w:sz w:val="20"/>
                <w:szCs w:val="20"/>
                <w:color w:val="auto"/>
              </w:rPr>
            </w:pPr>
            <w:r>
              <w:rPr>
                <w:rFonts w:ascii="Arial" w:cs="Arial" w:eastAsia="Arial" w:hAnsi="Arial"/>
                <w:sz w:val="12"/>
                <w:szCs w:val="12"/>
                <w:color w:val="auto"/>
              </w:rPr>
              <w:t>BCP</w:t>
            </w:r>
          </w:p>
        </w:tc>
        <w:tc>
          <w:tcPr>
            <w:tcW w:w="1060" w:type="dxa"/>
            <w:vAlign w:val="bottom"/>
          </w:tcPr>
          <w:p>
            <w:pPr>
              <w:jc w:val="center"/>
              <w:spacing w:after="0" w:line="124" w:lineRule="exact"/>
              <w:rPr>
                <w:sz w:val="20"/>
                <w:szCs w:val="20"/>
                <w:color w:val="auto"/>
              </w:rPr>
            </w:pPr>
            <w:r>
              <w:rPr>
                <w:rFonts w:ascii="Arial" w:cs="Arial" w:eastAsia="Arial" w:hAnsi="Arial"/>
                <w:sz w:val="12"/>
                <w:szCs w:val="12"/>
                <w:color w:val="auto"/>
              </w:rPr>
              <w:t>37.3%</w:t>
            </w:r>
          </w:p>
        </w:tc>
        <w:tc>
          <w:tcPr>
            <w:tcW w:w="1140" w:type="dxa"/>
            <w:vAlign w:val="bottom"/>
          </w:tcPr>
          <w:p>
            <w:pPr>
              <w:jc w:val="center"/>
              <w:spacing w:after="0" w:line="124" w:lineRule="exact"/>
              <w:rPr>
                <w:sz w:val="20"/>
                <w:szCs w:val="20"/>
                <w:color w:val="auto"/>
              </w:rPr>
            </w:pPr>
            <w:r>
              <w:rPr>
                <w:rFonts w:ascii="Arial" w:cs="Arial" w:eastAsia="Arial" w:hAnsi="Arial"/>
                <w:sz w:val="12"/>
                <w:szCs w:val="12"/>
                <w:color w:val="auto"/>
                <w:w w:val="99"/>
              </w:rPr>
              <w:t>36.2%</w:t>
            </w:r>
          </w:p>
        </w:tc>
        <w:tc>
          <w:tcPr>
            <w:tcW w:w="1020" w:type="dxa"/>
            <w:vAlign w:val="bottom"/>
          </w:tcPr>
          <w:p>
            <w:pPr>
              <w:jc w:val="center"/>
              <w:spacing w:after="0" w:line="124" w:lineRule="exact"/>
              <w:rPr>
                <w:sz w:val="20"/>
                <w:szCs w:val="20"/>
                <w:color w:val="auto"/>
              </w:rPr>
            </w:pPr>
            <w:r>
              <w:rPr>
                <w:rFonts w:ascii="Arial" w:cs="Arial" w:eastAsia="Arial" w:hAnsi="Arial"/>
                <w:sz w:val="12"/>
                <w:szCs w:val="12"/>
                <w:color w:val="auto"/>
                <w:w w:val="99"/>
              </w:rPr>
              <w:t>38.2%</w:t>
            </w:r>
          </w:p>
        </w:tc>
        <w:tc>
          <w:tcPr>
            <w:tcW w:w="820" w:type="dxa"/>
            <w:vAlign w:val="bottom"/>
          </w:tcPr>
          <w:p>
            <w:pPr>
              <w:jc w:val="center"/>
              <w:ind w:left="278"/>
              <w:spacing w:after="0" w:line="124" w:lineRule="exact"/>
              <w:rPr>
                <w:sz w:val="20"/>
                <w:szCs w:val="20"/>
                <w:color w:val="auto"/>
              </w:rPr>
            </w:pPr>
            <w:r>
              <w:rPr>
                <w:rFonts w:ascii="Arial" w:cs="Arial" w:eastAsia="Arial" w:hAnsi="Arial"/>
                <w:sz w:val="12"/>
                <w:szCs w:val="12"/>
                <w:color w:val="auto"/>
              </w:rPr>
              <w:t>200 bps</w:t>
            </w:r>
          </w:p>
        </w:tc>
        <w:tc>
          <w:tcPr>
            <w:tcW w:w="1420" w:type="dxa"/>
            <w:vAlign w:val="bottom"/>
          </w:tcPr>
          <w:p>
            <w:pPr>
              <w:jc w:val="center"/>
              <w:ind w:left="178"/>
              <w:spacing w:after="0" w:line="124" w:lineRule="exact"/>
              <w:rPr>
                <w:sz w:val="20"/>
                <w:szCs w:val="20"/>
                <w:color w:val="auto"/>
              </w:rPr>
            </w:pPr>
            <w:r>
              <w:rPr>
                <w:rFonts w:ascii="Arial" w:cs="Arial" w:eastAsia="Arial" w:hAnsi="Arial"/>
                <w:sz w:val="12"/>
                <w:szCs w:val="12"/>
                <w:color w:val="auto"/>
              </w:rPr>
              <w:t>90 bps</w:t>
            </w:r>
          </w:p>
        </w:tc>
        <w:tc>
          <w:tcPr>
            <w:tcW w:w="780" w:type="dxa"/>
            <w:vAlign w:val="bottom"/>
          </w:tcPr>
          <w:p>
            <w:pPr>
              <w:jc w:val="center"/>
              <w:ind w:left="158"/>
              <w:spacing w:after="0" w:line="124" w:lineRule="exact"/>
              <w:rPr>
                <w:sz w:val="20"/>
                <w:szCs w:val="20"/>
                <w:color w:val="auto"/>
              </w:rPr>
            </w:pPr>
            <w:r>
              <w:rPr>
                <w:rFonts w:ascii="Arial" w:cs="Arial" w:eastAsia="Arial" w:hAnsi="Arial"/>
                <w:sz w:val="12"/>
                <w:szCs w:val="12"/>
                <w:color w:val="auto"/>
              </w:rPr>
              <w:t>37.1%</w:t>
            </w:r>
          </w:p>
        </w:tc>
        <w:tc>
          <w:tcPr>
            <w:tcW w:w="1380" w:type="dxa"/>
            <w:vAlign w:val="bottom"/>
          </w:tcPr>
          <w:p>
            <w:pPr>
              <w:jc w:val="center"/>
              <w:ind w:left="138"/>
              <w:spacing w:after="0" w:line="124" w:lineRule="exact"/>
              <w:rPr>
                <w:sz w:val="20"/>
                <w:szCs w:val="20"/>
                <w:color w:val="auto"/>
              </w:rPr>
            </w:pPr>
            <w:r>
              <w:rPr>
                <w:rFonts w:ascii="Arial" w:cs="Arial" w:eastAsia="Arial" w:hAnsi="Arial"/>
                <w:sz w:val="12"/>
                <w:szCs w:val="12"/>
                <w:color w:val="auto"/>
                <w:w w:val="99"/>
              </w:rPr>
              <w:t>37.3%</w:t>
            </w:r>
          </w:p>
        </w:tc>
        <w:tc>
          <w:tcPr>
            <w:tcW w:w="1560" w:type="dxa"/>
            <w:vAlign w:val="bottom"/>
          </w:tcPr>
          <w:p>
            <w:pPr>
              <w:jc w:val="center"/>
              <w:spacing w:after="0" w:line="124" w:lineRule="exact"/>
              <w:rPr>
                <w:sz w:val="20"/>
                <w:szCs w:val="20"/>
                <w:color w:val="auto"/>
              </w:rPr>
            </w:pPr>
            <w:r>
              <w:rPr>
                <w:rFonts w:ascii="Arial" w:cs="Arial" w:eastAsia="Arial" w:hAnsi="Arial"/>
                <w:sz w:val="12"/>
                <w:szCs w:val="12"/>
                <w:color w:val="auto"/>
              </w:rPr>
              <w:t>20 bps</w:t>
            </w:r>
          </w:p>
        </w:tc>
        <w:tc>
          <w:tcPr>
            <w:tcW w:w="20" w:type="dxa"/>
            <w:vAlign w:val="bottom"/>
          </w:tcPr>
          <w:p>
            <w:pPr>
              <w:spacing w:after="0"/>
              <w:rPr>
                <w:sz w:val="10"/>
                <w:szCs w:val="10"/>
                <w:color w:val="auto"/>
              </w:rPr>
            </w:pPr>
          </w:p>
        </w:tc>
      </w:tr>
      <w:tr>
        <w:trPr>
          <w:trHeight w:val="144"/>
        </w:trPr>
        <w:tc>
          <w:tcPr>
            <w:tcW w:w="1640" w:type="dxa"/>
            <w:vAlign w:val="bottom"/>
          </w:tcPr>
          <w:p>
            <w:pPr>
              <w:ind w:left="40"/>
              <w:spacing w:after="0"/>
              <w:rPr>
                <w:sz w:val="20"/>
                <w:szCs w:val="20"/>
                <w:color w:val="auto"/>
              </w:rPr>
            </w:pPr>
            <w:r>
              <w:rPr>
                <w:rFonts w:ascii="Arial" w:cs="Arial" w:eastAsia="Arial" w:hAnsi="Arial"/>
                <w:sz w:val="12"/>
                <w:szCs w:val="12"/>
                <w:color w:val="auto"/>
              </w:rPr>
              <w:t>BCP Bolivia</w:t>
            </w:r>
          </w:p>
        </w:tc>
        <w:tc>
          <w:tcPr>
            <w:tcW w:w="1060" w:type="dxa"/>
            <w:vAlign w:val="bottom"/>
          </w:tcPr>
          <w:p>
            <w:pPr>
              <w:jc w:val="center"/>
              <w:spacing w:after="0"/>
              <w:rPr>
                <w:sz w:val="20"/>
                <w:szCs w:val="20"/>
                <w:color w:val="auto"/>
              </w:rPr>
            </w:pPr>
            <w:r>
              <w:rPr>
                <w:rFonts w:ascii="Arial" w:cs="Arial" w:eastAsia="Arial" w:hAnsi="Arial"/>
                <w:sz w:val="12"/>
                <w:szCs w:val="12"/>
                <w:color w:val="auto"/>
              </w:rPr>
              <w:t>60.7%</w:t>
            </w:r>
          </w:p>
        </w:tc>
        <w:tc>
          <w:tcPr>
            <w:tcW w:w="1140" w:type="dxa"/>
            <w:vAlign w:val="bottom"/>
          </w:tcPr>
          <w:p>
            <w:pPr>
              <w:jc w:val="center"/>
              <w:spacing w:after="0"/>
              <w:rPr>
                <w:sz w:val="20"/>
                <w:szCs w:val="20"/>
                <w:color w:val="auto"/>
              </w:rPr>
            </w:pPr>
            <w:r>
              <w:rPr>
                <w:rFonts w:ascii="Arial" w:cs="Arial" w:eastAsia="Arial" w:hAnsi="Arial"/>
                <w:sz w:val="12"/>
                <w:szCs w:val="12"/>
                <w:color w:val="auto"/>
                <w:w w:val="99"/>
              </w:rPr>
              <w:t>58.1%</w:t>
            </w:r>
          </w:p>
        </w:tc>
        <w:tc>
          <w:tcPr>
            <w:tcW w:w="1020" w:type="dxa"/>
            <w:vAlign w:val="bottom"/>
          </w:tcPr>
          <w:p>
            <w:pPr>
              <w:jc w:val="center"/>
              <w:spacing w:after="0"/>
              <w:rPr>
                <w:sz w:val="20"/>
                <w:szCs w:val="20"/>
                <w:color w:val="auto"/>
              </w:rPr>
            </w:pPr>
            <w:r>
              <w:rPr>
                <w:rFonts w:ascii="Arial" w:cs="Arial" w:eastAsia="Arial" w:hAnsi="Arial"/>
                <w:sz w:val="12"/>
                <w:szCs w:val="12"/>
                <w:color w:val="auto"/>
                <w:w w:val="99"/>
              </w:rPr>
              <w:t>58.2%</w:t>
            </w:r>
          </w:p>
        </w:tc>
        <w:tc>
          <w:tcPr>
            <w:tcW w:w="820" w:type="dxa"/>
            <w:vAlign w:val="bottom"/>
          </w:tcPr>
          <w:p>
            <w:pPr>
              <w:jc w:val="center"/>
              <w:ind w:left="278"/>
              <w:spacing w:after="0"/>
              <w:rPr>
                <w:sz w:val="20"/>
                <w:szCs w:val="20"/>
                <w:color w:val="auto"/>
              </w:rPr>
            </w:pPr>
            <w:r>
              <w:rPr>
                <w:rFonts w:ascii="Arial" w:cs="Arial" w:eastAsia="Arial" w:hAnsi="Arial"/>
                <w:sz w:val="12"/>
                <w:szCs w:val="12"/>
                <w:color w:val="auto"/>
                <w:w w:val="99"/>
              </w:rPr>
              <w:t>10 bps</w:t>
            </w:r>
          </w:p>
        </w:tc>
        <w:tc>
          <w:tcPr>
            <w:tcW w:w="1420" w:type="dxa"/>
            <w:vAlign w:val="bottom"/>
          </w:tcPr>
          <w:p>
            <w:pPr>
              <w:jc w:val="center"/>
              <w:ind w:left="198"/>
              <w:spacing w:after="0"/>
              <w:rPr>
                <w:sz w:val="20"/>
                <w:szCs w:val="20"/>
                <w:color w:val="auto"/>
              </w:rPr>
            </w:pPr>
            <w:r>
              <w:rPr>
                <w:rFonts w:ascii="Arial" w:cs="Arial" w:eastAsia="Arial" w:hAnsi="Arial"/>
                <w:sz w:val="12"/>
                <w:szCs w:val="12"/>
                <w:color w:val="auto"/>
              </w:rPr>
              <w:t>-250 bps</w:t>
            </w:r>
          </w:p>
        </w:tc>
        <w:tc>
          <w:tcPr>
            <w:tcW w:w="780" w:type="dxa"/>
            <w:vAlign w:val="bottom"/>
          </w:tcPr>
          <w:p>
            <w:pPr>
              <w:jc w:val="center"/>
              <w:ind w:left="158"/>
              <w:spacing w:after="0"/>
              <w:rPr>
                <w:sz w:val="20"/>
                <w:szCs w:val="20"/>
                <w:color w:val="auto"/>
              </w:rPr>
            </w:pPr>
            <w:r>
              <w:rPr>
                <w:rFonts w:ascii="Arial" w:cs="Arial" w:eastAsia="Arial" w:hAnsi="Arial"/>
                <w:sz w:val="12"/>
                <w:szCs w:val="12"/>
                <w:color w:val="auto"/>
              </w:rPr>
              <w:t>60.5%</w:t>
            </w:r>
          </w:p>
        </w:tc>
        <w:tc>
          <w:tcPr>
            <w:tcW w:w="1380" w:type="dxa"/>
            <w:vAlign w:val="bottom"/>
          </w:tcPr>
          <w:p>
            <w:pPr>
              <w:jc w:val="center"/>
              <w:ind w:left="138"/>
              <w:spacing w:after="0"/>
              <w:rPr>
                <w:sz w:val="20"/>
                <w:szCs w:val="20"/>
                <w:color w:val="auto"/>
              </w:rPr>
            </w:pPr>
            <w:r>
              <w:rPr>
                <w:rFonts w:ascii="Arial" w:cs="Arial" w:eastAsia="Arial" w:hAnsi="Arial"/>
                <w:sz w:val="12"/>
                <w:szCs w:val="12"/>
                <w:color w:val="auto"/>
                <w:w w:val="99"/>
              </w:rPr>
              <w:t>58.1%</w:t>
            </w:r>
          </w:p>
        </w:tc>
        <w:tc>
          <w:tcPr>
            <w:tcW w:w="1560" w:type="dxa"/>
            <w:vAlign w:val="bottom"/>
          </w:tcPr>
          <w:p>
            <w:pPr>
              <w:jc w:val="center"/>
              <w:spacing w:after="0"/>
              <w:rPr>
                <w:sz w:val="20"/>
                <w:szCs w:val="20"/>
                <w:color w:val="auto"/>
              </w:rPr>
            </w:pPr>
            <w:r>
              <w:rPr>
                <w:rFonts w:ascii="Arial" w:cs="Arial" w:eastAsia="Arial" w:hAnsi="Arial"/>
                <w:sz w:val="12"/>
                <w:szCs w:val="12"/>
                <w:color w:val="auto"/>
              </w:rPr>
              <w:t>-240 bps</w:t>
            </w:r>
          </w:p>
        </w:tc>
        <w:tc>
          <w:tcPr>
            <w:tcW w:w="20" w:type="dxa"/>
            <w:vAlign w:val="bottom"/>
          </w:tcPr>
          <w:p>
            <w:pPr>
              <w:spacing w:after="0"/>
              <w:rPr>
                <w:sz w:val="12"/>
                <w:szCs w:val="12"/>
                <w:color w:val="auto"/>
              </w:rPr>
            </w:pPr>
          </w:p>
        </w:tc>
      </w:tr>
      <w:tr>
        <w:trPr>
          <w:trHeight w:val="144"/>
        </w:trPr>
        <w:tc>
          <w:tcPr>
            <w:tcW w:w="1640" w:type="dxa"/>
            <w:vAlign w:val="bottom"/>
          </w:tcPr>
          <w:p>
            <w:pPr>
              <w:ind w:left="40"/>
              <w:spacing w:after="0"/>
              <w:rPr>
                <w:sz w:val="20"/>
                <w:szCs w:val="20"/>
                <w:color w:val="auto"/>
              </w:rPr>
            </w:pPr>
            <w:r>
              <w:rPr>
                <w:rFonts w:ascii="Arial" w:cs="Arial" w:eastAsia="Arial" w:hAnsi="Arial"/>
                <w:sz w:val="12"/>
                <w:szCs w:val="12"/>
                <w:color w:val="auto"/>
              </w:rPr>
              <w:t>Mibanco Peru</w:t>
            </w:r>
          </w:p>
        </w:tc>
        <w:tc>
          <w:tcPr>
            <w:tcW w:w="1060" w:type="dxa"/>
            <w:vAlign w:val="bottom"/>
          </w:tcPr>
          <w:p>
            <w:pPr>
              <w:jc w:val="center"/>
              <w:spacing w:after="0"/>
              <w:rPr>
                <w:sz w:val="20"/>
                <w:szCs w:val="20"/>
                <w:color w:val="auto"/>
              </w:rPr>
            </w:pPr>
            <w:r>
              <w:rPr>
                <w:rFonts w:ascii="Arial" w:cs="Arial" w:eastAsia="Arial" w:hAnsi="Arial"/>
                <w:sz w:val="12"/>
                <w:szCs w:val="12"/>
                <w:color w:val="auto"/>
              </w:rPr>
              <w:t>52.4%</w:t>
            </w:r>
          </w:p>
        </w:tc>
        <w:tc>
          <w:tcPr>
            <w:tcW w:w="1140" w:type="dxa"/>
            <w:vAlign w:val="bottom"/>
          </w:tcPr>
          <w:p>
            <w:pPr>
              <w:jc w:val="center"/>
              <w:spacing w:after="0"/>
              <w:rPr>
                <w:sz w:val="20"/>
                <w:szCs w:val="20"/>
                <w:color w:val="auto"/>
              </w:rPr>
            </w:pPr>
            <w:r>
              <w:rPr>
                <w:rFonts w:ascii="Arial" w:cs="Arial" w:eastAsia="Arial" w:hAnsi="Arial"/>
                <w:sz w:val="12"/>
                <w:szCs w:val="12"/>
                <w:color w:val="auto"/>
                <w:w w:val="99"/>
              </w:rPr>
              <w:t>53.3%</w:t>
            </w:r>
          </w:p>
        </w:tc>
        <w:tc>
          <w:tcPr>
            <w:tcW w:w="1020" w:type="dxa"/>
            <w:vAlign w:val="bottom"/>
          </w:tcPr>
          <w:p>
            <w:pPr>
              <w:jc w:val="center"/>
              <w:spacing w:after="0"/>
              <w:rPr>
                <w:sz w:val="20"/>
                <w:szCs w:val="20"/>
                <w:color w:val="auto"/>
              </w:rPr>
            </w:pPr>
            <w:r>
              <w:rPr>
                <w:rFonts w:ascii="Arial" w:cs="Arial" w:eastAsia="Arial" w:hAnsi="Arial"/>
                <w:sz w:val="12"/>
                <w:szCs w:val="12"/>
                <w:color w:val="auto"/>
                <w:w w:val="99"/>
              </w:rPr>
              <w:t>51.0%</w:t>
            </w:r>
          </w:p>
        </w:tc>
        <w:tc>
          <w:tcPr>
            <w:tcW w:w="820" w:type="dxa"/>
            <w:vAlign w:val="bottom"/>
          </w:tcPr>
          <w:p>
            <w:pPr>
              <w:jc w:val="center"/>
              <w:ind w:left="278"/>
              <w:spacing w:after="0"/>
              <w:rPr>
                <w:sz w:val="20"/>
                <w:szCs w:val="20"/>
                <w:color w:val="auto"/>
              </w:rPr>
            </w:pPr>
            <w:r>
              <w:rPr>
                <w:rFonts w:ascii="Arial" w:cs="Arial" w:eastAsia="Arial" w:hAnsi="Arial"/>
                <w:sz w:val="12"/>
                <w:szCs w:val="12"/>
                <w:color w:val="auto"/>
              </w:rPr>
              <w:t>-230 bps</w:t>
            </w:r>
          </w:p>
        </w:tc>
        <w:tc>
          <w:tcPr>
            <w:tcW w:w="1420" w:type="dxa"/>
            <w:vAlign w:val="bottom"/>
          </w:tcPr>
          <w:p>
            <w:pPr>
              <w:jc w:val="center"/>
              <w:ind w:left="198"/>
              <w:spacing w:after="0"/>
              <w:rPr>
                <w:sz w:val="20"/>
                <w:szCs w:val="20"/>
                <w:color w:val="auto"/>
              </w:rPr>
            </w:pPr>
            <w:r>
              <w:rPr>
                <w:rFonts w:ascii="Arial" w:cs="Arial" w:eastAsia="Arial" w:hAnsi="Arial"/>
                <w:sz w:val="12"/>
                <w:szCs w:val="12"/>
                <w:color w:val="auto"/>
              </w:rPr>
              <w:t>-140 bps</w:t>
            </w:r>
          </w:p>
        </w:tc>
        <w:tc>
          <w:tcPr>
            <w:tcW w:w="780" w:type="dxa"/>
            <w:vAlign w:val="bottom"/>
          </w:tcPr>
          <w:p>
            <w:pPr>
              <w:jc w:val="center"/>
              <w:ind w:left="158"/>
              <w:spacing w:after="0"/>
              <w:rPr>
                <w:sz w:val="20"/>
                <w:szCs w:val="20"/>
                <w:color w:val="auto"/>
              </w:rPr>
            </w:pPr>
            <w:r>
              <w:rPr>
                <w:rFonts w:ascii="Arial" w:cs="Arial" w:eastAsia="Arial" w:hAnsi="Arial"/>
                <w:sz w:val="12"/>
                <w:szCs w:val="12"/>
                <w:color w:val="auto"/>
              </w:rPr>
              <w:t>53.2%</w:t>
            </w:r>
          </w:p>
        </w:tc>
        <w:tc>
          <w:tcPr>
            <w:tcW w:w="1380" w:type="dxa"/>
            <w:vAlign w:val="bottom"/>
          </w:tcPr>
          <w:p>
            <w:pPr>
              <w:jc w:val="center"/>
              <w:ind w:left="138"/>
              <w:spacing w:after="0"/>
              <w:rPr>
                <w:sz w:val="20"/>
                <w:szCs w:val="20"/>
                <w:color w:val="auto"/>
              </w:rPr>
            </w:pPr>
            <w:r>
              <w:rPr>
                <w:rFonts w:ascii="Arial" w:cs="Arial" w:eastAsia="Arial" w:hAnsi="Arial"/>
                <w:sz w:val="12"/>
                <w:szCs w:val="12"/>
                <w:color w:val="auto"/>
                <w:w w:val="99"/>
              </w:rPr>
              <w:t>52.1%</w:t>
            </w:r>
          </w:p>
        </w:tc>
        <w:tc>
          <w:tcPr>
            <w:tcW w:w="1560" w:type="dxa"/>
            <w:vAlign w:val="bottom"/>
          </w:tcPr>
          <w:p>
            <w:pPr>
              <w:jc w:val="center"/>
              <w:spacing w:after="0"/>
              <w:rPr>
                <w:sz w:val="20"/>
                <w:szCs w:val="20"/>
                <w:color w:val="auto"/>
              </w:rPr>
            </w:pPr>
            <w:r>
              <w:rPr>
                <w:rFonts w:ascii="Arial" w:cs="Arial" w:eastAsia="Arial" w:hAnsi="Arial"/>
                <w:sz w:val="12"/>
                <w:szCs w:val="12"/>
                <w:color w:val="auto"/>
                <w:w w:val="98"/>
              </w:rPr>
              <w:t>-110 bps</w:t>
            </w:r>
          </w:p>
        </w:tc>
        <w:tc>
          <w:tcPr>
            <w:tcW w:w="20" w:type="dxa"/>
            <w:vAlign w:val="bottom"/>
          </w:tcPr>
          <w:p>
            <w:pPr>
              <w:spacing w:after="0"/>
              <w:rPr>
                <w:sz w:val="12"/>
                <w:szCs w:val="12"/>
                <w:color w:val="auto"/>
              </w:rPr>
            </w:pPr>
          </w:p>
        </w:tc>
      </w:tr>
      <w:tr>
        <w:trPr>
          <w:trHeight w:val="144"/>
        </w:trPr>
        <w:tc>
          <w:tcPr>
            <w:tcW w:w="1640" w:type="dxa"/>
            <w:vAlign w:val="bottom"/>
          </w:tcPr>
          <w:p>
            <w:pPr>
              <w:ind w:left="40"/>
              <w:spacing w:after="0"/>
              <w:rPr>
                <w:sz w:val="20"/>
                <w:szCs w:val="20"/>
                <w:color w:val="auto"/>
              </w:rPr>
            </w:pPr>
            <w:r>
              <w:rPr>
                <w:rFonts w:ascii="Arial" w:cs="Arial" w:eastAsia="Arial" w:hAnsi="Arial"/>
                <w:sz w:val="12"/>
                <w:szCs w:val="12"/>
                <w:color w:val="auto"/>
              </w:rPr>
              <w:t>Mibanco Colombia</w:t>
            </w:r>
          </w:p>
        </w:tc>
        <w:tc>
          <w:tcPr>
            <w:tcW w:w="1060" w:type="dxa"/>
            <w:vAlign w:val="bottom"/>
          </w:tcPr>
          <w:p>
            <w:pPr>
              <w:jc w:val="center"/>
              <w:spacing w:after="0"/>
              <w:rPr>
                <w:sz w:val="20"/>
                <w:szCs w:val="20"/>
                <w:color w:val="auto"/>
              </w:rPr>
            </w:pPr>
            <w:r>
              <w:rPr>
                <w:rFonts w:ascii="Arial" w:cs="Arial" w:eastAsia="Arial" w:hAnsi="Arial"/>
                <w:sz w:val="12"/>
                <w:szCs w:val="12"/>
                <w:color w:val="auto"/>
              </w:rPr>
              <w:t>88.8%</w:t>
            </w:r>
          </w:p>
        </w:tc>
        <w:tc>
          <w:tcPr>
            <w:tcW w:w="1140" w:type="dxa"/>
            <w:vAlign w:val="bottom"/>
          </w:tcPr>
          <w:p>
            <w:pPr>
              <w:jc w:val="center"/>
              <w:spacing w:after="0"/>
              <w:rPr>
                <w:sz w:val="20"/>
                <w:szCs w:val="20"/>
                <w:color w:val="auto"/>
              </w:rPr>
            </w:pPr>
            <w:r>
              <w:rPr>
                <w:rFonts w:ascii="Arial" w:cs="Arial" w:eastAsia="Arial" w:hAnsi="Arial"/>
                <w:sz w:val="12"/>
                <w:szCs w:val="12"/>
                <w:color w:val="auto"/>
                <w:w w:val="99"/>
              </w:rPr>
              <w:t>85.5%</w:t>
            </w:r>
          </w:p>
        </w:tc>
        <w:tc>
          <w:tcPr>
            <w:tcW w:w="1020" w:type="dxa"/>
            <w:vAlign w:val="bottom"/>
          </w:tcPr>
          <w:p>
            <w:pPr>
              <w:jc w:val="center"/>
              <w:spacing w:after="0"/>
              <w:rPr>
                <w:sz w:val="20"/>
                <w:szCs w:val="20"/>
                <w:color w:val="auto"/>
              </w:rPr>
            </w:pPr>
            <w:r>
              <w:rPr>
                <w:rFonts w:ascii="Arial" w:cs="Arial" w:eastAsia="Arial" w:hAnsi="Arial"/>
                <w:sz w:val="12"/>
                <w:szCs w:val="12"/>
                <w:color w:val="auto"/>
                <w:w w:val="99"/>
              </w:rPr>
              <w:t>78.9%</w:t>
            </w:r>
          </w:p>
        </w:tc>
        <w:tc>
          <w:tcPr>
            <w:tcW w:w="820" w:type="dxa"/>
            <w:vAlign w:val="bottom"/>
          </w:tcPr>
          <w:p>
            <w:pPr>
              <w:jc w:val="center"/>
              <w:ind w:left="278"/>
              <w:spacing w:after="0"/>
              <w:rPr>
                <w:sz w:val="20"/>
                <w:szCs w:val="20"/>
                <w:color w:val="auto"/>
              </w:rPr>
            </w:pPr>
            <w:r>
              <w:rPr>
                <w:rFonts w:ascii="Arial" w:cs="Arial" w:eastAsia="Arial" w:hAnsi="Arial"/>
                <w:sz w:val="12"/>
                <w:szCs w:val="12"/>
                <w:color w:val="auto"/>
              </w:rPr>
              <w:t>-660 bps</w:t>
            </w:r>
          </w:p>
        </w:tc>
        <w:tc>
          <w:tcPr>
            <w:tcW w:w="1420" w:type="dxa"/>
            <w:vAlign w:val="bottom"/>
          </w:tcPr>
          <w:p>
            <w:pPr>
              <w:jc w:val="center"/>
              <w:ind w:left="198"/>
              <w:spacing w:after="0"/>
              <w:rPr>
                <w:sz w:val="20"/>
                <w:szCs w:val="20"/>
                <w:color w:val="auto"/>
              </w:rPr>
            </w:pPr>
            <w:r>
              <w:rPr>
                <w:rFonts w:ascii="Arial" w:cs="Arial" w:eastAsia="Arial" w:hAnsi="Arial"/>
                <w:sz w:val="12"/>
                <w:szCs w:val="12"/>
                <w:color w:val="auto"/>
              </w:rPr>
              <w:t>-990 bps</w:t>
            </w:r>
          </w:p>
        </w:tc>
        <w:tc>
          <w:tcPr>
            <w:tcW w:w="780" w:type="dxa"/>
            <w:vAlign w:val="bottom"/>
          </w:tcPr>
          <w:p>
            <w:pPr>
              <w:jc w:val="center"/>
              <w:ind w:left="158"/>
              <w:spacing w:after="0"/>
              <w:rPr>
                <w:sz w:val="20"/>
                <w:szCs w:val="20"/>
                <w:color w:val="auto"/>
              </w:rPr>
            </w:pPr>
            <w:r>
              <w:rPr>
                <w:rFonts w:ascii="Arial" w:cs="Arial" w:eastAsia="Arial" w:hAnsi="Arial"/>
                <w:sz w:val="12"/>
                <w:szCs w:val="12"/>
                <w:color w:val="auto"/>
              </w:rPr>
              <w:t>91.0%</w:t>
            </w:r>
          </w:p>
        </w:tc>
        <w:tc>
          <w:tcPr>
            <w:tcW w:w="1380" w:type="dxa"/>
            <w:vAlign w:val="bottom"/>
          </w:tcPr>
          <w:p>
            <w:pPr>
              <w:jc w:val="center"/>
              <w:ind w:left="138"/>
              <w:spacing w:after="0"/>
              <w:rPr>
                <w:sz w:val="20"/>
                <w:szCs w:val="20"/>
                <w:color w:val="auto"/>
              </w:rPr>
            </w:pPr>
            <w:r>
              <w:rPr>
                <w:rFonts w:ascii="Arial" w:cs="Arial" w:eastAsia="Arial" w:hAnsi="Arial"/>
                <w:sz w:val="12"/>
                <w:szCs w:val="12"/>
                <w:color w:val="auto"/>
                <w:w w:val="99"/>
              </w:rPr>
              <w:t>82.1%</w:t>
            </w:r>
          </w:p>
        </w:tc>
        <w:tc>
          <w:tcPr>
            <w:tcW w:w="1560" w:type="dxa"/>
            <w:vAlign w:val="bottom"/>
          </w:tcPr>
          <w:p>
            <w:pPr>
              <w:jc w:val="center"/>
              <w:spacing w:after="0"/>
              <w:rPr>
                <w:sz w:val="20"/>
                <w:szCs w:val="20"/>
                <w:color w:val="auto"/>
              </w:rPr>
            </w:pPr>
            <w:r>
              <w:rPr>
                <w:rFonts w:ascii="Arial" w:cs="Arial" w:eastAsia="Arial" w:hAnsi="Arial"/>
                <w:sz w:val="12"/>
                <w:szCs w:val="12"/>
                <w:color w:val="auto"/>
              </w:rPr>
              <w:t>-890 bps</w:t>
            </w:r>
          </w:p>
        </w:tc>
        <w:tc>
          <w:tcPr>
            <w:tcW w:w="20" w:type="dxa"/>
            <w:vAlign w:val="bottom"/>
          </w:tcPr>
          <w:p>
            <w:pPr>
              <w:spacing w:after="0"/>
              <w:rPr>
                <w:sz w:val="12"/>
                <w:szCs w:val="12"/>
                <w:color w:val="auto"/>
              </w:rPr>
            </w:pPr>
          </w:p>
        </w:tc>
      </w:tr>
      <w:tr>
        <w:trPr>
          <w:trHeight w:val="144"/>
        </w:trPr>
        <w:tc>
          <w:tcPr>
            <w:tcW w:w="1640" w:type="dxa"/>
            <w:vAlign w:val="bottom"/>
          </w:tcPr>
          <w:p>
            <w:pPr>
              <w:ind w:left="40"/>
              <w:spacing w:after="0"/>
              <w:rPr>
                <w:sz w:val="20"/>
                <w:szCs w:val="20"/>
                <w:color w:val="auto"/>
              </w:rPr>
            </w:pPr>
            <w:r>
              <w:rPr>
                <w:rFonts w:ascii="Arial" w:cs="Arial" w:eastAsia="Arial" w:hAnsi="Arial"/>
                <w:sz w:val="12"/>
                <w:szCs w:val="12"/>
                <w:color w:val="auto"/>
              </w:rPr>
              <w:t>Pacifico</w:t>
            </w:r>
          </w:p>
        </w:tc>
        <w:tc>
          <w:tcPr>
            <w:tcW w:w="1060" w:type="dxa"/>
            <w:vAlign w:val="bottom"/>
          </w:tcPr>
          <w:p>
            <w:pPr>
              <w:jc w:val="center"/>
              <w:spacing w:after="0"/>
              <w:rPr>
                <w:sz w:val="20"/>
                <w:szCs w:val="20"/>
                <w:color w:val="auto"/>
              </w:rPr>
            </w:pPr>
            <w:r>
              <w:rPr>
                <w:rFonts w:ascii="Arial" w:cs="Arial" w:eastAsia="Arial" w:hAnsi="Arial"/>
                <w:sz w:val="12"/>
                <w:szCs w:val="12"/>
                <w:color w:val="auto"/>
              </w:rPr>
              <w:t>26.3%</w:t>
            </w:r>
          </w:p>
        </w:tc>
        <w:tc>
          <w:tcPr>
            <w:tcW w:w="1140" w:type="dxa"/>
            <w:vAlign w:val="bottom"/>
          </w:tcPr>
          <w:p>
            <w:pPr>
              <w:jc w:val="center"/>
              <w:spacing w:after="0"/>
              <w:rPr>
                <w:sz w:val="20"/>
                <w:szCs w:val="20"/>
                <w:color w:val="auto"/>
              </w:rPr>
            </w:pPr>
            <w:r>
              <w:rPr>
                <w:rFonts w:ascii="Arial" w:cs="Arial" w:eastAsia="Arial" w:hAnsi="Arial"/>
                <w:sz w:val="12"/>
                <w:szCs w:val="12"/>
                <w:color w:val="auto"/>
                <w:w w:val="99"/>
              </w:rPr>
              <w:t>27.7%</w:t>
            </w:r>
          </w:p>
        </w:tc>
        <w:tc>
          <w:tcPr>
            <w:tcW w:w="1020" w:type="dxa"/>
            <w:vAlign w:val="bottom"/>
          </w:tcPr>
          <w:p>
            <w:pPr>
              <w:jc w:val="center"/>
              <w:spacing w:after="0"/>
              <w:rPr>
                <w:sz w:val="20"/>
                <w:szCs w:val="20"/>
                <w:color w:val="auto"/>
              </w:rPr>
            </w:pPr>
            <w:r>
              <w:rPr>
                <w:rFonts w:ascii="Arial" w:cs="Arial" w:eastAsia="Arial" w:hAnsi="Arial"/>
                <w:sz w:val="12"/>
                <w:szCs w:val="12"/>
                <w:color w:val="auto"/>
                <w:w w:val="99"/>
              </w:rPr>
              <w:t>27.5%</w:t>
            </w:r>
          </w:p>
        </w:tc>
        <w:tc>
          <w:tcPr>
            <w:tcW w:w="820" w:type="dxa"/>
            <w:vAlign w:val="bottom"/>
          </w:tcPr>
          <w:p>
            <w:pPr>
              <w:jc w:val="center"/>
              <w:ind w:left="278"/>
              <w:spacing w:after="0"/>
              <w:rPr>
                <w:sz w:val="20"/>
                <w:szCs w:val="20"/>
                <w:color w:val="auto"/>
              </w:rPr>
            </w:pPr>
            <w:r>
              <w:rPr>
                <w:rFonts w:ascii="Arial" w:cs="Arial" w:eastAsia="Arial" w:hAnsi="Arial"/>
                <w:sz w:val="12"/>
                <w:szCs w:val="12"/>
                <w:color w:val="auto"/>
                <w:w w:val="99"/>
              </w:rPr>
              <w:t>-20 bps</w:t>
            </w:r>
          </w:p>
        </w:tc>
        <w:tc>
          <w:tcPr>
            <w:tcW w:w="1420" w:type="dxa"/>
            <w:vAlign w:val="bottom"/>
          </w:tcPr>
          <w:p>
            <w:pPr>
              <w:jc w:val="center"/>
              <w:ind w:left="198"/>
              <w:spacing w:after="0"/>
              <w:rPr>
                <w:sz w:val="20"/>
                <w:szCs w:val="20"/>
                <w:color w:val="auto"/>
              </w:rPr>
            </w:pPr>
            <w:r>
              <w:rPr>
                <w:rFonts w:ascii="Arial" w:cs="Arial" w:eastAsia="Arial" w:hAnsi="Arial"/>
                <w:sz w:val="12"/>
                <w:szCs w:val="12"/>
                <w:color w:val="auto"/>
              </w:rPr>
              <w:t>120 bps</w:t>
            </w:r>
          </w:p>
        </w:tc>
        <w:tc>
          <w:tcPr>
            <w:tcW w:w="780" w:type="dxa"/>
            <w:vAlign w:val="bottom"/>
          </w:tcPr>
          <w:p>
            <w:pPr>
              <w:jc w:val="center"/>
              <w:ind w:left="158"/>
              <w:spacing w:after="0"/>
              <w:rPr>
                <w:sz w:val="20"/>
                <w:szCs w:val="20"/>
                <w:color w:val="auto"/>
              </w:rPr>
            </w:pPr>
            <w:r>
              <w:rPr>
                <w:rFonts w:ascii="Arial" w:cs="Arial" w:eastAsia="Arial" w:hAnsi="Arial"/>
                <w:sz w:val="12"/>
                <w:szCs w:val="12"/>
                <w:color w:val="auto"/>
              </w:rPr>
              <w:t>24.0%</w:t>
            </w:r>
          </w:p>
        </w:tc>
        <w:tc>
          <w:tcPr>
            <w:tcW w:w="1380" w:type="dxa"/>
            <w:vAlign w:val="bottom"/>
          </w:tcPr>
          <w:p>
            <w:pPr>
              <w:jc w:val="center"/>
              <w:ind w:left="138"/>
              <w:spacing w:after="0"/>
              <w:rPr>
                <w:sz w:val="20"/>
                <w:szCs w:val="20"/>
                <w:color w:val="auto"/>
              </w:rPr>
            </w:pPr>
            <w:r>
              <w:rPr>
                <w:rFonts w:ascii="Arial" w:cs="Arial" w:eastAsia="Arial" w:hAnsi="Arial"/>
                <w:sz w:val="12"/>
                <w:szCs w:val="12"/>
                <w:color w:val="auto"/>
                <w:w w:val="99"/>
              </w:rPr>
              <w:t>27.6%</w:t>
            </w:r>
          </w:p>
        </w:tc>
        <w:tc>
          <w:tcPr>
            <w:tcW w:w="1560" w:type="dxa"/>
            <w:vAlign w:val="bottom"/>
          </w:tcPr>
          <w:p>
            <w:pPr>
              <w:jc w:val="center"/>
              <w:spacing w:after="0"/>
              <w:rPr>
                <w:sz w:val="20"/>
                <w:szCs w:val="20"/>
                <w:color w:val="auto"/>
              </w:rPr>
            </w:pPr>
            <w:r>
              <w:rPr>
                <w:rFonts w:ascii="Arial" w:cs="Arial" w:eastAsia="Arial" w:hAnsi="Arial"/>
                <w:sz w:val="12"/>
                <w:szCs w:val="12"/>
                <w:color w:val="auto"/>
              </w:rPr>
              <w:t>360 bps</w:t>
            </w:r>
          </w:p>
        </w:tc>
        <w:tc>
          <w:tcPr>
            <w:tcW w:w="20" w:type="dxa"/>
            <w:vAlign w:val="bottom"/>
          </w:tcPr>
          <w:p>
            <w:pPr>
              <w:spacing w:after="0"/>
              <w:rPr>
                <w:sz w:val="12"/>
                <w:szCs w:val="12"/>
                <w:color w:val="auto"/>
              </w:rPr>
            </w:pPr>
          </w:p>
        </w:tc>
      </w:tr>
      <w:tr>
        <w:trPr>
          <w:trHeight w:val="155"/>
        </w:trPr>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Prima AFP</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49.8%</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50.4%</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52.2%</w:t>
            </w:r>
          </w:p>
        </w:tc>
        <w:tc>
          <w:tcPr>
            <w:tcW w:w="820" w:type="dxa"/>
            <w:vAlign w:val="bottom"/>
            <w:tcBorders>
              <w:bottom w:val="single" w:sz="8" w:color="auto"/>
            </w:tcBorders>
          </w:tcPr>
          <w:p>
            <w:pPr>
              <w:jc w:val="center"/>
              <w:ind w:left="278"/>
              <w:spacing w:after="0"/>
              <w:rPr>
                <w:sz w:val="20"/>
                <w:szCs w:val="20"/>
                <w:color w:val="auto"/>
              </w:rPr>
            </w:pPr>
            <w:r>
              <w:rPr>
                <w:rFonts w:ascii="Arial" w:cs="Arial" w:eastAsia="Arial" w:hAnsi="Arial"/>
                <w:sz w:val="12"/>
                <w:szCs w:val="12"/>
                <w:color w:val="auto"/>
              </w:rPr>
              <w:t>180 bps</w:t>
            </w:r>
          </w:p>
        </w:tc>
        <w:tc>
          <w:tcPr>
            <w:tcW w:w="1420" w:type="dxa"/>
            <w:vAlign w:val="bottom"/>
            <w:tcBorders>
              <w:bottom w:val="single" w:sz="8" w:color="auto"/>
            </w:tcBorders>
          </w:tcPr>
          <w:p>
            <w:pPr>
              <w:jc w:val="center"/>
              <w:ind w:left="198"/>
              <w:spacing w:after="0"/>
              <w:rPr>
                <w:sz w:val="20"/>
                <w:szCs w:val="20"/>
                <w:color w:val="auto"/>
              </w:rPr>
            </w:pPr>
            <w:r>
              <w:rPr>
                <w:rFonts w:ascii="Arial" w:cs="Arial" w:eastAsia="Arial" w:hAnsi="Arial"/>
                <w:sz w:val="12"/>
                <w:szCs w:val="12"/>
                <w:color w:val="auto"/>
              </w:rPr>
              <w:t>240 bps</w:t>
            </w:r>
          </w:p>
        </w:tc>
        <w:tc>
          <w:tcPr>
            <w:tcW w:w="780" w:type="dxa"/>
            <w:vAlign w:val="bottom"/>
            <w:tcBorders>
              <w:bottom w:val="single" w:sz="8" w:color="auto"/>
            </w:tcBorders>
          </w:tcPr>
          <w:p>
            <w:pPr>
              <w:jc w:val="center"/>
              <w:ind w:left="158"/>
              <w:spacing w:after="0"/>
              <w:rPr>
                <w:sz w:val="20"/>
                <w:szCs w:val="20"/>
                <w:color w:val="auto"/>
              </w:rPr>
            </w:pPr>
            <w:r>
              <w:rPr>
                <w:rFonts w:ascii="Arial" w:cs="Arial" w:eastAsia="Arial" w:hAnsi="Arial"/>
                <w:sz w:val="12"/>
                <w:szCs w:val="12"/>
                <w:color w:val="auto"/>
              </w:rPr>
              <w:t>49.7%</w:t>
            </w:r>
          </w:p>
        </w:tc>
        <w:tc>
          <w:tcPr>
            <w:tcW w:w="1380" w:type="dxa"/>
            <w:vAlign w:val="bottom"/>
            <w:tcBorders>
              <w:bottom w:val="single" w:sz="8" w:color="auto"/>
            </w:tcBorders>
          </w:tcPr>
          <w:p>
            <w:pPr>
              <w:jc w:val="center"/>
              <w:ind w:left="138"/>
              <w:spacing w:after="0"/>
              <w:rPr>
                <w:sz w:val="20"/>
                <w:szCs w:val="20"/>
                <w:color w:val="auto"/>
              </w:rPr>
            </w:pPr>
            <w:r>
              <w:rPr>
                <w:rFonts w:ascii="Arial" w:cs="Arial" w:eastAsia="Arial" w:hAnsi="Arial"/>
                <w:sz w:val="12"/>
                <w:szCs w:val="12"/>
                <w:color w:val="auto"/>
                <w:w w:val="99"/>
              </w:rPr>
              <w:t>51.3%</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160 bps</w:t>
            </w:r>
          </w:p>
        </w:tc>
        <w:tc>
          <w:tcPr>
            <w:tcW w:w="20" w:type="dxa"/>
            <w:vAlign w:val="bottom"/>
            <w:tcBorders>
              <w:bottom w:val="single" w:sz="8" w:color="auto"/>
            </w:tcBorders>
          </w:tcPr>
          <w:p>
            <w:pPr>
              <w:spacing w:after="0"/>
              <w:rPr>
                <w:sz w:val="13"/>
                <w:szCs w:val="13"/>
                <w:color w:val="auto"/>
              </w:rPr>
            </w:pPr>
          </w:p>
        </w:tc>
      </w:tr>
      <w:tr>
        <w:trPr>
          <w:trHeight w:val="140"/>
        </w:trPr>
        <w:tc>
          <w:tcPr>
            <w:tcW w:w="1640" w:type="dxa"/>
            <w:vAlign w:val="bottom"/>
          </w:tcPr>
          <w:p>
            <w:pPr>
              <w:ind w:left="40"/>
              <w:spacing w:after="0"/>
              <w:rPr>
                <w:sz w:val="20"/>
                <w:szCs w:val="20"/>
                <w:color w:val="auto"/>
              </w:rPr>
            </w:pPr>
            <w:r>
              <w:rPr>
                <w:rFonts w:ascii="Arial" w:cs="Arial" w:eastAsia="Arial" w:hAnsi="Arial"/>
                <w:sz w:val="12"/>
                <w:szCs w:val="12"/>
                <w:b w:val="1"/>
                <w:bCs w:val="1"/>
                <w:color w:val="auto"/>
              </w:rPr>
              <w:t>Credicorp</w:t>
            </w: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rPr>
              <w:t>44.6%</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9"/>
              </w:rPr>
              <w:t>43.6%</w:t>
            </w: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w w:val="99"/>
              </w:rPr>
              <w:t>44.9%</w:t>
            </w:r>
          </w:p>
        </w:tc>
        <w:tc>
          <w:tcPr>
            <w:tcW w:w="820" w:type="dxa"/>
            <w:vAlign w:val="bottom"/>
          </w:tcPr>
          <w:p>
            <w:pPr>
              <w:jc w:val="center"/>
              <w:ind w:left="278"/>
              <w:spacing w:after="0"/>
              <w:rPr>
                <w:sz w:val="20"/>
                <w:szCs w:val="20"/>
                <w:color w:val="auto"/>
              </w:rPr>
            </w:pPr>
            <w:r>
              <w:rPr>
                <w:rFonts w:ascii="Arial" w:cs="Arial" w:eastAsia="Arial" w:hAnsi="Arial"/>
                <w:sz w:val="12"/>
                <w:szCs w:val="12"/>
                <w:b w:val="1"/>
                <w:bCs w:val="1"/>
                <w:color w:val="auto"/>
                <w:w w:val="98"/>
              </w:rPr>
              <w:t>131 bps</w:t>
            </w:r>
          </w:p>
        </w:tc>
        <w:tc>
          <w:tcPr>
            <w:tcW w:w="1420" w:type="dxa"/>
            <w:vAlign w:val="bottom"/>
          </w:tcPr>
          <w:p>
            <w:pPr>
              <w:jc w:val="center"/>
              <w:ind w:left="198"/>
              <w:spacing w:after="0"/>
              <w:rPr>
                <w:sz w:val="20"/>
                <w:szCs w:val="20"/>
                <w:color w:val="auto"/>
              </w:rPr>
            </w:pPr>
            <w:r>
              <w:rPr>
                <w:rFonts w:ascii="Arial" w:cs="Arial" w:eastAsia="Arial" w:hAnsi="Arial"/>
                <w:sz w:val="12"/>
                <w:szCs w:val="12"/>
                <w:b w:val="1"/>
                <w:bCs w:val="1"/>
                <w:color w:val="auto"/>
              </w:rPr>
              <w:t>30 bps</w:t>
            </w:r>
          </w:p>
        </w:tc>
        <w:tc>
          <w:tcPr>
            <w:tcW w:w="780" w:type="dxa"/>
            <w:vAlign w:val="bottom"/>
          </w:tcPr>
          <w:p>
            <w:pPr>
              <w:jc w:val="center"/>
              <w:ind w:left="158"/>
              <w:spacing w:after="0"/>
              <w:rPr>
                <w:sz w:val="20"/>
                <w:szCs w:val="20"/>
                <w:color w:val="auto"/>
              </w:rPr>
            </w:pPr>
            <w:r>
              <w:rPr>
                <w:rFonts w:ascii="Arial" w:cs="Arial" w:eastAsia="Arial" w:hAnsi="Arial"/>
                <w:sz w:val="12"/>
                <w:szCs w:val="12"/>
                <w:b w:val="1"/>
                <w:bCs w:val="1"/>
                <w:color w:val="auto"/>
              </w:rPr>
              <w:t>44.4%</w:t>
            </w:r>
          </w:p>
        </w:tc>
        <w:tc>
          <w:tcPr>
            <w:tcW w:w="1380" w:type="dxa"/>
            <w:vAlign w:val="bottom"/>
          </w:tcPr>
          <w:p>
            <w:pPr>
              <w:jc w:val="center"/>
              <w:ind w:left="138"/>
              <w:spacing w:after="0"/>
              <w:rPr>
                <w:sz w:val="20"/>
                <w:szCs w:val="20"/>
                <w:color w:val="auto"/>
              </w:rPr>
            </w:pPr>
            <w:r>
              <w:rPr>
                <w:rFonts w:ascii="Arial" w:cs="Arial" w:eastAsia="Arial" w:hAnsi="Arial"/>
                <w:sz w:val="12"/>
                <w:szCs w:val="12"/>
                <w:b w:val="1"/>
                <w:bCs w:val="1"/>
                <w:color w:val="auto"/>
                <w:w w:val="99"/>
              </w:rPr>
              <w:t>44.3%</w:t>
            </w:r>
          </w:p>
        </w:tc>
        <w:tc>
          <w:tcPr>
            <w:tcW w:w="1560" w:type="dxa"/>
            <w:vAlign w:val="bottom"/>
          </w:tcPr>
          <w:p>
            <w:pPr>
              <w:jc w:val="center"/>
              <w:spacing w:after="0"/>
              <w:rPr>
                <w:sz w:val="20"/>
                <w:szCs w:val="20"/>
                <w:color w:val="auto"/>
              </w:rPr>
            </w:pPr>
            <w:r>
              <w:rPr>
                <w:rFonts w:ascii="Arial" w:cs="Arial" w:eastAsia="Arial" w:hAnsi="Arial"/>
                <w:sz w:val="12"/>
                <w:szCs w:val="12"/>
                <w:b w:val="1"/>
                <w:bCs w:val="1"/>
                <w:color w:val="auto"/>
                <w:w w:val="99"/>
              </w:rPr>
              <w:t>-19 bps</w:t>
            </w:r>
          </w:p>
        </w:tc>
        <w:tc>
          <w:tcPr>
            <w:tcW w:w="20" w:type="dxa"/>
            <w:vAlign w:val="bottom"/>
          </w:tcPr>
          <w:p>
            <w:pPr>
              <w:spacing w:after="0"/>
              <w:rPr>
                <w:sz w:val="12"/>
                <w:szCs w:val="12"/>
                <w:color w:val="auto"/>
              </w:rPr>
            </w:pPr>
          </w:p>
        </w:tc>
      </w:tr>
    </w:tbl>
    <w:p>
      <w:pPr>
        <w:ind w:right="40" w:firstLine="9"/>
        <w:spacing w:after="0" w:line="333" w:lineRule="auto"/>
        <w:tabs>
          <w:tab w:leader="none" w:pos="149" w:val="left"/>
        </w:tabs>
        <w:numPr>
          <w:ilvl w:val="0"/>
          <w:numId w:val="43"/>
        </w:numPr>
        <w:rPr>
          <w:rFonts w:ascii="Arial" w:cs="Arial" w:eastAsia="Arial" w:hAnsi="Arial"/>
          <w:sz w:val="8"/>
          <w:szCs w:val="8"/>
          <w:color w:val="auto"/>
        </w:rPr>
      </w:pPr>
      <w:r>
        <w:rPr>
          <w:rFonts w:ascii="Arial" w:cs="Arial" w:eastAsia="Arial" w:hAnsi="Arial"/>
          <w:sz w:val="8"/>
          <w:szCs w:val="8"/>
          <w:color w:val="auto"/>
        </w:rPr>
        <w:t>Operating expenses / Operating income (under IFRS 17). Operating expenses = Salaries and employees benefits + Administrative expenses + Depreciation and amortization + Association in participation + Acquisition cost. Operating income = Net interest, similar income, and expenses + Fee income + Net gain on foreign exchange transactions + Net gain from associates +Net gain on derivatives held for trading + Net gain from exchange differences + Net Insurance Underwriting Results.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Our analysis will focus on YTD movements to eliminate the effects of seasonality between quarters.</w:t>
      </w:r>
    </w:p>
    <w:p>
      <w:pPr>
        <w:spacing w:after="0" w:line="148"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The efficiency ratio registers an improvement of 19 bps YTD. This evolution was driven primarily by growth in core income, which was fueled by an improvement in the loan mix and an increase in fee income through digital channels and Yape in particular. Income growth was bolstered by controlled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741680</wp:posOffset>
            </wp:positionV>
            <wp:extent cx="7164705" cy="133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81915</wp:posOffset>
            </wp:positionV>
            <wp:extent cx="1502410" cy="4438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264795</wp:posOffset>
            </wp:positionV>
            <wp:extent cx="1711325" cy="260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11325" cy="260985"/>
                    </a:xfrm>
                    <a:prstGeom prst="rect">
                      <a:avLst/>
                    </a:prstGeom>
                    <a:noFill/>
                  </pic:spPr>
                </pic:pic>
              </a:graphicData>
            </a:graphic>
          </wp:anchor>
        </w:drawing>
      </w:r>
    </w:p>
    <w:p>
      <w:pPr>
        <w:sectPr>
          <w:pgSz w:w="11900" w:h="16838" w:orient="portrait"/>
          <w:cols w:equalWidth="0" w:num="1">
            <w:col w:w="10840"/>
          </w:cols>
          <w:pgMar w:left="540" w:top="300" w:right="519" w:bottom="1440" w:gutter="0" w:footer="0" w:header="0"/>
        </w:sectPr>
      </w:pPr>
    </w:p>
    <w:bookmarkStart w:id="42" w:name="page43"/>
    <w:bookmarkEnd w:id="42"/>
    <w:p>
      <w:pPr>
        <w:ind w:left="2480"/>
        <w:spacing w:after="0"/>
        <w:tabs>
          <w:tab w:leader="none" w:pos="2680" w:val="left"/>
          <w:tab w:leader="none" w:pos="7680"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3657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4705" cy="365760"/>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E93BAB"/>
        </w:rPr>
        <w:t xml:space="preserve">10 </w:t>
      </w:r>
      <w:r>
        <w:rPr>
          <w:rFonts w:ascii="Arial" w:cs="Arial" w:eastAsia="Arial" w:hAnsi="Arial"/>
          <w:sz w:val="24"/>
          <w:szCs w:val="24"/>
          <w:color w:val="E93BAB"/>
        </w:rPr>
        <w:t>Regulatory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118745</wp:posOffset>
            </wp:positionV>
            <wp:extent cx="6877685" cy="8883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77685" cy="888365"/>
                    </a:xfrm>
                    <a:prstGeom prst="rect">
                      <a:avLst/>
                    </a:prstGeom>
                    <a:noFill/>
                  </pic:spPr>
                </pic:pic>
              </a:graphicData>
            </a:graphic>
          </wp:anchor>
        </w:drawing>
      </w:r>
    </w:p>
    <w:p>
      <w:pPr>
        <w:spacing w:after="0" w:line="236" w:lineRule="exact"/>
        <w:rPr>
          <w:sz w:val="20"/>
          <w:szCs w:val="20"/>
          <w:color w:val="auto"/>
        </w:rPr>
      </w:pPr>
    </w:p>
    <w:p>
      <w:pPr>
        <w:ind w:left="80"/>
        <w:spacing w:after="0"/>
        <w:rPr>
          <w:sz w:val="20"/>
          <w:szCs w:val="20"/>
          <w:color w:val="auto"/>
        </w:rPr>
      </w:pPr>
      <w:r>
        <w:rPr>
          <w:rFonts w:ascii="Arial" w:cs="Arial" w:eastAsia="Arial" w:hAnsi="Arial"/>
          <w:sz w:val="14"/>
          <w:szCs w:val="14"/>
          <w:color w:val="FFFFFF"/>
        </w:rPr>
        <w:t>Regulatory Capital Ratio stood 1.33 times above the regulatory limit.</w:t>
      </w:r>
    </w:p>
    <w:p>
      <w:pPr>
        <w:spacing w:after="0" w:line="148" w:lineRule="exact"/>
        <w:rPr>
          <w:sz w:val="20"/>
          <w:szCs w:val="20"/>
          <w:color w:val="auto"/>
        </w:rPr>
      </w:pPr>
    </w:p>
    <w:p>
      <w:pPr>
        <w:ind w:left="80" w:right="180"/>
        <w:spacing w:after="0" w:line="258" w:lineRule="auto"/>
        <w:rPr>
          <w:sz w:val="20"/>
          <w:szCs w:val="20"/>
          <w:color w:val="auto"/>
        </w:rPr>
      </w:pPr>
      <w:r>
        <w:rPr>
          <w:rFonts w:ascii="Arial" w:cs="Arial" w:eastAsia="Arial" w:hAnsi="Arial"/>
          <w:sz w:val="14"/>
          <w:szCs w:val="14"/>
          <w:color w:val="FFFFFF"/>
        </w:rPr>
        <w:t>IFRS CET1 at BCP Stand-alone dropped 74bps YoY to stand at 12.05%. This evolution, which was driven by growth in RWAs, was attributable to loan expansion and partially offset by an increase in Retained Earnings.</w:t>
      </w:r>
    </w:p>
    <w:p>
      <w:pPr>
        <w:spacing w:after="0" w:line="117" w:lineRule="exact"/>
        <w:rPr>
          <w:sz w:val="20"/>
          <w:szCs w:val="20"/>
          <w:color w:val="auto"/>
        </w:rPr>
      </w:pPr>
    </w:p>
    <w:p>
      <w:pPr>
        <w:ind w:left="80" w:right="120"/>
        <w:spacing w:after="0" w:line="258" w:lineRule="auto"/>
        <w:rPr>
          <w:sz w:val="20"/>
          <w:szCs w:val="20"/>
          <w:color w:val="auto"/>
        </w:rPr>
      </w:pPr>
      <w:r>
        <w:rPr>
          <w:rFonts w:ascii="Arial" w:cs="Arial" w:eastAsia="Arial" w:hAnsi="Arial"/>
          <w:sz w:val="14"/>
          <w:szCs w:val="14"/>
          <w:color w:val="FFFFFF"/>
        </w:rPr>
        <w:t>The IFRS CET1 ratio at Mibanco rose 12 bps YoY, situating at 16.72%. A drop in RWAs (-11.7%), which was offset by a decrease in the balance for Retain Earnings (-113.0%), impacted this dynamic.</w:t>
      </w: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10.1 Regulatory Capital at Credicorp</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analysis of Financial Group.</w:t>
      </w:r>
    </w:p>
    <w:p>
      <w:pPr>
        <w:spacing w:after="0" w:line="150"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In 2022, the Superintendency of Banking, Insurance, and AFP (SBS) established the legal bases to align the country’s regulato ry framework with the capital standards set by Basel III. The entity issued resolutions that modified both the structure and composition of regulatory capital and capital requirements for companies in the financial system. Most of these changes were implemented beginning in 2023. For more details, we suggest you refer to our 1Q23 Quarterly Report.</w:t>
      </w:r>
    </w:p>
    <w:p>
      <w:pPr>
        <w:spacing w:after="0" w:line="126" w:lineRule="exact"/>
        <w:rPr>
          <w:sz w:val="20"/>
          <w:szCs w:val="20"/>
          <w:color w:val="auto"/>
        </w:rPr>
      </w:pPr>
    </w:p>
    <w:p>
      <w:pPr>
        <w:jc w:val="both"/>
        <w:spacing w:after="0" w:line="217" w:lineRule="auto"/>
        <w:rPr>
          <w:sz w:val="20"/>
          <w:szCs w:val="20"/>
          <w:color w:val="auto"/>
        </w:rPr>
      </w:pPr>
      <w:r>
        <w:rPr>
          <w:rFonts w:ascii="Arial" w:cs="Arial" w:eastAsia="Arial" w:hAnsi="Arial"/>
          <w:sz w:val="14"/>
          <w:szCs w:val="14"/>
          <w:color w:val="auto"/>
        </w:rPr>
        <w:t>In 2024, with the objective to continue aligning local regulation with Basel III, the SBS modified the structure and composition of Total Regulatory Capital for financial conglomerates. These changes included incorporating the following elements in the calculation of Total Regulatory Capital: (i) Retained Earnings</w:t>
      </w:r>
      <w:r>
        <w:rPr>
          <w:rFonts w:ascii="Arial" w:cs="Arial" w:eastAsia="Arial" w:hAnsi="Arial"/>
          <w:sz w:val="22"/>
          <w:szCs w:val="22"/>
          <w:color w:val="auto"/>
          <w:vertAlign w:val="superscript"/>
        </w:rPr>
        <w:t>1</w:t>
      </w:r>
      <w:r>
        <w:rPr>
          <w:rFonts w:ascii="Arial" w:cs="Arial" w:eastAsia="Arial" w:hAnsi="Arial"/>
          <w:sz w:val="14"/>
          <w:szCs w:val="14"/>
          <w:color w:val="auto"/>
        </w:rPr>
        <w:t xml:space="preserve"> and (ii) Unrealized Gains/Losses</w:t>
      </w:r>
      <w:r>
        <w:rPr>
          <w:rFonts w:ascii="Arial" w:cs="Arial" w:eastAsia="Arial" w:hAnsi="Arial"/>
          <w:sz w:val="22"/>
          <w:szCs w:val="22"/>
          <w:color w:val="auto"/>
          <w:vertAlign w:val="superscript"/>
        </w:rPr>
        <w:t>2</w:t>
      </w:r>
      <w:r>
        <w:rPr>
          <w:rFonts w:ascii="Arial" w:cs="Arial" w:eastAsia="Arial" w:hAnsi="Arial"/>
          <w:sz w:val="14"/>
          <w:szCs w:val="14"/>
          <w:color w:val="auto"/>
        </w:rPr>
        <w:t>, as well as deductions of Net Intangible Assets &amp; DTAs.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Two minimum capital requirements have been included: minimum required for Common Equity Tier 1 Capital (CET 1) and minimum Tier 1 Total Regulatory Capital (Tier 1).</w:t>
      </w:r>
    </w:p>
    <w:p>
      <w:pPr>
        <w:ind w:left="260" w:hanging="251"/>
        <w:spacing w:after="0" w:line="237" w:lineRule="auto"/>
        <w:tabs>
          <w:tab w:leader="none" w:pos="2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Minimum required for CET 1: 45% of Credicorp’s capital requirement and 100% of the conservation, economic cycle and risk concentration buffers.</w:t>
      </w:r>
    </w:p>
    <w:p>
      <w:pPr>
        <w:ind w:left="260" w:hanging="251"/>
        <w:spacing w:after="0"/>
        <w:tabs>
          <w:tab w:leader="none" w:pos="2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Minimum required for Tier 1: 60% of Credicorp’s capital requirement and 100% of the conservation, economic cycle and risk concentration buffers.</w:t>
      </w:r>
    </w:p>
    <w:p>
      <w:pPr>
        <w:spacing w:after="0" w:line="136" w:lineRule="exact"/>
        <w:rPr>
          <w:sz w:val="20"/>
          <w:szCs w:val="20"/>
          <w:color w:val="auto"/>
        </w:rPr>
      </w:pPr>
    </w:p>
    <w:p>
      <w:pPr>
        <w:jc w:val="both"/>
        <w:ind w:right="5620"/>
        <w:spacing w:after="0" w:line="236" w:lineRule="auto"/>
        <w:rPr>
          <w:sz w:val="20"/>
          <w:szCs w:val="20"/>
          <w:color w:val="auto"/>
        </w:rPr>
      </w:pPr>
      <w:r>
        <w:rPr>
          <w:rFonts w:ascii="Arial" w:cs="Arial" w:eastAsia="Arial" w:hAnsi="Arial"/>
          <w:sz w:val="14"/>
          <w:szCs w:val="14"/>
          <w:color w:val="auto"/>
        </w:rPr>
        <w:t>Regarding Credicorp, at the end of 2Q24, the Regulatory Capital Ratio stood 1.33 times above the minimum required, which attests our financial solidness and stability.The ratio increased 6 bps QoQ driven by an increase in Retained Earnings, particularly at BCP, and by growth in Discretionary Reserves related to profit sharing in 2023 and dividend payment. The uptick in the Regulatory Capital Ratio was offset by an increase in the requirements due to loan growth at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-496570</wp:posOffset>
            </wp:positionV>
            <wp:extent cx="1952625" cy="1169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952625" cy="1169035"/>
                    </a:xfrm>
                    <a:prstGeom prst="rect">
                      <a:avLst/>
                    </a:prstGeom>
                    <a:noFill/>
                  </pic:spPr>
                </pic:pic>
              </a:graphicData>
            </a:graphic>
          </wp:anchor>
        </w:drawing>
      </w:r>
    </w:p>
    <w:p>
      <w:pPr>
        <w:spacing w:after="0" w:line="110" w:lineRule="exact"/>
        <w:rPr>
          <w:sz w:val="20"/>
          <w:szCs w:val="20"/>
          <w:color w:val="auto"/>
        </w:rPr>
      </w:pPr>
    </w:p>
    <w:p>
      <w:pPr>
        <w:jc w:val="both"/>
        <w:ind w:right="5620"/>
        <w:spacing w:after="0" w:line="239" w:lineRule="auto"/>
        <w:rPr>
          <w:sz w:val="20"/>
          <w:szCs w:val="20"/>
          <w:color w:val="auto"/>
        </w:rPr>
      </w:pPr>
      <w:r>
        <w:rPr>
          <w:rFonts w:ascii="Arial" w:cs="Arial" w:eastAsia="Arial" w:hAnsi="Arial"/>
          <w:sz w:val="14"/>
          <w:szCs w:val="14"/>
          <w:color w:val="auto"/>
        </w:rPr>
        <w:t>Regulatory Tier 1 rose 1.71 times (+10 bps) while Common Equity Tier 1 stood at 2.09 (+12 bps), both ratios are above the minimum required. Growth in both ratios was driven by the same dynamics that fueled an uptick in Total Regulatory Capital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410845</wp:posOffset>
            </wp:positionV>
            <wp:extent cx="1403985"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40398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0" w:hanging="71"/>
        <w:spacing w:after="0"/>
        <w:tabs>
          <w:tab w:leader="none" w:pos="80" w:val="left"/>
        </w:tabs>
        <w:numPr>
          <w:ilvl w:val="0"/>
          <w:numId w:val="45"/>
        </w:numPr>
        <w:rPr>
          <w:rFonts w:ascii="Arial" w:cs="Arial" w:eastAsia="Arial" w:hAnsi="Arial"/>
          <w:sz w:val="18"/>
          <w:szCs w:val="18"/>
          <w:color w:val="auto"/>
          <w:vertAlign w:val="superscript"/>
        </w:rPr>
      </w:pPr>
      <w:r>
        <w:rPr>
          <w:rFonts w:ascii="Arial" w:cs="Arial" w:eastAsia="Arial" w:hAnsi="Arial"/>
          <w:sz w:val="11"/>
          <w:szCs w:val="11"/>
          <w:color w:val="auto"/>
        </w:rPr>
        <w:t>Includes Accumulated Earnings solely from Financial Entities Supervised by the SBS, according to the current regulation.</w:t>
      </w:r>
    </w:p>
    <w:p>
      <w:pPr>
        <w:spacing w:after="0" w:line="104" w:lineRule="exact"/>
        <w:rPr>
          <w:sz w:val="20"/>
          <w:szCs w:val="20"/>
          <w:color w:val="auto"/>
        </w:rPr>
      </w:pPr>
    </w:p>
    <w:p>
      <w:pPr>
        <w:ind w:right="40" w:firstLine="9"/>
        <w:spacing w:after="0" w:line="191" w:lineRule="auto"/>
        <w:tabs>
          <w:tab w:leader="none" w:pos="76" w:val="left"/>
        </w:tabs>
        <w:numPr>
          <w:ilvl w:val="0"/>
          <w:numId w:val="46"/>
        </w:numPr>
        <w:rPr>
          <w:rFonts w:ascii="Arial" w:cs="Arial" w:eastAsia="Arial" w:hAnsi="Arial"/>
          <w:sz w:val="18"/>
          <w:szCs w:val="18"/>
          <w:color w:val="auto"/>
          <w:vertAlign w:val="superscript"/>
        </w:rPr>
      </w:pPr>
      <w:r>
        <w:rPr>
          <w:rFonts w:ascii="Arial" w:cs="Arial" w:eastAsia="Arial" w:hAnsi="Arial"/>
          <w:sz w:val="11"/>
          <w:szCs w:val="11"/>
          <w:color w:val="auto"/>
        </w:rPr>
        <w:t>Includes Unrealized Losses attributable to Available-For-Sale Investments in debt instruments issued by the Peruvian Government, other Governments with Investment Grade Ratings, the Peruvian Central Bank and other instruments, in accordance with current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756285</wp:posOffset>
            </wp:positionV>
            <wp:extent cx="7164705" cy="133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90170</wp:posOffset>
            </wp:positionV>
            <wp:extent cx="1502410" cy="4438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253365</wp:posOffset>
            </wp:positionV>
            <wp:extent cx="1717675" cy="2806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17675" cy="280670"/>
                    </a:xfrm>
                    <a:prstGeom prst="rect">
                      <a:avLst/>
                    </a:prstGeom>
                    <a:noFill/>
                  </pic:spPr>
                </pic:pic>
              </a:graphicData>
            </a:graphic>
          </wp:anchor>
        </w:drawing>
      </w:r>
    </w:p>
    <w:p>
      <w:pPr>
        <w:sectPr>
          <w:pgSz w:w="11900" w:h="16838" w:orient="portrait"/>
          <w:cols w:equalWidth="0" w:num="1">
            <w:col w:w="10800"/>
          </w:cols>
          <w:pgMar w:left="540" w:top="300" w:right="559" w:bottom="1440" w:gutter="0" w:footer="0" w:header="0"/>
        </w:sectPr>
      </w:pPr>
    </w:p>
    <w:bookmarkStart w:id="43" w:name="page44"/>
    <w:bookmarkEnd w:id="43"/>
    <w:p>
      <w:pPr>
        <w:ind w:left="2480"/>
        <w:spacing w:after="0"/>
        <w:tabs>
          <w:tab w:leader="none" w:pos="2680" w:val="left"/>
          <w:tab w:leader="none" w:pos="7680"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10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4705" cy="581025"/>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10. Regulatory Capital</w:t>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10.2 Analysis of Capital at BCP Stand-alone</w:t>
      </w:r>
    </w:p>
    <w:p>
      <w:pPr>
        <w:spacing w:after="0" w:line="150" w:lineRule="exact"/>
        <w:rPr>
          <w:sz w:val="20"/>
          <w:szCs w:val="20"/>
          <w:color w:val="auto"/>
        </w:rPr>
      </w:pPr>
    </w:p>
    <w:p>
      <w:pPr>
        <w:jc w:val="both"/>
        <w:ind w:left="5620"/>
        <w:spacing w:after="0" w:line="236" w:lineRule="auto"/>
        <w:rPr>
          <w:sz w:val="20"/>
          <w:szCs w:val="20"/>
          <w:color w:val="auto"/>
        </w:rPr>
      </w:pPr>
      <w:r>
        <w:rPr>
          <w:rFonts w:ascii="Arial" w:cs="Arial" w:eastAsia="Arial" w:hAnsi="Arial"/>
          <w:sz w:val="14"/>
          <w:szCs w:val="14"/>
          <w:color w:val="auto"/>
        </w:rPr>
        <w:t>BCP Stand-alone’s IFRS CET 1 ratio registered growth of 20 bps QoQ to stand at 12.05% at the end of 2Q24. This level, which was above our internal appetite of 11%, reflected an increase in Retained Earnings, which was in turn driven by the evolution of BCP’s business. Growth in Retained Earnings was offset by a 5.1% increase in total loans. YoY, the IFRS CET 1 ratio dropped 74 bps. This evolution was fueled by growth in RWAS, which rose on the back of an increase in NPLs.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2148840" cy="1560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48840" cy="1560830"/>
                    </a:xfrm>
                    <a:prstGeom prst="rect">
                      <a:avLst/>
                    </a:prstGeom>
                    <a:noFill/>
                  </pic:spPr>
                </pic:pic>
              </a:graphicData>
            </a:graphic>
          </wp:anchor>
        </w:drawing>
      </w:r>
    </w:p>
    <w:p>
      <w:pPr>
        <w:spacing w:after="0" w:line="110" w:lineRule="exact"/>
        <w:rPr>
          <w:sz w:val="20"/>
          <w:szCs w:val="20"/>
          <w:color w:val="auto"/>
        </w:rPr>
      </w:pPr>
    </w:p>
    <w:p>
      <w:pPr>
        <w:jc w:val="both"/>
        <w:ind w:left="5620"/>
        <w:spacing w:after="0" w:line="237" w:lineRule="auto"/>
        <w:rPr>
          <w:sz w:val="20"/>
          <w:szCs w:val="20"/>
          <w:color w:val="auto"/>
        </w:rPr>
      </w:pPr>
      <w:r>
        <w:rPr>
          <w:rFonts w:ascii="Arial" w:cs="Arial" w:eastAsia="Arial" w:hAnsi="Arial"/>
          <w:sz w:val="14"/>
          <w:szCs w:val="14"/>
          <w:color w:val="auto"/>
        </w:rPr>
        <w:t>Finally, under the parameters of current regulation, the Regulatory Global Capital Ratio stood at 16.24% (+12 pbs TaT). This result compares favorably with the mininum required by the regulator (12.58%) as of June 2024, and reflects our prudent solvency management. QoQ and YoY, the Regulatory Global Capital Ratio was impacted by the same dynamics that drove the evolutin of IFRS CET1.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The local CET 1 ratio stood at 11.90%, which comparese favorably with the 6.68% minimum required as of June 2024.</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10.3 Analysis of Capital at Mibanco</w:t>
      </w:r>
    </w:p>
    <w:p>
      <w:pPr>
        <w:spacing w:after="0" w:line="150" w:lineRule="exact"/>
        <w:rPr>
          <w:sz w:val="20"/>
          <w:szCs w:val="20"/>
          <w:color w:val="auto"/>
        </w:rPr>
      </w:pPr>
    </w:p>
    <w:p>
      <w:pPr>
        <w:jc w:val="both"/>
        <w:ind w:left="5620"/>
        <w:spacing w:after="0" w:line="236" w:lineRule="auto"/>
        <w:rPr>
          <w:sz w:val="20"/>
          <w:szCs w:val="20"/>
          <w:color w:val="auto"/>
        </w:rPr>
      </w:pPr>
      <w:r>
        <w:rPr>
          <w:rFonts w:ascii="Arial" w:cs="Arial" w:eastAsia="Arial" w:hAnsi="Arial"/>
          <w:sz w:val="14"/>
          <w:szCs w:val="14"/>
          <w:color w:val="auto"/>
        </w:rPr>
        <w:t>At the end of 2Q24, the IFRS CET 1 Ratio at Mibanco stood at 16.72% (66 bps QoQ), above our internal appetite of 15%. This increase was driven primarily by a drop in the RWA level, which reflected a contraction in total loans, and secondarily by an uptick in the level of Retained Earnings. YoY, this ratio rose 12 bps, impacted by a decrease in the RWA level (same dynamics as those seen QoQ) but offset by a drop in the balance for 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2122805" cy="1541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122805" cy="1541145"/>
                    </a:xfrm>
                    <a:prstGeom prst="rect">
                      <a:avLst/>
                    </a:prstGeom>
                    <a:noFill/>
                  </pic:spPr>
                </pic:pic>
              </a:graphicData>
            </a:graphic>
          </wp:anchor>
        </w:drawing>
      </w:r>
    </w:p>
    <w:p>
      <w:pPr>
        <w:spacing w:after="0" w:line="110" w:lineRule="exact"/>
        <w:rPr>
          <w:sz w:val="20"/>
          <w:szCs w:val="20"/>
          <w:color w:val="auto"/>
        </w:rPr>
      </w:pPr>
    </w:p>
    <w:p>
      <w:pPr>
        <w:jc w:val="both"/>
        <w:ind w:left="5620"/>
        <w:spacing w:after="0" w:line="237" w:lineRule="auto"/>
        <w:rPr>
          <w:sz w:val="20"/>
          <w:szCs w:val="20"/>
          <w:color w:val="auto"/>
        </w:rPr>
      </w:pPr>
      <w:r>
        <w:rPr>
          <w:rFonts w:ascii="Arial" w:cs="Arial" w:eastAsia="Arial" w:hAnsi="Arial"/>
          <w:sz w:val="14"/>
          <w:szCs w:val="14"/>
          <w:color w:val="auto"/>
        </w:rPr>
        <w:t>The Regulatory Global Capital Ratio at Mibanco stood at 18.95% (-92 bps QoQ), which is comfortably above the mínimum required by the regulatory of 13.36%. This variation was driven by the same factors as those that droven the evolution of IFRS CET 1. The local CET 1 ratio situated at 16.62% at quarter-end, which compares favorably with the minimum of 6.68% required at the end of June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1221105</wp:posOffset>
            </wp:positionV>
            <wp:extent cx="7164705" cy="133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561340</wp:posOffset>
            </wp:positionV>
            <wp:extent cx="1502410" cy="443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5263515</wp:posOffset>
            </wp:positionH>
            <wp:positionV relativeFrom="paragraph">
              <wp:posOffset>711835</wp:posOffset>
            </wp:positionV>
            <wp:extent cx="1750695" cy="2940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750695" cy="294005"/>
                    </a:xfrm>
                    <a:prstGeom prst="rect">
                      <a:avLst/>
                    </a:prstGeom>
                    <a:noFill/>
                  </pic:spPr>
                </pic:pic>
              </a:graphicData>
            </a:graphic>
          </wp:anchor>
        </w:drawing>
      </w:r>
    </w:p>
    <w:p>
      <w:pPr>
        <w:sectPr>
          <w:pgSz w:w="11900" w:h="16838" w:orient="portrait"/>
          <w:cols w:equalWidth="0" w:num="1">
            <w:col w:w="10800"/>
          </w:cols>
          <w:pgMar w:left="540" w:top="300" w:right="559" w:bottom="1440" w:gutter="0" w:footer="0" w:header="0"/>
        </w:sectPr>
      </w:pPr>
    </w:p>
    <w:bookmarkStart w:id="44" w:name="page45"/>
    <w:bookmarkEnd w:id="44"/>
    <w:p>
      <w:pPr>
        <w:ind w:left="2480"/>
        <w:spacing w:after="0"/>
        <w:tabs>
          <w:tab w:leader="none" w:pos="2680" w:val="left"/>
          <w:tab w:leader="none" w:pos="7680"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3594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64705" cy="359410"/>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209" w:lineRule="exact"/>
        <w:rPr>
          <w:sz w:val="20"/>
          <w:szCs w:val="20"/>
          <w:color w:val="auto"/>
        </w:rPr>
      </w:pPr>
    </w:p>
    <w:p>
      <w:pPr>
        <w:spacing w:after="0"/>
        <w:rPr>
          <w:sz w:val="20"/>
          <w:szCs w:val="20"/>
          <w:color w:val="auto"/>
        </w:rPr>
      </w:pPr>
      <w:r>
        <w:rPr>
          <w:rFonts w:ascii="Arial" w:cs="Arial" w:eastAsia="Arial" w:hAnsi="Arial"/>
          <w:sz w:val="40"/>
          <w:szCs w:val="40"/>
          <w:b w:val="1"/>
          <w:bCs w:val="1"/>
          <w:color w:val="E93BAB"/>
        </w:rPr>
        <w:t xml:space="preserve">11 </w:t>
      </w:r>
      <w:r>
        <w:rPr>
          <w:rFonts w:ascii="Arial" w:cs="Arial" w:eastAsia="Arial" w:hAnsi="Arial"/>
          <w:sz w:val="24"/>
          <w:szCs w:val="24"/>
          <w:color w:val="E93BAB"/>
        </w:rPr>
        <w:t>Economic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118745</wp:posOffset>
            </wp:positionV>
            <wp:extent cx="6734175" cy="9861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34175" cy="986155"/>
                    </a:xfrm>
                    <a:prstGeom prst="rect">
                      <a:avLst/>
                    </a:prstGeom>
                    <a:noFill/>
                  </pic:spPr>
                </pic:pic>
              </a:graphicData>
            </a:graphic>
          </wp:anchor>
        </w:drawing>
      </w:r>
    </w:p>
    <w:p>
      <w:pPr>
        <w:spacing w:after="0" w:line="236" w:lineRule="exact"/>
        <w:rPr>
          <w:sz w:val="20"/>
          <w:szCs w:val="20"/>
          <w:color w:val="auto"/>
        </w:rPr>
      </w:pPr>
    </w:p>
    <w:p>
      <w:pPr>
        <w:jc w:val="both"/>
        <w:ind w:left="80" w:right="80"/>
        <w:spacing w:after="0" w:line="244" w:lineRule="auto"/>
        <w:rPr>
          <w:sz w:val="20"/>
          <w:szCs w:val="20"/>
          <w:color w:val="auto"/>
        </w:rPr>
      </w:pPr>
      <w:r>
        <w:rPr>
          <w:rFonts w:ascii="Arial" w:cs="Arial" w:eastAsia="Arial" w:hAnsi="Arial"/>
          <w:sz w:val="14"/>
          <w:szCs w:val="14"/>
          <w:color w:val="FFFFFF"/>
        </w:rPr>
        <w:t>In 2Q24, the Peruvian economy is expected to have grown around 4.0% YoY, the second positive print after four quarters of declines. Primary sectors are estimated to have grown 7.5% over the period, bolstered by the agriculture, fishing, and primary manufacturing sectors, while non-primary sectors are projected to have expanded approximately 3.0% YoY, driven by services and non-primary manufacturing.</w:t>
      </w:r>
    </w:p>
    <w:p>
      <w:pPr>
        <w:spacing w:after="0" w:line="126" w:lineRule="exact"/>
        <w:rPr>
          <w:sz w:val="20"/>
          <w:szCs w:val="20"/>
          <w:color w:val="auto"/>
        </w:rPr>
      </w:pPr>
    </w:p>
    <w:p>
      <w:pPr>
        <w:jc w:val="both"/>
        <w:ind w:left="80" w:right="80"/>
        <w:spacing w:after="0" w:line="258" w:lineRule="auto"/>
        <w:rPr>
          <w:sz w:val="20"/>
          <w:szCs w:val="20"/>
          <w:color w:val="auto"/>
        </w:rPr>
      </w:pPr>
      <w:r>
        <w:rPr>
          <w:rFonts w:ascii="Arial" w:cs="Arial" w:eastAsia="Arial" w:hAnsi="Arial"/>
          <w:sz w:val="14"/>
          <w:szCs w:val="14"/>
          <w:color w:val="FFFFFF"/>
        </w:rPr>
        <w:t>The annual inflation rate continued to slow, closing the quarter at 2.3% YoY (3.0% YoY in 1Q24). As such, the BCRP continued reducing its policy rate and cut it by 25 bps in May to 5.75%.</w:t>
      </w:r>
    </w:p>
    <w:p>
      <w:pPr>
        <w:spacing w:after="0" w:line="117" w:lineRule="exact"/>
        <w:rPr>
          <w:sz w:val="20"/>
          <w:szCs w:val="20"/>
          <w:color w:val="auto"/>
        </w:rPr>
      </w:pPr>
    </w:p>
    <w:p>
      <w:pPr>
        <w:jc w:val="both"/>
        <w:ind w:left="80" w:right="80"/>
        <w:spacing w:after="0" w:line="258" w:lineRule="auto"/>
        <w:rPr>
          <w:sz w:val="20"/>
          <w:szCs w:val="20"/>
          <w:color w:val="auto"/>
        </w:rPr>
      </w:pPr>
      <w:r>
        <w:rPr>
          <w:rFonts w:ascii="Arial" w:cs="Arial" w:eastAsia="Arial" w:hAnsi="Arial"/>
          <w:sz w:val="14"/>
          <w:szCs w:val="14"/>
          <w:color w:val="FFFFFF"/>
        </w:rPr>
        <w:t>According to the BCRP, the exchange rate closed at USDPEN 3.83 in 2Q24, a depreciation of 3.2% compared to the print at the end of 1Q24 and 3.4% compared to the end of 2023.</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Peru: Economic Forecast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6165215</wp:posOffset>
            </wp:positionH>
            <wp:positionV relativeFrom="paragraph">
              <wp:posOffset>102870</wp:posOffset>
            </wp:positionV>
            <wp:extent cx="6350" cy="169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350" cy="169545"/>
                    </a:xfrm>
                    <a:prstGeom prst="rect">
                      <a:avLst/>
                    </a:prstGeom>
                    <a:noFill/>
                  </pic:spPr>
                </pic:pic>
              </a:graphicData>
            </a:graphic>
          </wp:anchor>
        </w:drawing>
        <w:drawing>
          <wp:anchor simplePos="0" relativeHeight="251657728" behindDoc="1" locked="0" layoutInCell="0" allowOverlap="1">
            <wp:simplePos x="0" y="0"/>
            <wp:positionH relativeFrom="column">
              <wp:posOffset>5589905</wp:posOffset>
            </wp:positionH>
            <wp:positionV relativeFrom="paragraph">
              <wp:posOffset>102870</wp:posOffset>
            </wp:positionV>
            <wp:extent cx="6350" cy="169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350" cy="169545"/>
                    </a:xfrm>
                    <a:prstGeom prst="rect">
                      <a:avLst/>
                    </a:prstGeom>
                    <a:noFill/>
                  </pic:spPr>
                </pic:pic>
              </a:graphicData>
            </a:graphic>
          </wp:anchor>
        </w:drawing>
        <w:drawing>
          <wp:anchor simplePos="0" relativeHeight="251657728" behindDoc="1" locked="0" layoutInCell="0" allowOverlap="1">
            <wp:simplePos x="0" y="0"/>
            <wp:positionH relativeFrom="column">
              <wp:posOffset>5015230</wp:posOffset>
            </wp:positionH>
            <wp:positionV relativeFrom="paragraph">
              <wp:posOffset>102870</wp:posOffset>
            </wp:positionV>
            <wp:extent cx="6350" cy="169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350" cy="169545"/>
                    </a:xfrm>
                    <a:prstGeom prst="rect">
                      <a:avLst/>
                    </a:prstGeom>
                    <a:noFill/>
                  </pic:spPr>
                </pic:pic>
              </a:graphicData>
            </a:graphic>
          </wp:anchor>
        </w:drawing>
        <w:drawing>
          <wp:anchor simplePos="0" relativeHeight="251657728" behindDoc="1" locked="0" layoutInCell="0" allowOverlap="1">
            <wp:simplePos x="0" y="0"/>
            <wp:positionH relativeFrom="column">
              <wp:posOffset>4440555</wp:posOffset>
            </wp:positionH>
            <wp:positionV relativeFrom="paragraph">
              <wp:posOffset>102870</wp:posOffset>
            </wp:positionV>
            <wp:extent cx="6350" cy="169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350" cy="169545"/>
                    </a:xfrm>
                    <a:prstGeom prst="rect">
                      <a:avLst/>
                    </a:prstGeom>
                    <a:noFill/>
                  </pic:spPr>
                </pic:pic>
              </a:graphicData>
            </a:graphic>
          </wp:anchor>
        </w:drawing>
        <w:drawing>
          <wp:anchor simplePos="0" relativeHeight="251657728" behindDoc="1" locked="0" layoutInCell="0" allowOverlap="1">
            <wp:simplePos x="0" y="0"/>
            <wp:positionH relativeFrom="column">
              <wp:posOffset>3865880</wp:posOffset>
            </wp:positionH>
            <wp:positionV relativeFrom="paragraph">
              <wp:posOffset>102870</wp:posOffset>
            </wp:positionV>
            <wp:extent cx="6350" cy="169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350" cy="16954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102870</wp:posOffset>
            </wp:positionV>
            <wp:extent cx="6350" cy="2876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350" cy="287655"/>
                    </a:xfrm>
                    <a:prstGeom prst="rect">
                      <a:avLst/>
                    </a:prstGeom>
                    <a:noFill/>
                  </pic:spPr>
                </pic:pic>
              </a:graphicData>
            </a:graphic>
          </wp:anchor>
        </w:drawing>
        <w:drawing>
          <wp:anchor simplePos="0" relativeHeight="251657728" behindDoc="1" locked="0" layoutInCell="0" allowOverlap="1">
            <wp:simplePos x="0" y="0"/>
            <wp:positionH relativeFrom="column">
              <wp:posOffset>2729230</wp:posOffset>
            </wp:positionH>
            <wp:positionV relativeFrom="paragraph">
              <wp:posOffset>102870</wp:posOffset>
            </wp:positionV>
            <wp:extent cx="6350" cy="169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350" cy="169545"/>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3740" w:type="dxa"/>
            <w:vAlign w:val="bottom"/>
            <w:shd w:val="clear" w:color="auto" w:fill="29D2C9"/>
          </w:tcPr>
          <w:p>
            <w:pPr>
              <w:spacing w:after="0"/>
              <w:rPr>
                <w:sz w:val="23"/>
                <w:szCs w:val="23"/>
                <w:color w:val="auto"/>
              </w:rPr>
            </w:pPr>
          </w:p>
        </w:tc>
        <w:tc>
          <w:tcPr>
            <w:tcW w:w="1460" w:type="dxa"/>
            <w:vAlign w:val="bottom"/>
            <w:shd w:val="clear" w:color="auto" w:fill="29D2C9"/>
          </w:tcPr>
          <w:p>
            <w:pPr>
              <w:jc w:val="center"/>
              <w:ind w:left="498"/>
              <w:spacing w:after="0"/>
              <w:rPr>
                <w:sz w:val="20"/>
                <w:szCs w:val="20"/>
                <w:color w:val="auto"/>
              </w:rPr>
            </w:pPr>
            <w:r>
              <w:rPr>
                <w:rFonts w:ascii="Arial" w:cs="Arial" w:eastAsia="Arial" w:hAnsi="Arial"/>
                <w:sz w:val="12"/>
                <w:szCs w:val="12"/>
                <w:b w:val="1"/>
                <w:bCs w:val="1"/>
                <w:color w:val="FFFFFF"/>
                <w:w w:val="97"/>
              </w:rPr>
              <w:t>2018</w:t>
            </w:r>
          </w:p>
        </w:tc>
        <w:tc>
          <w:tcPr>
            <w:tcW w:w="900" w:type="dxa"/>
            <w:vAlign w:val="bottom"/>
            <w:shd w:val="clear" w:color="auto" w:fill="29D2C9"/>
          </w:tcPr>
          <w:p>
            <w:pPr>
              <w:jc w:val="center"/>
              <w:spacing w:after="0"/>
              <w:rPr>
                <w:sz w:val="20"/>
                <w:szCs w:val="20"/>
                <w:color w:val="auto"/>
              </w:rPr>
            </w:pPr>
            <w:r>
              <w:rPr>
                <w:rFonts w:ascii="Arial" w:cs="Arial" w:eastAsia="Arial" w:hAnsi="Arial"/>
                <w:sz w:val="12"/>
                <w:szCs w:val="12"/>
                <w:b w:val="1"/>
                <w:bCs w:val="1"/>
                <w:color w:val="FFFFFF"/>
              </w:rPr>
              <w:t>2019</w:t>
            </w:r>
          </w:p>
        </w:tc>
        <w:tc>
          <w:tcPr>
            <w:tcW w:w="900" w:type="dxa"/>
            <w:vAlign w:val="bottom"/>
            <w:shd w:val="clear" w:color="auto" w:fill="29D2C9"/>
          </w:tcPr>
          <w:p>
            <w:pPr>
              <w:jc w:val="center"/>
              <w:spacing w:after="0"/>
              <w:rPr>
                <w:sz w:val="20"/>
                <w:szCs w:val="20"/>
                <w:color w:val="auto"/>
              </w:rPr>
            </w:pPr>
            <w:r>
              <w:rPr>
                <w:rFonts w:ascii="Arial" w:cs="Arial" w:eastAsia="Arial" w:hAnsi="Arial"/>
                <w:sz w:val="12"/>
                <w:szCs w:val="12"/>
                <w:b w:val="1"/>
                <w:bCs w:val="1"/>
                <w:color w:val="FFFFFF"/>
              </w:rPr>
              <w:t>2020</w:t>
            </w:r>
          </w:p>
        </w:tc>
        <w:tc>
          <w:tcPr>
            <w:tcW w:w="900" w:type="dxa"/>
            <w:vAlign w:val="bottom"/>
            <w:shd w:val="clear" w:color="auto" w:fill="29D2C9"/>
          </w:tcPr>
          <w:p>
            <w:pPr>
              <w:jc w:val="center"/>
              <w:spacing w:after="0"/>
              <w:rPr>
                <w:sz w:val="20"/>
                <w:szCs w:val="20"/>
                <w:color w:val="auto"/>
              </w:rPr>
            </w:pPr>
            <w:r>
              <w:rPr>
                <w:rFonts w:ascii="Arial" w:cs="Arial" w:eastAsia="Arial" w:hAnsi="Arial"/>
                <w:sz w:val="12"/>
                <w:szCs w:val="12"/>
                <w:b w:val="1"/>
                <w:bCs w:val="1"/>
                <w:color w:val="FFFFFF"/>
                <w:w w:val="97"/>
              </w:rPr>
              <w:t>2021</w:t>
            </w:r>
          </w:p>
        </w:tc>
        <w:tc>
          <w:tcPr>
            <w:tcW w:w="900" w:type="dxa"/>
            <w:vAlign w:val="bottom"/>
            <w:shd w:val="clear" w:color="auto" w:fill="29D2C9"/>
          </w:tcPr>
          <w:p>
            <w:pPr>
              <w:jc w:val="center"/>
              <w:spacing w:after="0"/>
              <w:rPr>
                <w:sz w:val="20"/>
                <w:szCs w:val="20"/>
                <w:color w:val="auto"/>
              </w:rPr>
            </w:pPr>
            <w:r>
              <w:rPr>
                <w:rFonts w:ascii="Arial" w:cs="Arial" w:eastAsia="Arial" w:hAnsi="Arial"/>
                <w:sz w:val="12"/>
                <w:szCs w:val="12"/>
                <w:b w:val="1"/>
                <w:bCs w:val="1"/>
                <w:color w:val="FFFFFF"/>
              </w:rPr>
              <w:t>2022</w:t>
            </w:r>
          </w:p>
        </w:tc>
        <w:tc>
          <w:tcPr>
            <w:tcW w:w="900" w:type="dxa"/>
            <w:vAlign w:val="bottom"/>
            <w:shd w:val="clear" w:color="auto" w:fill="29D2C9"/>
          </w:tcPr>
          <w:p>
            <w:pPr>
              <w:jc w:val="center"/>
              <w:spacing w:after="0"/>
              <w:rPr>
                <w:sz w:val="20"/>
                <w:szCs w:val="20"/>
                <w:color w:val="auto"/>
              </w:rPr>
            </w:pPr>
            <w:r>
              <w:rPr>
                <w:rFonts w:ascii="Arial" w:cs="Arial" w:eastAsia="Arial" w:hAnsi="Arial"/>
                <w:sz w:val="12"/>
                <w:szCs w:val="12"/>
                <w:b w:val="1"/>
                <w:bCs w:val="1"/>
                <w:color w:val="FFFFFF"/>
              </w:rPr>
              <w:t>2023</w:t>
            </w:r>
          </w:p>
        </w:tc>
        <w:tc>
          <w:tcPr>
            <w:tcW w:w="920" w:type="dxa"/>
            <w:vAlign w:val="bottom"/>
            <w:shd w:val="clear" w:color="auto" w:fill="29D2C9"/>
          </w:tcPr>
          <w:p>
            <w:pPr>
              <w:jc w:val="center"/>
              <w:spacing w:after="0"/>
              <w:rPr>
                <w:sz w:val="20"/>
                <w:szCs w:val="20"/>
                <w:color w:val="auto"/>
              </w:rPr>
            </w:pPr>
            <w:r>
              <w:rPr>
                <w:rFonts w:ascii="Arial" w:cs="Arial" w:eastAsia="Arial" w:hAnsi="Arial"/>
                <w:sz w:val="12"/>
                <w:szCs w:val="12"/>
                <w:b w:val="1"/>
                <w:bCs w:val="1"/>
                <w:color w:val="FFFFFF"/>
                <w:w w:val="99"/>
              </w:rPr>
              <w:t xml:space="preserve">2024 </w:t>
            </w:r>
            <w:r>
              <w:rPr>
                <w:rFonts w:ascii="Arial" w:cs="Arial" w:eastAsia="Arial" w:hAnsi="Arial"/>
                <w:sz w:val="20"/>
                <w:szCs w:val="20"/>
                <w:b w:val="1"/>
                <w:bCs w:val="1"/>
                <w:color w:val="FFFFFF"/>
                <w:w w:val="99"/>
                <w:vertAlign w:val="superscript"/>
              </w:rPr>
              <w:t>(4)</w:t>
            </w:r>
          </w:p>
        </w:tc>
      </w:tr>
      <w:tr>
        <w:trPr>
          <w:trHeight w:val="172"/>
        </w:trPr>
        <w:tc>
          <w:tcPr>
            <w:tcW w:w="3740" w:type="dxa"/>
            <w:vAlign w:val="bottom"/>
          </w:tcPr>
          <w:p>
            <w:pPr>
              <w:spacing w:after="0"/>
              <w:rPr>
                <w:sz w:val="20"/>
                <w:szCs w:val="20"/>
                <w:color w:val="auto"/>
              </w:rPr>
            </w:pPr>
            <w:r>
              <w:rPr>
                <w:rFonts w:ascii="Arial" w:cs="Arial" w:eastAsia="Arial" w:hAnsi="Arial"/>
                <w:sz w:val="12"/>
                <w:szCs w:val="12"/>
                <w:color w:val="auto"/>
              </w:rPr>
              <w:t>GDP (US$ Millions)</w:t>
            </w:r>
          </w:p>
        </w:tc>
        <w:tc>
          <w:tcPr>
            <w:tcW w:w="1460" w:type="dxa"/>
            <w:vAlign w:val="bottom"/>
          </w:tcPr>
          <w:p>
            <w:pPr>
              <w:jc w:val="center"/>
              <w:ind w:left="478"/>
              <w:spacing w:after="0"/>
              <w:rPr>
                <w:sz w:val="20"/>
                <w:szCs w:val="20"/>
                <w:color w:val="auto"/>
              </w:rPr>
            </w:pPr>
            <w:r>
              <w:rPr>
                <w:rFonts w:ascii="Arial" w:cs="Arial" w:eastAsia="Arial" w:hAnsi="Arial"/>
                <w:sz w:val="12"/>
                <w:szCs w:val="12"/>
                <w:color w:val="auto"/>
              </w:rPr>
              <w:t>226,919</w:t>
            </w:r>
          </w:p>
        </w:tc>
        <w:tc>
          <w:tcPr>
            <w:tcW w:w="900" w:type="dxa"/>
            <w:vAlign w:val="bottom"/>
          </w:tcPr>
          <w:p>
            <w:pPr>
              <w:jc w:val="center"/>
              <w:spacing w:after="0"/>
              <w:rPr>
                <w:sz w:val="20"/>
                <w:szCs w:val="20"/>
                <w:color w:val="auto"/>
              </w:rPr>
            </w:pPr>
            <w:r>
              <w:rPr>
                <w:rFonts w:ascii="Arial" w:cs="Arial" w:eastAsia="Arial" w:hAnsi="Arial"/>
                <w:sz w:val="12"/>
                <w:szCs w:val="12"/>
                <w:color w:val="auto"/>
              </w:rPr>
              <w:t>232,519</w:t>
            </w:r>
          </w:p>
        </w:tc>
        <w:tc>
          <w:tcPr>
            <w:tcW w:w="900" w:type="dxa"/>
            <w:vAlign w:val="bottom"/>
          </w:tcPr>
          <w:p>
            <w:pPr>
              <w:jc w:val="center"/>
              <w:spacing w:after="0"/>
              <w:rPr>
                <w:sz w:val="20"/>
                <w:szCs w:val="20"/>
                <w:color w:val="auto"/>
              </w:rPr>
            </w:pPr>
            <w:r>
              <w:rPr>
                <w:rFonts w:ascii="Arial" w:cs="Arial" w:eastAsia="Arial" w:hAnsi="Arial"/>
                <w:sz w:val="12"/>
                <w:szCs w:val="12"/>
                <w:color w:val="auto"/>
              </w:rPr>
              <w:t>205,933</w:t>
            </w:r>
          </w:p>
        </w:tc>
        <w:tc>
          <w:tcPr>
            <w:tcW w:w="900" w:type="dxa"/>
            <w:vAlign w:val="bottom"/>
          </w:tcPr>
          <w:p>
            <w:pPr>
              <w:jc w:val="center"/>
              <w:spacing w:after="0"/>
              <w:rPr>
                <w:sz w:val="20"/>
                <w:szCs w:val="20"/>
                <w:color w:val="auto"/>
              </w:rPr>
            </w:pPr>
            <w:r>
              <w:rPr>
                <w:rFonts w:ascii="Arial" w:cs="Arial" w:eastAsia="Arial" w:hAnsi="Arial"/>
                <w:sz w:val="12"/>
                <w:szCs w:val="12"/>
                <w:color w:val="auto"/>
              </w:rPr>
              <w:t>226,140</w:t>
            </w:r>
          </w:p>
        </w:tc>
        <w:tc>
          <w:tcPr>
            <w:tcW w:w="900" w:type="dxa"/>
            <w:vAlign w:val="bottom"/>
          </w:tcPr>
          <w:p>
            <w:pPr>
              <w:jc w:val="center"/>
              <w:spacing w:after="0"/>
              <w:rPr>
                <w:sz w:val="20"/>
                <w:szCs w:val="20"/>
                <w:color w:val="auto"/>
              </w:rPr>
            </w:pPr>
            <w:r>
              <w:rPr>
                <w:rFonts w:ascii="Arial" w:cs="Arial" w:eastAsia="Arial" w:hAnsi="Arial"/>
                <w:sz w:val="12"/>
                <w:szCs w:val="12"/>
                <w:color w:val="auto"/>
              </w:rPr>
              <w:t>245,209</w:t>
            </w:r>
          </w:p>
        </w:tc>
        <w:tc>
          <w:tcPr>
            <w:tcW w:w="900" w:type="dxa"/>
            <w:vAlign w:val="bottom"/>
          </w:tcPr>
          <w:p>
            <w:pPr>
              <w:jc w:val="center"/>
              <w:spacing w:after="0"/>
              <w:rPr>
                <w:sz w:val="20"/>
                <w:szCs w:val="20"/>
                <w:color w:val="auto"/>
              </w:rPr>
            </w:pPr>
            <w:r>
              <w:rPr>
                <w:rFonts w:ascii="Arial" w:cs="Arial" w:eastAsia="Arial" w:hAnsi="Arial"/>
                <w:sz w:val="12"/>
                <w:szCs w:val="12"/>
                <w:color w:val="auto"/>
              </w:rPr>
              <w:t>268,027</w:t>
            </w:r>
          </w:p>
        </w:tc>
        <w:tc>
          <w:tcPr>
            <w:tcW w:w="92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281,609</w:t>
            </w:r>
          </w:p>
        </w:tc>
      </w:tr>
      <w:tr>
        <w:trPr>
          <w:trHeight w:val="185"/>
        </w:trPr>
        <w:tc>
          <w:tcPr>
            <w:tcW w:w="3740" w:type="dxa"/>
            <w:vAlign w:val="bottom"/>
          </w:tcPr>
          <w:p>
            <w:pPr>
              <w:spacing w:after="0"/>
              <w:rPr>
                <w:sz w:val="20"/>
                <w:szCs w:val="20"/>
                <w:color w:val="auto"/>
              </w:rPr>
            </w:pPr>
            <w:r>
              <w:rPr>
                <w:rFonts w:ascii="Arial" w:cs="Arial" w:eastAsia="Arial" w:hAnsi="Arial"/>
                <w:sz w:val="12"/>
                <w:szCs w:val="12"/>
                <w:color w:val="auto"/>
              </w:rPr>
              <w:t>Real GDP (% change)</w:t>
            </w:r>
          </w:p>
        </w:tc>
        <w:tc>
          <w:tcPr>
            <w:tcW w:w="1460" w:type="dxa"/>
            <w:vAlign w:val="bottom"/>
          </w:tcPr>
          <w:p>
            <w:pPr>
              <w:jc w:val="center"/>
              <w:ind w:left="498"/>
              <w:spacing w:after="0"/>
              <w:rPr>
                <w:sz w:val="20"/>
                <w:szCs w:val="20"/>
                <w:color w:val="auto"/>
              </w:rPr>
            </w:pPr>
            <w:r>
              <w:rPr>
                <w:rFonts w:ascii="Arial" w:cs="Arial" w:eastAsia="Arial" w:hAnsi="Arial"/>
                <w:sz w:val="12"/>
                <w:szCs w:val="12"/>
                <w:color w:val="auto"/>
              </w:rPr>
              <w:t>4.0</w:t>
            </w:r>
          </w:p>
        </w:tc>
        <w:tc>
          <w:tcPr>
            <w:tcW w:w="900" w:type="dxa"/>
            <w:vAlign w:val="bottom"/>
          </w:tcPr>
          <w:p>
            <w:pPr>
              <w:jc w:val="center"/>
              <w:spacing w:after="0"/>
              <w:rPr>
                <w:sz w:val="20"/>
                <w:szCs w:val="20"/>
                <w:color w:val="auto"/>
              </w:rPr>
            </w:pPr>
            <w:r>
              <w:rPr>
                <w:rFonts w:ascii="Arial" w:cs="Arial" w:eastAsia="Arial" w:hAnsi="Arial"/>
                <w:sz w:val="12"/>
                <w:szCs w:val="12"/>
                <w:color w:val="auto"/>
                <w:w w:val="95"/>
              </w:rPr>
              <w:t>2.2</w:t>
            </w:r>
          </w:p>
        </w:tc>
        <w:tc>
          <w:tcPr>
            <w:tcW w:w="900" w:type="dxa"/>
            <w:vAlign w:val="bottom"/>
          </w:tcPr>
          <w:p>
            <w:pPr>
              <w:jc w:val="center"/>
              <w:spacing w:after="0"/>
              <w:rPr>
                <w:sz w:val="20"/>
                <w:szCs w:val="20"/>
                <w:color w:val="auto"/>
              </w:rPr>
            </w:pPr>
            <w:r>
              <w:rPr>
                <w:rFonts w:ascii="Arial" w:cs="Arial" w:eastAsia="Arial" w:hAnsi="Arial"/>
                <w:sz w:val="12"/>
                <w:szCs w:val="12"/>
                <w:color w:val="auto"/>
              </w:rPr>
              <w:t>-10.9</w:t>
            </w:r>
          </w:p>
        </w:tc>
        <w:tc>
          <w:tcPr>
            <w:tcW w:w="900" w:type="dxa"/>
            <w:vAlign w:val="bottom"/>
          </w:tcPr>
          <w:p>
            <w:pPr>
              <w:jc w:val="center"/>
              <w:spacing w:after="0"/>
              <w:rPr>
                <w:sz w:val="20"/>
                <w:szCs w:val="20"/>
                <w:color w:val="auto"/>
              </w:rPr>
            </w:pPr>
            <w:r>
              <w:rPr>
                <w:rFonts w:ascii="Arial" w:cs="Arial" w:eastAsia="Arial" w:hAnsi="Arial"/>
                <w:sz w:val="12"/>
                <w:szCs w:val="12"/>
                <w:color w:val="auto"/>
              </w:rPr>
              <w:t>13.4</w:t>
            </w:r>
          </w:p>
        </w:tc>
        <w:tc>
          <w:tcPr>
            <w:tcW w:w="900" w:type="dxa"/>
            <w:vAlign w:val="bottom"/>
          </w:tcPr>
          <w:p>
            <w:pPr>
              <w:jc w:val="center"/>
              <w:spacing w:after="0"/>
              <w:rPr>
                <w:sz w:val="20"/>
                <w:szCs w:val="20"/>
                <w:color w:val="auto"/>
              </w:rPr>
            </w:pPr>
            <w:r>
              <w:rPr>
                <w:rFonts w:ascii="Arial" w:cs="Arial" w:eastAsia="Arial" w:hAnsi="Arial"/>
                <w:sz w:val="12"/>
                <w:szCs w:val="12"/>
                <w:color w:val="auto"/>
              </w:rPr>
              <w:t>2.7</w:t>
            </w:r>
          </w:p>
        </w:tc>
        <w:tc>
          <w:tcPr>
            <w:tcW w:w="900" w:type="dxa"/>
            <w:vAlign w:val="bottom"/>
          </w:tcPr>
          <w:p>
            <w:pPr>
              <w:jc w:val="center"/>
              <w:spacing w:after="0"/>
              <w:rPr>
                <w:sz w:val="20"/>
                <w:szCs w:val="20"/>
                <w:color w:val="auto"/>
              </w:rPr>
            </w:pPr>
            <w:r>
              <w:rPr>
                <w:rFonts w:ascii="Arial" w:cs="Arial" w:eastAsia="Arial" w:hAnsi="Arial"/>
                <w:sz w:val="12"/>
                <w:szCs w:val="12"/>
                <w:color w:val="auto"/>
              </w:rPr>
              <w:t>-0.6</w:t>
            </w:r>
          </w:p>
        </w:tc>
        <w:tc>
          <w:tcPr>
            <w:tcW w:w="92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95"/>
              </w:rPr>
              <w:t>3.0</w:t>
            </w:r>
          </w:p>
        </w:tc>
      </w:tr>
      <w:tr>
        <w:trPr>
          <w:trHeight w:val="185"/>
        </w:trPr>
        <w:tc>
          <w:tcPr>
            <w:tcW w:w="3740" w:type="dxa"/>
            <w:vAlign w:val="bottom"/>
          </w:tcPr>
          <w:p>
            <w:pPr>
              <w:spacing w:after="0"/>
              <w:rPr>
                <w:sz w:val="20"/>
                <w:szCs w:val="20"/>
                <w:color w:val="auto"/>
              </w:rPr>
            </w:pPr>
            <w:r>
              <w:rPr>
                <w:rFonts w:ascii="Arial" w:cs="Arial" w:eastAsia="Arial" w:hAnsi="Arial"/>
                <w:sz w:val="12"/>
                <w:szCs w:val="12"/>
                <w:color w:val="auto"/>
              </w:rPr>
              <w:t>GDP per capita (US$)</w:t>
            </w:r>
          </w:p>
        </w:tc>
        <w:tc>
          <w:tcPr>
            <w:tcW w:w="1460" w:type="dxa"/>
            <w:vAlign w:val="bottom"/>
          </w:tcPr>
          <w:p>
            <w:pPr>
              <w:jc w:val="center"/>
              <w:ind w:left="498"/>
              <w:spacing w:after="0"/>
              <w:rPr>
                <w:sz w:val="20"/>
                <w:szCs w:val="20"/>
                <w:color w:val="auto"/>
              </w:rPr>
            </w:pPr>
            <w:r>
              <w:rPr>
                <w:rFonts w:ascii="Arial" w:cs="Arial" w:eastAsia="Arial" w:hAnsi="Arial"/>
                <w:sz w:val="12"/>
                <w:szCs w:val="12"/>
                <w:color w:val="auto"/>
                <w:w w:val="99"/>
              </w:rPr>
              <w:t>7,190</w:t>
            </w:r>
          </w:p>
        </w:tc>
        <w:tc>
          <w:tcPr>
            <w:tcW w:w="900" w:type="dxa"/>
            <w:vAlign w:val="bottom"/>
          </w:tcPr>
          <w:p>
            <w:pPr>
              <w:jc w:val="center"/>
              <w:spacing w:after="0"/>
              <w:rPr>
                <w:sz w:val="20"/>
                <w:szCs w:val="20"/>
                <w:color w:val="auto"/>
              </w:rPr>
            </w:pPr>
            <w:r>
              <w:rPr>
                <w:rFonts w:ascii="Arial" w:cs="Arial" w:eastAsia="Arial" w:hAnsi="Arial"/>
                <w:sz w:val="12"/>
                <w:szCs w:val="12"/>
                <w:color w:val="auto"/>
              </w:rPr>
              <w:t>7,237</w:t>
            </w:r>
          </w:p>
        </w:tc>
        <w:tc>
          <w:tcPr>
            <w:tcW w:w="900" w:type="dxa"/>
            <w:vAlign w:val="bottom"/>
          </w:tcPr>
          <w:p>
            <w:pPr>
              <w:jc w:val="center"/>
              <w:spacing w:after="0"/>
              <w:rPr>
                <w:sz w:val="20"/>
                <w:szCs w:val="20"/>
                <w:color w:val="auto"/>
              </w:rPr>
            </w:pPr>
            <w:r>
              <w:rPr>
                <w:rFonts w:ascii="Arial" w:cs="Arial" w:eastAsia="Arial" w:hAnsi="Arial"/>
                <w:sz w:val="12"/>
                <w:szCs w:val="12"/>
                <w:color w:val="auto"/>
              </w:rPr>
              <w:t>6,312</w:t>
            </w:r>
          </w:p>
        </w:tc>
        <w:tc>
          <w:tcPr>
            <w:tcW w:w="900" w:type="dxa"/>
            <w:vAlign w:val="bottom"/>
          </w:tcPr>
          <w:p>
            <w:pPr>
              <w:jc w:val="center"/>
              <w:spacing w:after="0"/>
              <w:rPr>
                <w:sz w:val="20"/>
                <w:szCs w:val="20"/>
                <w:color w:val="auto"/>
              </w:rPr>
            </w:pPr>
            <w:r>
              <w:rPr>
                <w:rFonts w:ascii="Arial" w:cs="Arial" w:eastAsia="Arial" w:hAnsi="Arial"/>
                <w:sz w:val="12"/>
                <w:szCs w:val="12"/>
                <w:color w:val="auto"/>
                <w:w w:val="99"/>
              </w:rPr>
              <w:t>6,845</w:t>
            </w:r>
          </w:p>
        </w:tc>
        <w:tc>
          <w:tcPr>
            <w:tcW w:w="900" w:type="dxa"/>
            <w:vAlign w:val="bottom"/>
          </w:tcPr>
          <w:p>
            <w:pPr>
              <w:jc w:val="center"/>
              <w:spacing w:after="0"/>
              <w:rPr>
                <w:sz w:val="20"/>
                <w:szCs w:val="20"/>
                <w:color w:val="auto"/>
              </w:rPr>
            </w:pPr>
            <w:r>
              <w:rPr>
                <w:rFonts w:ascii="Arial" w:cs="Arial" w:eastAsia="Arial" w:hAnsi="Arial"/>
                <w:sz w:val="12"/>
                <w:szCs w:val="12"/>
                <w:color w:val="auto"/>
                <w:w w:val="99"/>
              </w:rPr>
              <w:t>7,342</w:t>
            </w:r>
          </w:p>
        </w:tc>
        <w:tc>
          <w:tcPr>
            <w:tcW w:w="900" w:type="dxa"/>
            <w:vAlign w:val="bottom"/>
          </w:tcPr>
          <w:p>
            <w:pPr>
              <w:jc w:val="center"/>
              <w:spacing w:after="0"/>
              <w:rPr>
                <w:sz w:val="20"/>
                <w:szCs w:val="20"/>
                <w:color w:val="auto"/>
              </w:rPr>
            </w:pPr>
            <w:r>
              <w:rPr>
                <w:rFonts w:ascii="Arial" w:cs="Arial" w:eastAsia="Arial" w:hAnsi="Arial"/>
                <w:sz w:val="12"/>
                <w:szCs w:val="12"/>
                <w:color w:val="auto"/>
              </w:rPr>
              <w:t>8,026</w:t>
            </w:r>
          </w:p>
        </w:tc>
        <w:tc>
          <w:tcPr>
            <w:tcW w:w="92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8,258</w:t>
            </w:r>
          </w:p>
        </w:tc>
      </w:tr>
      <w:tr>
        <w:trPr>
          <w:trHeight w:val="185"/>
        </w:trPr>
        <w:tc>
          <w:tcPr>
            <w:tcW w:w="3740" w:type="dxa"/>
            <w:vAlign w:val="bottom"/>
          </w:tcPr>
          <w:p>
            <w:pPr>
              <w:spacing w:after="0"/>
              <w:rPr>
                <w:sz w:val="20"/>
                <w:szCs w:val="20"/>
                <w:color w:val="auto"/>
              </w:rPr>
            </w:pPr>
            <w:r>
              <w:rPr>
                <w:rFonts w:ascii="Arial" w:cs="Arial" w:eastAsia="Arial" w:hAnsi="Arial"/>
                <w:sz w:val="12"/>
                <w:szCs w:val="12"/>
                <w:color w:val="auto"/>
              </w:rPr>
              <w:t>Domestic demand (% change)</w:t>
            </w:r>
          </w:p>
        </w:tc>
        <w:tc>
          <w:tcPr>
            <w:tcW w:w="1460" w:type="dxa"/>
            <w:vAlign w:val="bottom"/>
          </w:tcPr>
          <w:p>
            <w:pPr>
              <w:jc w:val="center"/>
              <w:ind w:left="498"/>
              <w:spacing w:after="0"/>
              <w:rPr>
                <w:sz w:val="20"/>
                <w:szCs w:val="20"/>
                <w:color w:val="auto"/>
              </w:rPr>
            </w:pPr>
            <w:r>
              <w:rPr>
                <w:rFonts w:ascii="Arial" w:cs="Arial" w:eastAsia="Arial" w:hAnsi="Arial"/>
                <w:sz w:val="12"/>
                <w:szCs w:val="12"/>
                <w:color w:val="auto"/>
              </w:rPr>
              <w:t>4.1</w:t>
            </w:r>
          </w:p>
        </w:tc>
        <w:tc>
          <w:tcPr>
            <w:tcW w:w="900" w:type="dxa"/>
            <w:vAlign w:val="bottom"/>
          </w:tcPr>
          <w:p>
            <w:pPr>
              <w:jc w:val="center"/>
              <w:spacing w:after="0"/>
              <w:rPr>
                <w:sz w:val="20"/>
                <w:szCs w:val="20"/>
                <w:color w:val="auto"/>
              </w:rPr>
            </w:pPr>
            <w:r>
              <w:rPr>
                <w:rFonts w:ascii="Arial" w:cs="Arial" w:eastAsia="Arial" w:hAnsi="Arial"/>
                <w:sz w:val="12"/>
                <w:szCs w:val="12"/>
                <w:color w:val="auto"/>
                <w:w w:val="95"/>
              </w:rPr>
              <w:t>2.2</w:t>
            </w:r>
          </w:p>
        </w:tc>
        <w:tc>
          <w:tcPr>
            <w:tcW w:w="900" w:type="dxa"/>
            <w:vAlign w:val="bottom"/>
          </w:tcPr>
          <w:p>
            <w:pPr>
              <w:jc w:val="center"/>
              <w:spacing w:after="0"/>
              <w:rPr>
                <w:sz w:val="20"/>
                <w:szCs w:val="20"/>
                <w:color w:val="auto"/>
              </w:rPr>
            </w:pPr>
            <w:r>
              <w:rPr>
                <w:rFonts w:ascii="Arial" w:cs="Arial" w:eastAsia="Arial" w:hAnsi="Arial"/>
                <w:sz w:val="12"/>
                <w:szCs w:val="12"/>
                <w:color w:val="auto"/>
                <w:w w:val="96"/>
              </w:rPr>
              <w:t>-9.6</w:t>
            </w:r>
          </w:p>
        </w:tc>
        <w:tc>
          <w:tcPr>
            <w:tcW w:w="900" w:type="dxa"/>
            <w:vAlign w:val="bottom"/>
          </w:tcPr>
          <w:p>
            <w:pPr>
              <w:jc w:val="center"/>
              <w:spacing w:after="0"/>
              <w:rPr>
                <w:sz w:val="20"/>
                <w:szCs w:val="20"/>
                <w:color w:val="auto"/>
              </w:rPr>
            </w:pPr>
            <w:r>
              <w:rPr>
                <w:rFonts w:ascii="Arial" w:cs="Arial" w:eastAsia="Arial" w:hAnsi="Arial"/>
                <w:sz w:val="12"/>
                <w:szCs w:val="12"/>
                <w:color w:val="auto"/>
              </w:rPr>
              <w:t>14.5</w:t>
            </w:r>
          </w:p>
        </w:tc>
        <w:tc>
          <w:tcPr>
            <w:tcW w:w="900" w:type="dxa"/>
            <w:vAlign w:val="bottom"/>
          </w:tcPr>
          <w:p>
            <w:pPr>
              <w:jc w:val="center"/>
              <w:spacing w:after="0"/>
              <w:rPr>
                <w:sz w:val="20"/>
                <w:szCs w:val="20"/>
                <w:color w:val="auto"/>
              </w:rPr>
            </w:pPr>
            <w:r>
              <w:rPr>
                <w:rFonts w:ascii="Arial" w:cs="Arial" w:eastAsia="Arial" w:hAnsi="Arial"/>
                <w:sz w:val="12"/>
                <w:szCs w:val="12"/>
                <w:color w:val="auto"/>
              </w:rPr>
              <w:t>2.3</w:t>
            </w:r>
          </w:p>
        </w:tc>
        <w:tc>
          <w:tcPr>
            <w:tcW w:w="900" w:type="dxa"/>
            <w:vAlign w:val="bottom"/>
          </w:tcPr>
          <w:p>
            <w:pPr>
              <w:jc w:val="center"/>
              <w:spacing w:after="0"/>
              <w:rPr>
                <w:sz w:val="20"/>
                <w:szCs w:val="20"/>
                <w:color w:val="auto"/>
              </w:rPr>
            </w:pPr>
            <w:r>
              <w:rPr>
                <w:rFonts w:ascii="Arial" w:cs="Arial" w:eastAsia="Arial" w:hAnsi="Arial"/>
                <w:sz w:val="12"/>
                <w:szCs w:val="12"/>
                <w:color w:val="auto"/>
              </w:rPr>
              <w:t>-1.7</w:t>
            </w:r>
          </w:p>
        </w:tc>
        <w:tc>
          <w:tcPr>
            <w:tcW w:w="92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95"/>
              </w:rPr>
              <w:t>3.3</w:t>
            </w:r>
          </w:p>
        </w:tc>
      </w:tr>
      <w:tr>
        <w:trPr>
          <w:trHeight w:val="185"/>
        </w:trPr>
        <w:tc>
          <w:tcPr>
            <w:tcW w:w="3740" w:type="dxa"/>
            <w:vAlign w:val="bottom"/>
          </w:tcPr>
          <w:p>
            <w:pPr>
              <w:spacing w:after="0"/>
              <w:rPr>
                <w:sz w:val="20"/>
                <w:szCs w:val="20"/>
                <w:color w:val="auto"/>
              </w:rPr>
            </w:pPr>
            <w:r>
              <w:rPr>
                <w:rFonts w:ascii="Arial" w:cs="Arial" w:eastAsia="Arial" w:hAnsi="Arial"/>
                <w:sz w:val="12"/>
                <w:szCs w:val="12"/>
                <w:color w:val="auto"/>
              </w:rPr>
              <w:t>Gross fixed investment (as % GDP)</w:t>
            </w:r>
          </w:p>
        </w:tc>
        <w:tc>
          <w:tcPr>
            <w:tcW w:w="1460" w:type="dxa"/>
            <w:vAlign w:val="bottom"/>
          </w:tcPr>
          <w:p>
            <w:pPr>
              <w:jc w:val="center"/>
              <w:ind w:left="478"/>
              <w:spacing w:after="0"/>
              <w:rPr>
                <w:sz w:val="20"/>
                <w:szCs w:val="20"/>
                <w:color w:val="auto"/>
              </w:rPr>
            </w:pPr>
            <w:r>
              <w:rPr>
                <w:rFonts w:ascii="Arial" w:cs="Arial" w:eastAsia="Arial" w:hAnsi="Arial"/>
                <w:sz w:val="12"/>
                <w:szCs w:val="12"/>
                <w:color w:val="auto"/>
              </w:rPr>
              <w:t>22.2</w:t>
            </w:r>
          </w:p>
        </w:tc>
        <w:tc>
          <w:tcPr>
            <w:tcW w:w="900" w:type="dxa"/>
            <w:vAlign w:val="bottom"/>
          </w:tcPr>
          <w:p>
            <w:pPr>
              <w:jc w:val="center"/>
              <w:spacing w:after="0"/>
              <w:rPr>
                <w:sz w:val="20"/>
                <w:szCs w:val="20"/>
                <w:color w:val="auto"/>
              </w:rPr>
            </w:pPr>
            <w:r>
              <w:rPr>
                <w:rFonts w:ascii="Arial" w:cs="Arial" w:eastAsia="Arial" w:hAnsi="Arial"/>
                <w:sz w:val="12"/>
                <w:szCs w:val="12"/>
                <w:color w:val="auto"/>
              </w:rPr>
              <w:t>22.5</w:t>
            </w:r>
          </w:p>
        </w:tc>
        <w:tc>
          <w:tcPr>
            <w:tcW w:w="900" w:type="dxa"/>
            <w:vAlign w:val="bottom"/>
          </w:tcPr>
          <w:p>
            <w:pPr>
              <w:jc w:val="center"/>
              <w:spacing w:after="0"/>
              <w:rPr>
                <w:sz w:val="20"/>
                <w:szCs w:val="20"/>
                <w:color w:val="auto"/>
              </w:rPr>
            </w:pPr>
            <w:r>
              <w:rPr>
                <w:rFonts w:ascii="Arial" w:cs="Arial" w:eastAsia="Arial" w:hAnsi="Arial"/>
                <w:sz w:val="12"/>
                <w:szCs w:val="12"/>
                <w:color w:val="auto"/>
              </w:rPr>
              <w:t>21.0</w:t>
            </w:r>
          </w:p>
        </w:tc>
        <w:tc>
          <w:tcPr>
            <w:tcW w:w="900" w:type="dxa"/>
            <w:vAlign w:val="bottom"/>
          </w:tcPr>
          <w:p>
            <w:pPr>
              <w:jc w:val="center"/>
              <w:spacing w:after="0"/>
              <w:rPr>
                <w:sz w:val="20"/>
                <w:szCs w:val="20"/>
                <w:color w:val="auto"/>
              </w:rPr>
            </w:pPr>
            <w:r>
              <w:rPr>
                <w:rFonts w:ascii="Arial" w:cs="Arial" w:eastAsia="Arial" w:hAnsi="Arial"/>
                <w:sz w:val="12"/>
                <w:szCs w:val="12"/>
                <w:color w:val="auto"/>
              </w:rPr>
              <w:t>25.1</w:t>
            </w:r>
          </w:p>
        </w:tc>
        <w:tc>
          <w:tcPr>
            <w:tcW w:w="900" w:type="dxa"/>
            <w:vAlign w:val="bottom"/>
          </w:tcPr>
          <w:p>
            <w:pPr>
              <w:jc w:val="center"/>
              <w:spacing w:after="0"/>
              <w:rPr>
                <w:sz w:val="20"/>
                <w:szCs w:val="20"/>
                <w:color w:val="auto"/>
              </w:rPr>
            </w:pPr>
            <w:r>
              <w:rPr>
                <w:rFonts w:ascii="Arial" w:cs="Arial" w:eastAsia="Arial" w:hAnsi="Arial"/>
                <w:sz w:val="12"/>
                <w:szCs w:val="12"/>
                <w:color w:val="auto"/>
              </w:rPr>
              <w:t>25.3</w:t>
            </w:r>
          </w:p>
        </w:tc>
        <w:tc>
          <w:tcPr>
            <w:tcW w:w="900" w:type="dxa"/>
            <w:vAlign w:val="bottom"/>
          </w:tcPr>
          <w:p>
            <w:pPr>
              <w:jc w:val="center"/>
              <w:spacing w:after="0"/>
              <w:rPr>
                <w:sz w:val="20"/>
                <w:szCs w:val="20"/>
                <w:color w:val="auto"/>
              </w:rPr>
            </w:pPr>
            <w:r>
              <w:rPr>
                <w:rFonts w:ascii="Arial" w:cs="Arial" w:eastAsia="Arial" w:hAnsi="Arial"/>
                <w:sz w:val="12"/>
                <w:szCs w:val="12"/>
                <w:color w:val="auto"/>
              </w:rPr>
              <w:t>22.9</w:t>
            </w:r>
          </w:p>
        </w:tc>
        <w:tc>
          <w:tcPr>
            <w:tcW w:w="92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23.2</w:t>
            </w:r>
          </w:p>
        </w:tc>
      </w:tr>
      <w:tr>
        <w:trPr>
          <w:trHeight w:val="199"/>
        </w:trPr>
        <w:tc>
          <w:tcPr>
            <w:tcW w:w="3740" w:type="dxa"/>
            <w:vAlign w:val="bottom"/>
            <w:tcBorders>
              <w:bottom w:val="single" w:sz="8" w:color="29D2C9"/>
            </w:tcBorders>
          </w:tcPr>
          <w:p>
            <w:pPr>
              <w:spacing w:after="0" w:line="199" w:lineRule="exact"/>
              <w:rPr>
                <w:sz w:val="20"/>
                <w:szCs w:val="20"/>
                <w:color w:val="auto"/>
              </w:rPr>
            </w:pPr>
            <w:r>
              <w:rPr>
                <w:rFonts w:ascii="Arial" w:cs="Arial" w:eastAsia="Arial" w:hAnsi="Arial"/>
                <w:sz w:val="12"/>
                <w:szCs w:val="12"/>
                <w:color w:val="auto"/>
              </w:rPr>
              <w:t xml:space="preserve">Financial system loan without Reactiva (% change) </w:t>
            </w:r>
            <w:r>
              <w:rPr>
                <w:rFonts w:ascii="Arial" w:cs="Arial" w:eastAsia="Arial" w:hAnsi="Arial"/>
                <w:sz w:val="20"/>
                <w:szCs w:val="20"/>
                <w:color w:val="auto"/>
                <w:vertAlign w:val="superscript"/>
              </w:rPr>
              <w:t>(1)</w:t>
            </w:r>
          </w:p>
        </w:tc>
        <w:tc>
          <w:tcPr>
            <w:tcW w:w="1460" w:type="dxa"/>
            <w:vAlign w:val="bottom"/>
            <w:tcBorders>
              <w:bottom w:val="single" w:sz="8" w:color="29D2C9"/>
            </w:tcBorders>
          </w:tcPr>
          <w:p>
            <w:pPr>
              <w:jc w:val="center"/>
              <w:ind w:left="478"/>
              <w:spacing w:after="0"/>
              <w:rPr>
                <w:sz w:val="20"/>
                <w:szCs w:val="20"/>
                <w:color w:val="auto"/>
              </w:rPr>
            </w:pPr>
            <w:r>
              <w:rPr>
                <w:rFonts w:ascii="Arial" w:cs="Arial" w:eastAsia="Arial" w:hAnsi="Arial"/>
                <w:sz w:val="12"/>
                <w:szCs w:val="12"/>
                <w:color w:val="auto"/>
              </w:rPr>
              <w:t>10.3</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w w:val="95"/>
              </w:rPr>
              <w:t>6.4</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w w:val="96"/>
              </w:rPr>
              <w:t>-4.3</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rPr>
              <w:t>12.6</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rPr>
              <w:t>9.7</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w w:val="95"/>
              </w:rPr>
              <w:t>2.8</w:t>
            </w:r>
          </w:p>
        </w:tc>
        <w:tc>
          <w:tcPr>
            <w:tcW w:w="920" w:type="dxa"/>
            <w:vAlign w:val="bottom"/>
            <w:tcBorders>
              <w:bottom w:val="single" w:sz="8" w:color="29D2C9"/>
            </w:tcBorders>
            <w:shd w:val="clear" w:color="auto" w:fill="F2F2F2"/>
          </w:tcPr>
          <w:p>
            <w:pPr>
              <w:jc w:val="center"/>
              <w:spacing w:after="0"/>
              <w:rPr>
                <w:sz w:val="20"/>
                <w:szCs w:val="20"/>
                <w:color w:val="auto"/>
              </w:rPr>
            </w:pPr>
            <w:r>
              <w:rPr>
                <w:rFonts w:ascii="Arial" w:cs="Arial" w:eastAsia="Arial" w:hAnsi="Arial"/>
                <w:sz w:val="12"/>
                <w:szCs w:val="12"/>
                <w:color w:val="auto"/>
                <w:w w:val="95"/>
              </w:rPr>
              <w:t>3.6</w:t>
            </w:r>
          </w:p>
        </w:tc>
      </w:tr>
      <w:tr>
        <w:trPr>
          <w:trHeight w:val="175"/>
        </w:trPr>
        <w:tc>
          <w:tcPr>
            <w:tcW w:w="3740" w:type="dxa"/>
            <w:vAlign w:val="bottom"/>
            <w:tcBorders>
              <w:bottom w:val="single" w:sz="8" w:color="29D2C9"/>
            </w:tcBorders>
          </w:tcPr>
          <w:p>
            <w:pPr>
              <w:spacing w:after="0" w:line="176" w:lineRule="exact"/>
              <w:rPr>
                <w:sz w:val="20"/>
                <w:szCs w:val="20"/>
                <w:color w:val="auto"/>
              </w:rPr>
            </w:pPr>
            <w:r>
              <w:rPr>
                <w:rFonts w:ascii="Arial" w:cs="Arial" w:eastAsia="Arial" w:hAnsi="Arial"/>
                <w:sz w:val="12"/>
                <w:szCs w:val="12"/>
                <w:color w:val="auto"/>
              </w:rPr>
              <w:t>Inflation, end of period</w:t>
            </w:r>
            <w:r>
              <w:rPr>
                <w:rFonts w:ascii="Arial" w:cs="Arial" w:eastAsia="Arial" w:hAnsi="Arial"/>
                <w:sz w:val="20"/>
                <w:szCs w:val="20"/>
                <w:color w:val="auto"/>
                <w:vertAlign w:val="superscript"/>
              </w:rPr>
              <w:t>(2)</w:t>
            </w:r>
          </w:p>
        </w:tc>
        <w:tc>
          <w:tcPr>
            <w:tcW w:w="1460" w:type="dxa"/>
            <w:vAlign w:val="bottom"/>
            <w:tcBorders>
              <w:bottom w:val="single" w:sz="8" w:color="29D2C9"/>
            </w:tcBorders>
          </w:tcPr>
          <w:p>
            <w:pPr>
              <w:jc w:val="center"/>
              <w:ind w:left="498"/>
              <w:spacing w:after="0"/>
              <w:rPr>
                <w:sz w:val="20"/>
                <w:szCs w:val="20"/>
                <w:color w:val="auto"/>
              </w:rPr>
            </w:pPr>
            <w:r>
              <w:rPr>
                <w:rFonts w:ascii="Arial" w:cs="Arial" w:eastAsia="Arial" w:hAnsi="Arial"/>
                <w:sz w:val="12"/>
                <w:szCs w:val="12"/>
                <w:color w:val="auto"/>
              </w:rPr>
              <w:t>2.2</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w w:val="95"/>
              </w:rPr>
              <w:t>1.9</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w w:val="95"/>
              </w:rPr>
              <w:t>2.0</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rPr>
              <w:t>6.4</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rPr>
              <w:t>8.5</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w w:val="95"/>
              </w:rPr>
              <w:t>3.2</w:t>
            </w:r>
          </w:p>
        </w:tc>
        <w:tc>
          <w:tcPr>
            <w:tcW w:w="920" w:type="dxa"/>
            <w:vAlign w:val="bottom"/>
            <w:tcBorders>
              <w:bottom w:val="single" w:sz="8" w:color="29D2C9"/>
            </w:tcBorders>
            <w:shd w:val="clear" w:color="auto" w:fill="F2F2F2"/>
          </w:tcPr>
          <w:p>
            <w:pPr>
              <w:jc w:val="center"/>
              <w:spacing w:after="0"/>
              <w:rPr>
                <w:sz w:val="20"/>
                <w:szCs w:val="20"/>
                <w:color w:val="auto"/>
              </w:rPr>
            </w:pPr>
            <w:r>
              <w:rPr>
                <w:rFonts w:ascii="Arial" w:cs="Arial" w:eastAsia="Arial" w:hAnsi="Arial"/>
                <w:sz w:val="12"/>
                <w:szCs w:val="12"/>
                <w:color w:val="auto"/>
                <w:w w:val="95"/>
              </w:rPr>
              <w:t>2.5</w:t>
            </w:r>
          </w:p>
        </w:tc>
      </w:tr>
      <w:tr>
        <w:trPr>
          <w:trHeight w:val="169"/>
        </w:trPr>
        <w:tc>
          <w:tcPr>
            <w:tcW w:w="3740" w:type="dxa"/>
            <w:vAlign w:val="bottom"/>
            <w:tcBorders>
              <w:bottom w:val="single" w:sz="8" w:color="29D2C9"/>
            </w:tcBorders>
          </w:tcPr>
          <w:p>
            <w:pPr>
              <w:spacing w:after="0"/>
              <w:rPr>
                <w:sz w:val="20"/>
                <w:szCs w:val="20"/>
                <w:color w:val="auto"/>
              </w:rPr>
            </w:pPr>
            <w:r>
              <w:rPr>
                <w:rFonts w:ascii="Arial" w:cs="Arial" w:eastAsia="Arial" w:hAnsi="Arial"/>
                <w:sz w:val="12"/>
                <w:szCs w:val="12"/>
                <w:color w:val="auto"/>
              </w:rPr>
              <w:t>Reference Rate, end of period</w:t>
            </w:r>
          </w:p>
        </w:tc>
        <w:tc>
          <w:tcPr>
            <w:tcW w:w="1460" w:type="dxa"/>
            <w:vAlign w:val="bottom"/>
            <w:tcBorders>
              <w:bottom w:val="single" w:sz="8" w:color="29D2C9"/>
            </w:tcBorders>
          </w:tcPr>
          <w:p>
            <w:pPr>
              <w:jc w:val="center"/>
              <w:ind w:left="478"/>
              <w:spacing w:after="0"/>
              <w:rPr>
                <w:sz w:val="20"/>
                <w:szCs w:val="20"/>
                <w:color w:val="auto"/>
              </w:rPr>
            </w:pPr>
            <w:r>
              <w:rPr>
                <w:rFonts w:ascii="Arial" w:cs="Arial" w:eastAsia="Arial" w:hAnsi="Arial"/>
                <w:sz w:val="12"/>
                <w:szCs w:val="12"/>
                <w:color w:val="auto"/>
              </w:rPr>
              <w:t>2.75</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rPr>
              <w:t>2.25</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rPr>
              <w:t>0.25</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rPr>
              <w:t>2.50</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rPr>
              <w:t>7.50</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rPr>
              <w:t>6.75</w:t>
            </w:r>
          </w:p>
        </w:tc>
        <w:tc>
          <w:tcPr>
            <w:tcW w:w="920" w:type="dxa"/>
            <w:vAlign w:val="bottom"/>
            <w:tcBorders>
              <w:bottom w:val="single" w:sz="8" w:color="29D2C9"/>
            </w:tcBorders>
            <w:shd w:val="clear" w:color="auto" w:fill="F2F2F2"/>
          </w:tcPr>
          <w:p>
            <w:pPr>
              <w:jc w:val="center"/>
              <w:spacing w:after="0"/>
              <w:rPr>
                <w:sz w:val="20"/>
                <w:szCs w:val="20"/>
                <w:color w:val="auto"/>
              </w:rPr>
            </w:pPr>
            <w:r>
              <w:rPr>
                <w:rFonts w:ascii="Arial" w:cs="Arial" w:eastAsia="Arial" w:hAnsi="Arial"/>
                <w:sz w:val="12"/>
                <w:szCs w:val="12"/>
                <w:color w:val="auto"/>
              </w:rPr>
              <w:t>5.00</w:t>
            </w:r>
          </w:p>
        </w:tc>
      </w:tr>
      <w:tr>
        <w:trPr>
          <w:trHeight w:val="169"/>
        </w:trPr>
        <w:tc>
          <w:tcPr>
            <w:tcW w:w="3740" w:type="dxa"/>
            <w:vAlign w:val="bottom"/>
          </w:tcPr>
          <w:p>
            <w:pPr>
              <w:spacing w:after="0"/>
              <w:rPr>
                <w:sz w:val="20"/>
                <w:szCs w:val="20"/>
                <w:color w:val="auto"/>
              </w:rPr>
            </w:pPr>
            <w:r>
              <w:rPr>
                <w:rFonts w:ascii="Arial" w:cs="Arial" w:eastAsia="Arial" w:hAnsi="Arial"/>
                <w:sz w:val="12"/>
                <w:szCs w:val="12"/>
                <w:color w:val="auto"/>
              </w:rPr>
              <w:t>Exchange rate, end of period</w:t>
            </w:r>
          </w:p>
        </w:tc>
        <w:tc>
          <w:tcPr>
            <w:tcW w:w="1460" w:type="dxa"/>
            <w:vAlign w:val="bottom"/>
          </w:tcPr>
          <w:p>
            <w:pPr>
              <w:jc w:val="center"/>
              <w:ind w:left="478"/>
              <w:spacing w:after="0"/>
              <w:rPr>
                <w:sz w:val="20"/>
                <w:szCs w:val="20"/>
                <w:color w:val="auto"/>
              </w:rPr>
            </w:pPr>
            <w:r>
              <w:rPr>
                <w:rFonts w:ascii="Arial" w:cs="Arial" w:eastAsia="Arial" w:hAnsi="Arial"/>
                <w:sz w:val="12"/>
                <w:szCs w:val="12"/>
                <w:color w:val="auto"/>
              </w:rPr>
              <w:t>3.37</w:t>
            </w:r>
          </w:p>
        </w:tc>
        <w:tc>
          <w:tcPr>
            <w:tcW w:w="900" w:type="dxa"/>
            <w:vAlign w:val="bottom"/>
          </w:tcPr>
          <w:p>
            <w:pPr>
              <w:jc w:val="center"/>
              <w:spacing w:after="0"/>
              <w:rPr>
                <w:sz w:val="20"/>
                <w:szCs w:val="20"/>
                <w:color w:val="auto"/>
              </w:rPr>
            </w:pPr>
            <w:r>
              <w:rPr>
                <w:rFonts w:ascii="Arial" w:cs="Arial" w:eastAsia="Arial" w:hAnsi="Arial"/>
                <w:sz w:val="12"/>
                <w:szCs w:val="12"/>
                <w:color w:val="auto"/>
              </w:rPr>
              <w:t>3.31</w:t>
            </w:r>
          </w:p>
        </w:tc>
        <w:tc>
          <w:tcPr>
            <w:tcW w:w="900" w:type="dxa"/>
            <w:vAlign w:val="bottom"/>
          </w:tcPr>
          <w:p>
            <w:pPr>
              <w:jc w:val="center"/>
              <w:spacing w:after="0"/>
              <w:rPr>
                <w:sz w:val="20"/>
                <w:szCs w:val="20"/>
                <w:color w:val="auto"/>
              </w:rPr>
            </w:pPr>
            <w:r>
              <w:rPr>
                <w:rFonts w:ascii="Arial" w:cs="Arial" w:eastAsia="Arial" w:hAnsi="Arial"/>
                <w:sz w:val="12"/>
                <w:szCs w:val="12"/>
                <w:color w:val="auto"/>
              </w:rPr>
              <w:t>3.62</w:t>
            </w:r>
          </w:p>
        </w:tc>
        <w:tc>
          <w:tcPr>
            <w:tcW w:w="900" w:type="dxa"/>
            <w:vAlign w:val="bottom"/>
          </w:tcPr>
          <w:p>
            <w:pPr>
              <w:jc w:val="center"/>
              <w:spacing w:after="0"/>
              <w:rPr>
                <w:sz w:val="20"/>
                <w:szCs w:val="20"/>
                <w:color w:val="auto"/>
              </w:rPr>
            </w:pPr>
            <w:r>
              <w:rPr>
                <w:rFonts w:ascii="Arial" w:cs="Arial" w:eastAsia="Arial" w:hAnsi="Arial"/>
                <w:sz w:val="12"/>
                <w:szCs w:val="12"/>
                <w:color w:val="auto"/>
              </w:rPr>
              <w:t>3.99</w:t>
            </w:r>
          </w:p>
        </w:tc>
        <w:tc>
          <w:tcPr>
            <w:tcW w:w="900" w:type="dxa"/>
            <w:vAlign w:val="bottom"/>
          </w:tcPr>
          <w:p>
            <w:pPr>
              <w:jc w:val="center"/>
              <w:spacing w:after="0"/>
              <w:rPr>
                <w:sz w:val="20"/>
                <w:szCs w:val="20"/>
                <w:color w:val="auto"/>
              </w:rPr>
            </w:pPr>
            <w:r>
              <w:rPr>
                <w:rFonts w:ascii="Arial" w:cs="Arial" w:eastAsia="Arial" w:hAnsi="Arial"/>
                <w:sz w:val="12"/>
                <w:szCs w:val="12"/>
                <w:color w:val="auto"/>
              </w:rPr>
              <w:t>3.81</w:t>
            </w:r>
          </w:p>
        </w:tc>
        <w:tc>
          <w:tcPr>
            <w:tcW w:w="900" w:type="dxa"/>
            <w:vAlign w:val="bottom"/>
          </w:tcPr>
          <w:p>
            <w:pPr>
              <w:jc w:val="center"/>
              <w:spacing w:after="0"/>
              <w:rPr>
                <w:sz w:val="20"/>
                <w:szCs w:val="20"/>
                <w:color w:val="auto"/>
              </w:rPr>
            </w:pPr>
            <w:r>
              <w:rPr>
                <w:rFonts w:ascii="Arial" w:cs="Arial" w:eastAsia="Arial" w:hAnsi="Arial"/>
                <w:sz w:val="12"/>
                <w:szCs w:val="12"/>
                <w:color w:val="auto"/>
              </w:rPr>
              <w:t>3.71</w:t>
            </w:r>
          </w:p>
        </w:tc>
        <w:tc>
          <w:tcPr>
            <w:tcW w:w="92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3.75</w:t>
            </w:r>
          </w:p>
        </w:tc>
      </w:tr>
      <w:tr>
        <w:trPr>
          <w:trHeight w:val="199"/>
        </w:trPr>
        <w:tc>
          <w:tcPr>
            <w:tcW w:w="3740" w:type="dxa"/>
            <w:vAlign w:val="bottom"/>
            <w:tcBorders>
              <w:bottom w:val="single" w:sz="8" w:color="29D2C9"/>
            </w:tcBorders>
          </w:tcPr>
          <w:p>
            <w:pPr>
              <w:spacing w:after="0" w:line="199" w:lineRule="exact"/>
              <w:rPr>
                <w:sz w:val="20"/>
                <w:szCs w:val="20"/>
                <w:color w:val="auto"/>
              </w:rPr>
            </w:pPr>
            <w:r>
              <w:rPr>
                <w:rFonts w:ascii="Arial" w:cs="Arial" w:eastAsia="Arial" w:hAnsi="Arial"/>
                <w:sz w:val="12"/>
                <w:szCs w:val="12"/>
                <w:color w:val="auto"/>
              </w:rPr>
              <w:t xml:space="preserve">Exchange rate, (% change) </w:t>
            </w:r>
            <w:r>
              <w:rPr>
                <w:rFonts w:ascii="Arial" w:cs="Arial" w:eastAsia="Arial" w:hAnsi="Arial"/>
                <w:sz w:val="20"/>
                <w:szCs w:val="20"/>
                <w:color w:val="auto"/>
                <w:vertAlign w:val="superscript"/>
              </w:rPr>
              <w:t>(3)</w:t>
            </w:r>
          </w:p>
        </w:tc>
        <w:tc>
          <w:tcPr>
            <w:tcW w:w="1460" w:type="dxa"/>
            <w:vAlign w:val="bottom"/>
            <w:tcBorders>
              <w:bottom w:val="single" w:sz="8" w:color="29D2C9"/>
            </w:tcBorders>
          </w:tcPr>
          <w:p>
            <w:pPr>
              <w:jc w:val="center"/>
              <w:ind w:left="478"/>
              <w:spacing w:after="0"/>
              <w:rPr>
                <w:sz w:val="20"/>
                <w:szCs w:val="20"/>
                <w:color w:val="auto"/>
              </w:rPr>
            </w:pPr>
            <w:r>
              <w:rPr>
                <w:rFonts w:ascii="Arial" w:cs="Arial" w:eastAsia="Arial" w:hAnsi="Arial"/>
                <w:sz w:val="12"/>
                <w:szCs w:val="12"/>
                <w:color w:val="auto"/>
              </w:rPr>
              <w:t>-4.0%</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rPr>
              <w:t>1.8%</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rPr>
              <w:t>-9.3%</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w w:val="99"/>
              </w:rPr>
              <w:t>-10.3%</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rPr>
              <w:t>4.5%</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rPr>
              <w:t>2.7%</w:t>
            </w:r>
          </w:p>
        </w:tc>
        <w:tc>
          <w:tcPr>
            <w:tcW w:w="920" w:type="dxa"/>
            <w:vAlign w:val="bottom"/>
            <w:tcBorders>
              <w:bottom w:val="single" w:sz="8" w:color="29D2C9"/>
            </w:tcBorders>
            <w:shd w:val="clear" w:color="auto" w:fill="F2F2F2"/>
          </w:tcPr>
          <w:p>
            <w:pPr>
              <w:jc w:val="center"/>
              <w:spacing w:after="0"/>
              <w:rPr>
                <w:sz w:val="20"/>
                <w:szCs w:val="20"/>
                <w:color w:val="auto"/>
              </w:rPr>
            </w:pPr>
            <w:r>
              <w:rPr>
                <w:rFonts w:ascii="Arial" w:cs="Arial" w:eastAsia="Arial" w:hAnsi="Arial"/>
                <w:sz w:val="12"/>
                <w:szCs w:val="12"/>
                <w:color w:val="auto"/>
              </w:rPr>
              <w:t>-1.2%</w:t>
            </w:r>
          </w:p>
        </w:tc>
      </w:tr>
      <w:tr>
        <w:trPr>
          <w:trHeight w:val="162"/>
        </w:trPr>
        <w:tc>
          <w:tcPr>
            <w:tcW w:w="3740" w:type="dxa"/>
            <w:vAlign w:val="bottom"/>
          </w:tcPr>
          <w:p>
            <w:pPr>
              <w:spacing w:after="0"/>
              <w:rPr>
                <w:sz w:val="20"/>
                <w:szCs w:val="20"/>
                <w:color w:val="auto"/>
              </w:rPr>
            </w:pPr>
            <w:r>
              <w:rPr>
                <w:rFonts w:ascii="Arial" w:cs="Arial" w:eastAsia="Arial" w:hAnsi="Arial"/>
                <w:sz w:val="12"/>
                <w:szCs w:val="12"/>
                <w:color w:val="auto"/>
              </w:rPr>
              <w:t>Fiscal balance (% GDP)</w:t>
            </w:r>
          </w:p>
        </w:tc>
        <w:tc>
          <w:tcPr>
            <w:tcW w:w="1460" w:type="dxa"/>
            <w:vAlign w:val="bottom"/>
          </w:tcPr>
          <w:p>
            <w:pPr>
              <w:jc w:val="center"/>
              <w:ind w:left="498"/>
              <w:spacing w:after="0"/>
              <w:rPr>
                <w:sz w:val="20"/>
                <w:szCs w:val="20"/>
                <w:color w:val="auto"/>
              </w:rPr>
            </w:pPr>
            <w:r>
              <w:rPr>
                <w:rFonts w:ascii="Arial" w:cs="Arial" w:eastAsia="Arial" w:hAnsi="Arial"/>
                <w:sz w:val="12"/>
                <w:szCs w:val="12"/>
                <w:color w:val="auto"/>
              </w:rPr>
              <w:t>-2.3</w:t>
            </w:r>
          </w:p>
        </w:tc>
        <w:tc>
          <w:tcPr>
            <w:tcW w:w="900" w:type="dxa"/>
            <w:vAlign w:val="bottom"/>
          </w:tcPr>
          <w:p>
            <w:pPr>
              <w:jc w:val="center"/>
              <w:spacing w:after="0"/>
              <w:rPr>
                <w:sz w:val="20"/>
                <w:szCs w:val="20"/>
                <w:color w:val="auto"/>
              </w:rPr>
            </w:pPr>
            <w:r>
              <w:rPr>
                <w:rFonts w:ascii="Arial" w:cs="Arial" w:eastAsia="Arial" w:hAnsi="Arial"/>
                <w:sz w:val="12"/>
                <w:szCs w:val="12"/>
                <w:color w:val="auto"/>
                <w:w w:val="96"/>
              </w:rPr>
              <w:t>-1.6</w:t>
            </w:r>
          </w:p>
        </w:tc>
        <w:tc>
          <w:tcPr>
            <w:tcW w:w="900" w:type="dxa"/>
            <w:vAlign w:val="bottom"/>
          </w:tcPr>
          <w:p>
            <w:pPr>
              <w:jc w:val="center"/>
              <w:spacing w:after="0"/>
              <w:rPr>
                <w:sz w:val="20"/>
                <w:szCs w:val="20"/>
                <w:color w:val="auto"/>
              </w:rPr>
            </w:pPr>
            <w:r>
              <w:rPr>
                <w:rFonts w:ascii="Arial" w:cs="Arial" w:eastAsia="Arial" w:hAnsi="Arial"/>
                <w:sz w:val="12"/>
                <w:szCs w:val="12"/>
                <w:color w:val="auto"/>
                <w:w w:val="96"/>
              </w:rPr>
              <w:t>-8.9</w:t>
            </w:r>
          </w:p>
        </w:tc>
        <w:tc>
          <w:tcPr>
            <w:tcW w:w="900" w:type="dxa"/>
            <w:vAlign w:val="bottom"/>
          </w:tcPr>
          <w:p>
            <w:pPr>
              <w:jc w:val="center"/>
              <w:spacing w:after="0"/>
              <w:rPr>
                <w:sz w:val="20"/>
                <w:szCs w:val="20"/>
                <w:color w:val="auto"/>
              </w:rPr>
            </w:pPr>
            <w:r>
              <w:rPr>
                <w:rFonts w:ascii="Arial" w:cs="Arial" w:eastAsia="Arial" w:hAnsi="Arial"/>
                <w:sz w:val="12"/>
                <w:szCs w:val="12"/>
                <w:color w:val="auto"/>
              </w:rPr>
              <w:t>-2.5</w:t>
            </w:r>
          </w:p>
        </w:tc>
        <w:tc>
          <w:tcPr>
            <w:tcW w:w="900" w:type="dxa"/>
            <w:vAlign w:val="bottom"/>
          </w:tcPr>
          <w:p>
            <w:pPr>
              <w:jc w:val="center"/>
              <w:spacing w:after="0"/>
              <w:rPr>
                <w:sz w:val="20"/>
                <w:szCs w:val="20"/>
                <w:color w:val="auto"/>
              </w:rPr>
            </w:pPr>
            <w:r>
              <w:rPr>
                <w:rFonts w:ascii="Arial" w:cs="Arial" w:eastAsia="Arial" w:hAnsi="Arial"/>
                <w:sz w:val="12"/>
                <w:szCs w:val="12"/>
                <w:color w:val="auto"/>
              </w:rPr>
              <w:t>-1.7</w:t>
            </w:r>
          </w:p>
        </w:tc>
        <w:tc>
          <w:tcPr>
            <w:tcW w:w="900" w:type="dxa"/>
            <w:vAlign w:val="bottom"/>
          </w:tcPr>
          <w:p>
            <w:pPr>
              <w:jc w:val="center"/>
              <w:spacing w:after="0"/>
              <w:rPr>
                <w:sz w:val="20"/>
                <w:szCs w:val="20"/>
                <w:color w:val="auto"/>
              </w:rPr>
            </w:pPr>
            <w:r>
              <w:rPr>
                <w:rFonts w:ascii="Arial" w:cs="Arial" w:eastAsia="Arial" w:hAnsi="Arial"/>
                <w:sz w:val="12"/>
                <w:szCs w:val="12"/>
                <w:color w:val="auto"/>
              </w:rPr>
              <w:t>-2.8</w:t>
            </w:r>
          </w:p>
        </w:tc>
        <w:tc>
          <w:tcPr>
            <w:tcW w:w="92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96"/>
              </w:rPr>
              <w:t>-2.8</w:t>
            </w:r>
          </w:p>
        </w:tc>
      </w:tr>
      <w:tr>
        <w:trPr>
          <w:trHeight w:val="192"/>
        </w:trPr>
        <w:tc>
          <w:tcPr>
            <w:tcW w:w="3740" w:type="dxa"/>
            <w:vAlign w:val="bottom"/>
            <w:tcBorders>
              <w:bottom w:val="single" w:sz="8" w:color="29D2C9"/>
            </w:tcBorders>
          </w:tcPr>
          <w:p>
            <w:pPr>
              <w:spacing w:after="0"/>
              <w:rPr>
                <w:sz w:val="20"/>
                <w:szCs w:val="20"/>
                <w:color w:val="auto"/>
              </w:rPr>
            </w:pPr>
            <w:r>
              <w:rPr>
                <w:rFonts w:ascii="Arial" w:cs="Arial" w:eastAsia="Arial" w:hAnsi="Arial"/>
                <w:sz w:val="12"/>
                <w:szCs w:val="12"/>
                <w:color w:val="auto"/>
              </w:rPr>
              <w:t>Public Debt (as % GDP)</w:t>
            </w:r>
          </w:p>
        </w:tc>
        <w:tc>
          <w:tcPr>
            <w:tcW w:w="1460" w:type="dxa"/>
            <w:vAlign w:val="bottom"/>
            <w:tcBorders>
              <w:bottom w:val="single" w:sz="8" w:color="29D2C9"/>
            </w:tcBorders>
          </w:tcPr>
          <w:p>
            <w:pPr>
              <w:jc w:val="center"/>
              <w:ind w:left="478"/>
              <w:spacing w:after="0"/>
              <w:rPr>
                <w:sz w:val="20"/>
                <w:szCs w:val="20"/>
                <w:color w:val="auto"/>
              </w:rPr>
            </w:pPr>
            <w:r>
              <w:rPr>
                <w:rFonts w:ascii="Arial" w:cs="Arial" w:eastAsia="Arial" w:hAnsi="Arial"/>
                <w:sz w:val="12"/>
                <w:szCs w:val="12"/>
                <w:color w:val="auto"/>
              </w:rPr>
              <w:t>25.6</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rPr>
              <w:t>26.6</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rPr>
              <w:t>34.6</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rPr>
              <w:t>35.9</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rPr>
              <w:t>33.8</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rPr>
              <w:t>32.9</w:t>
            </w:r>
          </w:p>
        </w:tc>
        <w:tc>
          <w:tcPr>
            <w:tcW w:w="920" w:type="dxa"/>
            <w:vAlign w:val="bottom"/>
            <w:tcBorders>
              <w:bottom w:val="single" w:sz="8" w:color="29D2C9"/>
            </w:tcBorders>
            <w:shd w:val="clear" w:color="auto" w:fill="F2F2F2"/>
          </w:tcPr>
          <w:p>
            <w:pPr>
              <w:jc w:val="center"/>
              <w:spacing w:after="0"/>
              <w:rPr>
                <w:sz w:val="20"/>
                <w:szCs w:val="20"/>
                <w:color w:val="auto"/>
              </w:rPr>
            </w:pPr>
            <w:r>
              <w:rPr>
                <w:rFonts w:ascii="Arial" w:cs="Arial" w:eastAsia="Arial" w:hAnsi="Arial"/>
                <w:sz w:val="12"/>
                <w:szCs w:val="12"/>
                <w:color w:val="auto"/>
              </w:rPr>
              <w:t>33.4</w:t>
            </w:r>
          </w:p>
        </w:tc>
      </w:tr>
      <w:tr>
        <w:trPr>
          <w:trHeight w:val="169"/>
        </w:trPr>
        <w:tc>
          <w:tcPr>
            <w:tcW w:w="3740" w:type="dxa"/>
            <w:vAlign w:val="bottom"/>
          </w:tcPr>
          <w:p>
            <w:pPr>
              <w:spacing w:after="0"/>
              <w:rPr>
                <w:sz w:val="20"/>
                <w:szCs w:val="20"/>
                <w:color w:val="auto"/>
              </w:rPr>
            </w:pPr>
            <w:r>
              <w:rPr>
                <w:rFonts w:ascii="Arial" w:cs="Arial" w:eastAsia="Arial" w:hAnsi="Arial"/>
                <w:sz w:val="12"/>
                <w:szCs w:val="12"/>
                <w:color w:val="auto"/>
              </w:rPr>
              <w:t>Trade balance (US$ Millions)</w:t>
            </w:r>
          </w:p>
        </w:tc>
        <w:tc>
          <w:tcPr>
            <w:tcW w:w="1460" w:type="dxa"/>
            <w:vAlign w:val="bottom"/>
          </w:tcPr>
          <w:p>
            <w:pPr>
              <w:jc w:val="center"/>
              <w:ind w:left="498"/>
              <w:spacing w:after="0"/>
              <w:rPr>
                <w:sz w:val="20"/>
                <w:szCs w:val="20"/>
                <w:color w:val="auto"/>
              </w:rPr>
            </w:pPr>
            <w:r>
              <w:rPr>
                <w:rFonts w:ascii="Arial" w:cs="Arial" w:eastAsia="Arial" w:hAnsi="Arial"/>
                <w:sz w:val="12"/>
                <w:szCs w:val="12"/>
                <w:color w:val="auto"/>
                <w:w w:val="99"/>
              </w:rPr>
              <w:t>7,201</w:t>
            </w:r>
          </w:p>
        </w:tc>
        <w:tc>
          <w:tcPr>
            <w:tcW w:w="900" w:type="dxa"/>
            <w:vAlign w:val="bottom"/>
          </w:tcPr>
          <w:p>
            <w:pPr>
              <w:jc w:val="center"/>
              <w:spacing w:after="0"/>
              <w:rPr>
                <w:sz w:val="20"/>
                <w:szCs w:val="20"/>
                <w:color w:val="auto"/>
              </w:rPr>
            </w:pPr>
            <w:r>
              <w:rPr>
                <w:rFonts w:ascii="Arial" w:cs="Arial" w:eastAsia="Arial" w:hAnsi="Arial"/>
                <w:sz w:val="12"/>
                <w:szCs w:val="12"/>
                <w:color w:val="auto"/>
              </w:rPr>
              <w:t>6,879</w:t>
            </w:r>
          </w:p>
        </w:tc>
        <w:tc>
          <w:tcPr>
            <w:tcW w:w="900" w:type="dxa"/>
            <w:vAlign w:val="bottom"/>
          </w:tcPr>
          <w:p>
            <w:pPr>
              <w:jc w:val="center"/>
              <w:spacing w:after="0"/>
              <w:rPr>
                <w:sz w:val="20"/>
                <w:szCs w:val="20"/>
                <w:color w:val="auto"/>
              </w:rPr>
            </w:pPr>
            <w:r>
              <w:rPr>
                <w:rFonts w:ascii="Arial" w:cs="Arial" w:eastAsia="Arial" w:hAnsi="Arial"/>
                <w:sz w:val="12"/>
                <w:szCs w:val="12"/>
                <w:color w:val="auto"/>
              </w:rPr>
              <w:t>8,102</w:t>
            </w:r>
          </w:p>
        </w:tc>
        <w:tc>
          <w:tcPr>
            <w:tcW w:w="900" w:type="dxa"/>
            <w:vAlign w:val="bottom"/>
          </w:tcPr>
          <w:p>
            <w:pPr>
              <w:jc w:val="center"/>
              <w:spacing w:after="0"/>
              <w:rPr>
                <w:sz w:val="20"/>
                <w:szCs w:val="20"/>
                <w:color w:val="auto"/>
              </w:rPr>
            </w:pPr>
            <w:r>
              <w:rPr>
                <w:rFonts w:ascii="Arial" w:cs="Arial" w:eastAsia="Arial" w:hAnsi="Arial"/>
                <w:sz w:val="12"/>
                <w:szCs w:val="12"/>
                <w:color w:val="auto"/>
              </w:rPr>
              <w:t>14,977</w:t>
            </w:r>
          </w:p>
        </w:tc>
        <w:tc>
          <w:tcPr>
            <w:tcW w:w="900" w:type="dxa"/>
            <w:vAlign w:val="bottom"/>
          </w:tcPr>
          <w:p>
            <w:pPr>
              <w:jc w:val="center"/>
              <w:spacing w:after="0"/>
              <w:rPr>
                <w:sz w:val="20"/>
                <w:szCs w:val="20"/>
                <w:color w:val="auto"/>
              </w:rPr>
            </w:pPr>
            <w:r>
              <w:rPr>
                <w:rFonts w:ascii="Arial" w:cs="Arial" w:eastAsia="Arial" w:hAnsi="Arial"/>
                <w:sz w:val="12"/>
                <w:szCs w:val="12"/>
                <w:color w:val="auto"/>
              </w:rPr>
              <w:t>10,333</w:t>
            </w:r>
          </w:p>
        </w:tc>
        <w:tc>
          <w:tcPr>
            <w:tcW w:w="900" w:type="dxa"/>
            <w:vAlign w:val="bottom"/>
          </w:tcPr>
          <w:p>
            <w:pPr>
              <w:jc w:val="center"/>
              <w:spacing w:after="0"/>
              <w:rPr>
                <w:sz w:val="20"/>
                <w:szCs w:val="20"/>
                <w:color w:val="auto"/>
              </w:rPr>
            </w:pPr>
            <w:r>
              <w:rPr>
                <w:rFonts w:ascii="Arial" w:cs="Arial" w:eastAsia="Arial" w:hAnsi="Arial"/>
                <w:sz w:val="12"/>
                <w:szCs w:val="12"/>
                <w:color w:val="auto"/>
              </w:rPr>
              <w:t>17,401</w:t>
            </w:r>
          </w:p>
        </w:tc>
        <w:tc>
          <w:tcPr>
            <w:tcW w:w="92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97"/>
              </w:rPr>
              <w:t>19,000</w:t>
            </w:r>
          </w:p>
        </w:tc>
      </w:tr>
      <w:tr>
        <w:trPr>
          <w:trHeight w:val="185"/>
        </w:trPr>
        <w:tc>
          <w:tcPr>
            <w:tcW w:w="3740" w:type="dxa"/>
            <w:vAlign w:val="bottom"/>
          </w:tcPr>
          <w:p>
            <w:pPr>
              <w:spacing w:after="0"/>
              <w:rPr>
                <w:sz w:val="20"/>
                <w:szCs w:val="20"/>
                <w:color w:val="auto"/>
              </w:rPr>
            </w:pPr>
            <w:r>
              <w:rPr>
                <w:rFonts w:ascii="Arial" w:cs="Arial" w:eastAsia="Arial" w:hAnsi="Arial"/>
                <w:sz w:val="12"/>
                <w:szCs w:val="12"/>
                <w:color w:val="auto"/>
              </w:rPr>
              <w:t>(As % GDP)</w:t>
            </w:r>
          </w:p>
        </w:tc>
        <w:tc>
          <w:tcPr>
            <w:tcW w:w="1460" w:type="dxa"/>
            <w:vAlign w:val="bottom"/>
          </w:tcPr>
          <w:p>
            <w:pPr>
              <w:jc w:val="center"/>
              <w:ind w:left="478"/>
              <w:spacing w:after="0"/>
              <w:rPr>
                <w:sz w:val="20"/>
                <w:szCs w:val="20"/>
                <w:color w:val="auto"/>
              </w:rPr>
            </w:pPr>
            <w:r>
              <w:rPr>
                <w:rFonts w:ascii="Arial" w:cs="Arial" w:eastAsia="Arial" w:hAnsi="Arial"/>
                <w:sz w:val="12"/>
                <w:szCs w:val="12"/>
                <w:color w:val="auto"/>
              </w:rPr>
              <w:t>3.2%</w:t>
            </w:r>
          </w:p>
        </w:tc>
        <w:tc>
          <w:tcPr>
            <w:tcW w:w="900" w:type="dxa"/>
            <w:vAlign w:val="bottom"/>
          </w:tcPr>
          <w:p>
            <w:pPr>
              <w:jc w:val="center"/>
              <w:spacing w:after="0"/>
              <w:rPr>
                <w:sz w:val="20"/>
                <w:szCs w:val="20"/>
                <w:color w:val="auto"/>
              </w:rPr>
            </w:pPr>
            <w:r>
              <w:rPr>
                <w:rFonts w:ascii="Arial" w:cs="Arial" w:eastAsia="Arial" w:hAnsi="Arial"/>
                <w:sz w:val="12"/>
                <w:szCs w:val="12"/>
                <w:color w:val="auto"/>
              </w:rPr>
              <w:t>3.0%</w:t>
            </w:r>
          </w:p>
        </w:tc>
        <w:tc>
          <w:tcPr>
            <w:tcW w:w="900" w:type="dxa"/>
            <w:vAlign w:val="bottom"/>
          </w:tcPr>
          <w:p>
            <w:pPr>
              <w:jc w:val="center"/>
              <w:spacing w:after="0"/>
              <w:rPr>
                <w:sz w:val="20"/>
                <w:szCs w:val="20"/>
                <w:color w:val="auto"/>
              </w:rPr>
            </w:pPr>
            <w:r>
              <w:rPr>
                <w:rFonts w:ascii="Arial" w:cs="Arial" w:eastAsia="Arial" w:hAnsi="Arial"/>
                <w:sz w:val="12"/>
                <w:szCs w:val="12"/>
                <w:color w:val="auto"/>
              </w:rPr>
              <w:t>3.9%</w:t>
            </w:r>
          </w:p>
        </w:tc>
        <w:tc>
          <w:tcPr>
            <w:tcW w:w="900" w:type="dxa"/>
            <w:vAlign w:val="bottom"/>
          </w:tcPr>
          <w:p>
            <w:pPr>
              <w:jc w:val="center"/>
              <w:spacing w:after="0"/>
              <w:rPr>
                <w:sz w:val="20"/>
                <w:szCs w:val="20"/>
                <w:color w:val="auto"/>
              </w:rPr>
            </w:pPr>
            <w:r>
              <w:rPr>
                <w:rFonts w:ascii="Arial" w:cs="Arial" w:eastAsia="Arial" w:hAnsi="Arial"/>
                <w:sz w:val="12"/>
                <w:szCs w:val="12"/>
                <w:color w:val="auto"/>
              </w:rPr>
              <w:t>6.6%</w:t>
            </w:r>
          </w:p>
        </w:tc>
        <w:tc>
          <w:tcPr>
            <w:tcW w:w="900" w:type="dxa"/>
            <w:vAlign w:val="bottom"/>
          </w:tcPr>
          <w:p>
            <w:pPr>
              <w:jc w:val="center"/>
              <w:spacing w:after="0"/>
              <w:rPr>
                <w:sz w:val="20"/>
                <w:szCs w:val="20"/>
                <w:color w:val="auto"/>
              </w:rPr>
            </w:pPr>
            <w:r>
              <w:rPr>
                <w:rFonts w:ascii="Arial" w:cs="Arial" w:eastAsia="Arial" w:hAnsi="Arial"/>
                <w:sz w:val="12"/>
                <w:szCs w:val="12"/>
                <w:color w:val="auto"/>
              </w:rPr>
              <w:t>4.2%</w:t>
            </w:r>
          </w:p>
        </w:tc>
        <w:tc>
          <w:tcPr>
            <w:tcW w:w="900" w:type="dxa"/>
            <w:vAlign w:val="bottom"/>
          </w:tcPr>
          <w:p>
            <w:pPr>
              <w:jc w:val="center"/>
              <w:spacing w:after="0"/>
              <w:rPr>
                <w:sz w:val="20"/>
                <w:szCs w:val="20"/>
                <w:color w:val="auto"/>
              </w:rPr>
            </w:pPr>
            <w:r>
              <w:rPr>
                <w:rFonts w:ascii="Arial" w:cs="Arial" w:eastAsia="Arial" w:hAnsi="Arial"/>
                <w:sz w:val="12"/>
                <w:szCs w:val="12"/>
                <w:color w:val="auto"/>
              </w:rPr>
              <w:t>6.5%</w:t>
            </w:r>
          </w:p>
        </w:tc>
        <w:tc>
          <w:tcPr>
            <w:tcW w:w="92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6.7%</w:t>
            </w:r>
          </w:p>
        </w:tc>
      </w:tr>
      <w:tr>
        <w:trPr>
          <w:trHeight w:val="185"/>
        </w:trPr>
        <w:tc>
          <w:tcPr>
            <w:tcW w:w="3740" w:type="dxa"/>
            <w:vAlign w:val="bottom"/>
          </w:tcPr>
          <w:p>
            <w:pPr>
              <w:spacing w:after="0"/>
              <w:rPr>
                <w:sz w:val="20"/>
                <w:szCs w:val="20"/>
                <w:color w:val="auto"/>
              </w:rPr>
            </w:pPr>
            <w:r>
              <w:rPr>
                <w:rFonts w:ascii="Arial" w:cs="Arial" w:eastAsia="Arial" w:hAnsi="Arial"/>
                <w:sz w:val="12"/>
                <w:szCs w:val="12"/>
                <w:color w:val="auto"/>
              </w:rPr>
              <w:t>Exports</w:t>
            </w:r>
          </w:p>
        </w:tc>
        <w:tc>
          <w:tcPr>
            <w:tcW w:w="1460" w:type="dxa"/>
            <w:vAlign w:val="bottom"/>
          </w:tcPr>
          <w:p>
            <w:pPr>
              <w:jc w:val="center"/>
              <w:ind w:left="498"/>
              <w:spacing w:after="0"/>
              <w:rPr>
                <w:sz w:val="20"/>
                <w:szCs w:val="20"/>
                <w:color w:val="auto"/>
              </w:rPr>
            </w:pPr>
            <w:r>
              <w:rPr>
                <w:rFonts w:ascii="Arial" w:cs="Arial" w:eastAsia="Arial" w:hAnsi="Arial"/>
                <w:sz w:val="12"/>
                <w:szCs w:val="12"/>
                <w:color w:val="auto"/>
              </w:rPr>
              <w:t>49,066</w:t>
            </w:r>
          </w:p>
        </w:tc>
        <w:tc>
          <w:tcPr>
            <w:tcW w:w="900" w:type="dxa"/>
            <w:vAlign w:val="bottom"/>
          </w:tcPr>
          <w:p>
            <w:pPr>
              <w:jc w:val="center"/>
              <w:spacing w:after="0"/>
              <w:rPr>
                <w:sz w:val="20"/>
                <w:szCs w:val="20"/>
                <w:color w:val="auto"/>
              </w:rPr>
            </w:pPr>
            <w:r>
              <w:rPr>
                <w:rFonts w:ascii="Arial" w:cs="Arial" w:eastAsia="Arial" w:hAnsi="Arial"/>
                <w:sz w:val="12"/>
                <w:szCs w:val="12"/>
                <w:color w:val="auto"/>
                <w:w w:val="97"/>
              </w:rPr>
              <w:t>47,980</w:t>
            </w:r>
          </w:p>
        </w:tc>
        <w:tc>
          <w:tcPr>
            <w:tcW w:w="900" w:type="dxa"/>
            <w:vAlign w:val="bottom"/>
          </w:tcPr>
          <w:p>
            <w:pPr>
              <w:jc w:val="center"/>
              <w:spacing w:after="0"/>
              <w:rPr>
                <w:sz w:val="20"/>
                <w:szCs w:val="20"/>
                <w:color w:val="auto"/>
              </w:rPr>
            </w:pPr>
            <w:r>
              <w:rPr>
                <w:rFonts w:ascii="Arial" w:cs="Arial" w:eastAsia="Arial" w:hAnsi="Arial"/>
                <w:sz w:val="12"/>
                <w:szCs w:val="12"/>
                <w:color w:val="auto"/>
                <w:w w:val="97"/>
              </w:rPr>
              <w:t>42,826</w:t>
            </w:r>
          </w:p>
        </w:tc>
        <w:tc>
          <w:tcPr>
            <w:tcW w:w="900" w:type="dxa"/>
            <w:vAlign w:val="bottom"/>
          </w:tcPr>
          <w:p>
            <w:pPr>
              <w:jc w:val="center"/>
              <w:spacing w:after="0"/>
              <w:rPr>
                <w:sz w:val="20"/>
                <w:szCs w:val="20"/>
                <w:color w:val="auto"/>
              </w:rPr>
            </w:pPr>
            <w:r>
              <w:rPr>
                <w:rFonts w:ascii="Arial" w:cs="Arial" w:eastAsia="Arial" w:hAnsi="Arial"/>
                <w:sz w:val="12"/>
                <w:szCs w:val="12"/>
                <w:color w:val="auto"/>
              </w:rPr>
              <w:t>62,967</w:t>
            </w:r>
          </w:p>
        </w:tc>
        <w:tc>
          <w:tcPr>
            <w:tcW w:w="900" w:type="dxa"/>
            <w:vAlign w:val="bottom"/>
          </w:tcPr>
          <w:p>
            <w:pPr>
              <w:jc w:val="center"/>
              <w:spacing w:after="0"/>
              <w:rPr>
                <w:sz w:val="20"/>
                <w:szCs w:val="20"/>
                <w:color w:val="auto"/>
              </w:rPr>
            </w:pPr>
            <w:r>
              <w:rPr>
                <w:rFonts w:ascii="Arial" w:cs="Arial" w:eastAsia="Arial" w:hAnsi="Arial"/>
                <w:sz w:val="12"/>
                <w:szCs w:val="12"/>
                <w:color w:val="auto"/>
              </w:rPr>
              <w:t>66,235</w:t>
            </w:r>
          </w:p>
        </w:tc>
        <w:tc>
          <w:tcPr>
            <w:tcW w:w="900" w:type="dxa"/>
            <w:vAlign w:val="bottom"/>
          </w:tcPr>
          <w:p>
            <w:pPr>
              <w:jc w:val="center"/>
              <w:spacing w:after="0"/>
              <w:rPr>
                <w:sz w:val="20"/>
                <w:szCs w:val="20"/>
                <w:color w:val="auto"/>
              </w:rPr>
            </w:pPr>
            <w:r>
              <w:rPr>
                <w:rFonts w:ascii="Arial" w:cs="Arial" w:eastAsia="Arial" w:hAnsi="Arial"/>
                <w:sz w:val="12"/>
                <w:szCs w:val="12"/>
                <w:color w:val="auto"/>
              </w:rPr>
              <w:t>67,241</w:t>
            </w:r>
          </w:p>
        </w:tc>
        <w:tc>
          <w:tcPr>
            <w:tcW w:w="92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97"/>
              </w:rPr>
              <w:t>70,000</w:t>
            </w:r>
          </w:p>
        </w:tc>
      </w:tr>
      <w:tr>
        <w:trPr>
          <w:trHeight w:val="185"/>
        </w:trPr>
        <w:tc>
          <w:tcPr>
            <w:tcW w:w="3740" w:type="dxa"/>
            <w:vAlign w:val="bottom"/>
          </w:tcPr>
          <w:p>
            <w:pPr>
              <w:spacing w:after="0"/>
              <w:rPr>
                <w:sz w:val="20"/>
                <w:szCs w:val="20"/>
                <w:color w:val="auto"/>
              </w:rPr>
            </w:pPr>
            <w:r>
              <w:rPr>
                <w:rFonts w:ascii="Arial" w:cs="Arial" w:eastAsia="Arial" w:hAnsi="Arial"/>
                <w:sz w:val="12"/>
                <w:szCs w:val="12"/>
                <w:color w:val="auto"/>
              </w:rPr>
              <w:t>Imports</w:t>
            </w:r>
          </w:p>
        </w:tc>
        <w:tc>
          <w:tcPr>
            <w:tcW w:w="1460" w:type="dxa"/>
            <w:vAlign w:val="bottom"/>
          </w:tcPr>
          <w:p>
            <w:pPr>
              <w:jc w:val="center"/>
              <w:ind w:left="498"/>
              <w:spacing w:after="0"/>
              <w:rPr>
                <w:sz w:val="20"/>
                <w:szCs w:val="20"/>
                <w:color w:val="auto"/>
              </w:rPr>
            </w:pPr>
            <w:r>
              <w:rPr>
                <w:rFonts w:ascii="Arial" w:cs="Arial" w:eastAsia="Arial" w:hAnsi="Arial"/>
                <w:sz w:val="12"/>
                <w:szCs w:val="12"/>
                <w:color w:val="auto"/>
              </w:rPr>
              <w:t>41,866</w:t>
            </w:r>
          </w:p>
        </w:tc>
        <w:tc>
          <w:tcPr>
            <w:tcW w:w="900" w:type="dxa"/>
            <w:vAlign w:val="bottom"/>
          </w:tcPr>
          <w:p>
            <w:pPr>
              <w:jc w:val="center"/>
              <w:spacing w:after="0"/>
              <w:rPr>
                <w:sz w:val="20"/>
                <w:szCs w:val="20"/>
                <w:color w:val="auto"/>
              </w:rPr>
            </w:pPr>
            <w:r>
              <w:rPr>
                <w:rFonts w:ascii="Arial" w:cs="Arial" w:eastAsia="Arial" w:hAnsi="Arial"/>
                <w:sz w:val="12"/>
                <w:szCs w:val="12"/>
                <w:color w:val="auto"/>
                <w:w w:val="97"/>
              </w:rPr>
              <w:t>41,101</w:t>
            </w:r>
          </w:p>
        </w:tc>
        <w:tc>
          <w:tcPr>
            <w:tcW w:w="900" w:type="dxa"/>
            <w:vAlign w:val="bottom"/>
          </w:tcPr>
          <w:p>
            <w:pPr>
              <w:jc w:val="center"/>
              <w:spacing w:after="0"/>
              <w:rPr>
                <w:sz w:val="20"/>
                <w:szCs w:val="20"/>
                <w:color w:val="auto"/>
              </w:rPr>
            </w:pPr>
            <w:r>
              <w:rPr>
                <w:rFonts w:ascii="Arial" w:cs="Arial" w:eastAsia="Arial" w:hAnsi="Arial"/>
                <w:sz w:val="12"/>
                <w:szCs w:val="12"/>
                <w:color w:val="auto"/>
                <w:w w:val="97"/>
              </w:rPr>
              <w:t>34,724</w:t>
            </w:r>
          </w:p>
        </w:tc>
        <w:tc>
          <w:tcPr>
            <w:tcW w:w="900" w:type="dxa"/>
            <w:vAlign w:val="bottom"/>
          </w:tcPr>
          <w:p>
            <w:pPr>
              <w:jc w:val="center"/>
              <w:spacing w:after="0"/>
              <w:rPr>
                <w:sz w:val="20"/>
                <w:szCs w:val="20"/>
                <w:color w:val="auto"/>
              </w:rPr>
            </w:pPr>
            <w:r>
              <w:rPr>
                <w:rFonts w:ascii="Arial" w:cs="Arial" w:eastAsia="Arial" w:hAnsi="Arial"/>
                <w:sz w:val="12"/>
                <w:szCs w:val="12"/>
                <w:color w:val="auto"/>
              </w:rPr>
              <w:t>47,990</w:t>
            </w:r>
          </w:p>
        </w:tc>
        <w:tc>
          <w:tcPr>
            <w:tcW w:w="900" w:type="dxa"/>
            <w:vAlign w:val="bottom"/>
          </w:tcPr>
          <w:p>
            <w:pPr>
              <w:jc w:val="center"/>
              <w:spacing w:after="0"/>
              <w:rPr>
                <w:sz w:val="20"/>
                <w:szCs w:val="20"/>
                <w:color w:val="auto"/>
              </w:rPr>
            </w:pPr>
            <w:r>
              <w:rPr>
                <w:rFonts w:ascii="Arial" w:cs="Arial" w:eastAsia="Arial" w:hAnsi="Arial"/>
                <w:sz w:val="12"/>
                <w:szCs w:val="12"/>
                <w:color w:val="auto"/>
              </w:rPr>
              <w:t>55,902</w:t>
            </w:r>
          </w:p>
        </w:tc>
        <w:tc>
          <w:tcPr>
            <w:tcW w:w="900" w:type="dxa"/>
            <w:vAlign w:val="bottom"/>
          </w:tcPr>
          <w:p>
            <w:pPr>
              <w:jc w:val="center"/>
              <w:spacing w:after="0"/>
              <w:rPr>
                <w:sz w:val="20"/>
                <w:szCs w:val="20"/>
                <w:color w:val="auto"/>
              </w:rPr>
            </w:pPr>
            <w:r>
              <w:rPr>
                <w:rFonts w:ascii="Arial" w:cs="Arial" w:eastAsia="Arial" w:hAnsi="Arial"/>
                <w:sz w:val="12"/>
                <w:szCs w:val="12"/>
                <w:color w:val="auto"/>
              </w:rPr>
              <w:t>49,840</w:t>
            </w:r>
          </w:p>
        </w:tc>
        <w:tc>
          <w:tcPr>
            <w:tcW w:w="92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97"/>
              </w:rPr>
              <w:t>51,000</w:t>
            </w:r>
          </w:p>
        </w:tc>
      </w:tr>
      <w:tr>
        <w:trPr>
          <w:trHeight w:val="185"/>
        </w:trPr>
        <w:tc>
          <w:tcPr>
            <w:tcW w:w="3740" w:type="dxa"/>
            <w:vAlign w:val="bottom"/>
          </w:tcPr>
          <w:p>
            <w:pPr>
              <w:spacing w:after="0"/>
              <w:rPr>
                <w:sz w:val="20"/>
                <w:szCs w:val="20"/>
                <w:color w:val="auto"/>
              </w:rPr>
            </w:pPr>
            <w:r>
              <w:rPr>
                <w:rFonts w:ascii="Arial" w:cs="Arial" w:eastAsia="Arial" w:hAnsi="Arial"/>
                <w:sz w:val="12"/>
                <w:szCs w:val="12"/>
                <w:color w:val="auto"/>
              </w:rPr>
              <w:t>Current account balance (As % GDP)</w:t>
            </w:r>
          </w:p>
        </w:tc>
        <w:tc>
          <w:tcPr>
            <w:tcW w:w="1460" w:type="dxa"/>
            <w:vAlign w:val="bottom"/>
          </w:tcPr>
          <w:p>
            <w:pPr>
              <w:jc w:val="center"/>
              <w:ind w:left="478"/>
              <w:spacing w:after="0"/>
              <w:rPr>
                <w:sz w:val="20"/>
                <w:szCs w:val="20"/>
                <w:color w:val="auto"/>
              </w:rPr>
            </w:pPr>
            <w:r>
              <w:rPr>
                <w:rFonts w:ascii="Arial" w:cs="Arial" w:eastAsia="Arial" w:hAnsi="Arial"/>
                <w:sz w:val="12"/>
                <w:szCs w:val="12"/>
                <w:color w:val="auto"/>
              </w:rPr>
              <w:t>-1.2%</w:t>
            </w:r>
          </w:p>
        </w:tc>
        <w:tc>
          <w:tcPr>
            <w:tcW w:w="900" w:type="dxa"/>
            <w:vAlign w:val="bottom"/>
          </w:tcPr>
          <w:p>
            <w:pPr>
              <w:jc w:val="center"/>
              <w:spacing w:after="0"/>
              <w:rPr>
                <w:sz w:val="20"/>
                <w:szCs w:val="20"/>
                <w:color w:val="auto"/>
              </w:rPr>
            </w:pPr>
            <w:r>
              <w:rPr>
                <w:rFonts w:ascii="Arial" w:cs="Arial" w:eastAsia="Arial" w:hAnsi="Arial"/>
                <w:sz w:val="12"/>
                <w:szCs w:val="12"/>
                <w:color w:val="auto"/>
              </w:rPr>
              <w:t>-0.6%</w:t>
            </w:r>
          </w:p>
        </w:tc>
        <w:tc>
          <w:tcPr>
            <w:tcW w:w="900" w:type="dxa"/>
            <w:vAlign w:val="bottom"/>
          </w:tcPr>
          <w:p>
            <w:pPr>
              <w:jc w:val="center"/>
              <w:spacing w:after="0"/>
              <w:rPr>
                <w:sz w:val="20"/>
                <w:szCs w:val="20"/>
                <w:color w:val="auto"/>
              </w:rPr>
            </w:pPr>
            <w:r>
              <w:rPr>
                <w:rFonts w:ascii="Arial" w:cs="Arial" w:eastAsia="Arial" w:hAnsi="Arial"/>
                <w:sz w:val="12"/>
                <w:szCs w:val="12"/>
                <w:color w:val="auto"/>
              </w:rPr>
              <w:t>1.1%</w:t>
            </w:r>
          </w:p>
        </w:tc>
        <w:tc>
          <w:tcPr>
            <w:tcW w:w="900" w:type="dxa"/>
            <w:vAlign w:val="bottom"/>
          </w:tcPr>
          <w:p>
            <w:pPr>
              <w:jc w:val="center"/>
              <w:spacing w:after="0"/>
              <w:rPr>
                <w:sz w:val="20"/>
                <w:szCs w:val="20"/>
                <w:color w:val="auto"/>
              </w:rPr>
            </w:pPr>
            <w:r>
              <w:rPr>
                <w:rFonts w:ascii="Arial" w:cs="Arial" w:eastAsia="Arial" w:hAnsi="Arial"/>
                <w:sz w:val="12"/>
                <w:szCs w:val="12"/>
                <w:color w:val="auto"/>
              </w:rPr>
              <w:t>-2.2%</w:t>
            </w:r>
          </w:p>
        </w:tc>
        <w:tc>
          <w:tcPr>
            <w:tcW w:w="900" w:type="dxa"/>
            <w:vAlign w:val="bottom"/>
          </w:tcPr>
          <w:p>
            <w:pPr>
              <w:jc w:val="center"/>
              <w:spacing w:after="0"/>
              <w:rPr>
                <w:sz w:val="20"/>
                <w:szCs w:val="20"/>
                <w:color w:val="auto"/>
              </w:rPr>
            </w:pPr>
            <w:r>
              <w:rPr>
                <w:rFonts w:ascii="Arial" w:cs="Arial" w:eastAsia="Arial" w:hAnsi="Arial"/>
                <w:sz w:val="12"/>
                <w:szCs w:val="12"/>
                <w:color w:val="auto"/>
              </w:rPr>
              <w:t>-4.0%</w:t>
            </w:r>
          </w:p>
        </w:tc>
        <w:tc>
          <w:tcPr>
            <w:tcW w:w="900" w:type="dxa"/>
            <w:vAlign w:val="bottom"/>
          </w:tcPr>
          <w:p>
            <w:pPr>
              <w:jc w:val="center"/>
              <w:spacing w:after="0"/>
              <w:rPr>
                <w:sz w:val="20"/>
                <w:szCs w:val="20"/>
                <w:color w:val="auto"/>
              </w:rPr>
            </w:pPr>
            <w:r>
              <w:rPr>
                <w:rFonts w:ascii="Arial" w:cs="Arial" w:eastAsia="Arial" w:hAnsi="Arial"/>
                <w:sz w:val="12"/>
                <w:szCs w:val="12"/>
                <w:color w:val="auto"/>
              </w:rPr>
              <w:t>0.6%</w:t>
            </w:r>
          </w:p>
        </w:tc>
        <w:tc>
          <w:tcPr>
            <w:tcW w:w="92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0.2%</w:t>
            </w:r>
          </w:p>
        </w:tc>
      </w:tr>
      <w:tr>
        <w:trPr>
          <w:trHeight w:val="185"/>
        </w:trPr>
        <w:tc>
          <w:tcPr>
            <w:tcW w:w="3740" w:type="dxa"/>
            <w:vAlign w:val="bottom"/>
          </w:tcPr>
          <w:p>
            <w:pPr>
              <w:spacing w:after="0"/>
              <w:rPr>
                <w:sz w:val="20"/>
                <w:szCs w:val="20"/>
                <w:color w:val="auto"/>
              </w:rPr>
            </w:pPr>
            <w:r>
              <w:rPr>
                <w:rFonts w:ascii="Arial" w:cs="Arial" w:eastAsia="Arial" w:hAnsi="Arial"/>
                <w:sz w:val="12"/>
                <w:szCs w:val="12"/>
                <w:color w:val="auto"/>
              </w:rPr>
              <w:t>Net international reserves (US$ Millions)</w:t>
            </w:r>
          </w:p>
        </w:tc>
        <w:tc>
          <w:tcPr>
            <w:tcW w:w="1460" w:type="dxa"/>
            <w:vAlign w:val="bottom"/>
          </w:tcPr>
          <w:p>
            <w:pPr>
              <w:jc w:val="center"/>
              <w:ind w:left="498"/>
              <w:spacing w:after="0"/>
              <w:rPr>
                <w:sz w:val="20"/>
                <w:szCs w:val="20"/>
                <w:color w:val="auto"/>
              </w:rPr>
            </w:pPr>
            <w:r>
              <w:rPr>
                <w:rFonts w:ascii="Arial" w:cs="Arial" w:eastAsia="Arial" w:hAnsi="Arial"/>
                <w:sz w:val="12"/>
                <w:szCs w:val="12"/>
                <w:color w:val="auto"/>
              </w:rPr>
              <w:t>60,121</w:t>
            </w:r>
          </w:p>
        </w:tc>
        <w:tc>
          <w:tcPr>
            <w:tcW w:w="900" w:type="dxa"/>
            <w:vAlign w:val="bottom"/>
          </w:tcPr>
          <w:p>
            <w:pPr>
              <w:jc w:val="center"/>
              <w:spacing w:after="0"/>
              <w:rPr>
                <w:sz w:val="20"/>
                <w:szCs w:val="20"/>
                <w:color w:val="auto"/>
              </w:rPr>
            </w:pPr>
            <w:r>
              <w:rPr>
                <w:rFonts w:ascii="Arial" w:cs="Arial" w:eastAsia="Arial" w:hAnsi="Arial"/>
                <w:sz w:val="12"/>
                <w:szCs w:val="12"/>
                <w:color w:val="auto"/>
                <w:w w:val="97"/>
              </w:rPr>
              <w:t>68,316</w:t>
            </w:r>
          </w:p>
        </w:tc>
        <w:tc>
          <w:tcPr>
            <w:tcW w:w="900" w:type="dxa"/>
            <w:vAlign w:val="bottom"/>
          </w:tcPr>
          <w:p>
            <w:pPr>
              <w:jc w:val="center"/>
              <w:spacing w:after="0"/>
              <w:rPr>
                <w:sz w:val="20"/>
                <w:szCs w:val="20"/>
                <w:color w:val="auto"/>
              </w:rPr>
            </w:pPr>
            <w:r>
              <w:rPr>
                <w:rFonts w:ascii="Arial" w:cs="Arial" w:eastAsia="Arial" w:hAnsi="Arial"/>
                <w:sz w:val="12"/>
                <w:szCs w:val="12"/>
                <w:color w:val="auto"/>
                <w:w w:val="97"/>
              </w:rPr>
              <w:t>74,707</w:t>
            </w:r>
          </w:p>
        </w:tc>
        <w:tc>
          <w:tcPr>
            <w:tcW w:w="900" w:type="dxa"/>
            <w:vAlign w:val="bottom"/>
          </w:tcPr>
          <w:p>
            <w:pPr>
              <w:jc w:val="center"/>
              <w:spacing w:after="0"/>
              <w:rPr>
                <w:sz w:val="20"/>
                <w:szCs w:val="20"/>
                <w:color w:val="auto"/>
              </w:rPr>
            </w:pPr>
            <w:r>
              <w:rPr>
                <w:rFonts w:ascii="Arial" w:cs="Arial" w:eastAsia="Arial" w:hAnsi="Arial"/>
                <w:sz w:val="12"/>
                <w:szCs w:val="12"/>
                <w:color w:val="auto"/>
              </w:rPr>
              <w:t>78,495</w:t>
            </w:r>
          </w:p>
        </w:tc>
        <w:tc>
          <w:tcPr>
            <w:tcW w:w="900" w:type="dxa"/>
            <w:vAlign w:val="bottom"/>
          </w:tcPr>
          <w:p>
            <w:pPr>
              <w:jc w:val="center"/>
              <w:spacing w:after="0"/>
              <w:rPr>
                <w:sz w:val="20"/>
                <w:szCs w:val="20"/>
                <w:color w:val="auto"/>
              </w:rPr>
            </w:pPr>
            <w:r>
              <w:rPr>
                <w:rFonts w:ascii="Arial" w:cs="Arial" w:eastAsia="Arial" w:hAnsi="Arial"/>
                <w:sz w:val="12"/>
                <w:szCs w:val="12"/>
                <w:color w:val="auto"/>
              </w:rPr>
              <w:t>71,883</w:t>
            </w:r>
          </w:p>
        </w:tc>
        <w:tc>
          <w:tcPr>
            <w:tcW w:w="900" w:type="dxa"/>
            <w:vAlign w:val="bottom"/>
          </w:tcPr>
          <w:p>
            <w:pPr>
              <w:jc w:val="center"/>
              <w:spacing w:after="0"/>
              <w:rPr>
                <w:sz w:val="20"/>
                <w:szCs w:val="20"/>
                <w:color w:val="auto"/>
              </w:rPr>
            </w:pPr>
            <w:r>
              <w:rPr>
                <w:rFonts w:ascii="Arial" w:cs="Arial" w:eastAsia="Arial" w:hAnsi="Arial"/>
                <w:sz w:val="12"/>
                <w:szCs w:val="12"/>
                <w:color w:val="auto"/>
              </w:rPr>
              <w:t>71,033</w:t>
            </w:r>
          </w:p>
        </w:tc>
        <w:tc>
          <w:tcPr>
            <w:tcW w:w="920" w:type="dxa"/>
            <w:vAlign w:val="bottom"/>
            <w:shd w:val="clear" w:color="auto" w:fill="F2F2F2"/>
          </w:tcPr>
          <w:p>
            <w:pPr>
              <w:jc w:val="center"/>
              <w:spacing w:after="0"/>
              <w:rPr>
                <w:sz w:val="20"/>
                <w:szCs w:val="20"/>
                <w:color w:val="auto"/>
              </w:rPr>
            </w:pPr>
            <w:r>
              <w:rPr>
                <w:rFonts w:ascii="Arial" w:cs="Arial" w:eastAsia="Arial" w:hAnsi="Arial"/>
                <w:sz w:val="12"/>
                <w:szCs w:val="12"/>
                <w:color w:val="auto"/>
                <w:w w:val="97"/>
              </w:rPr>
              <w:t>74,000</w:t>
            </w:r>
          </w:p>
        </w:tc>
      </w:tr>
      <w:tr>
        <w:trPr>
          <w:trHeight w:val="185"/>
        </w:trPr>
        <w:tc>
          <w:tcPr>
            <w:tcW w:w="3740" w:type="dxa"/>
            <w:vAlign w:val="bottom"/>
          </w:tcPr>
          <w:p>
            <w:pPr>
              <w:spacing w:after="0"/>
              <w:rPr>
                <w:sz w:val="20"/>
                <w:szCs w:val="20"/>
                <w:color w:val="auto"/>
              </w:rPr>
            </w:pPr>
            <w:r>
              <w:rPr>
                <w:rFonts w:ascii="Arial" w:cs="Arial" w:eastAsia="Arial" w:hAnsi="Arial"/>
                <w:sz w:val="12"/>
                <w:szCs w:val="12"/>
                <w:color w:val="auto"/>
              </w:rPr>
              <w:t>(As % GDP)</w:t>
            </w:r>
          </w:p>
        </w:tc>
        <w:tc>
          <w:tcPr>
            <w:tcW w:w="1460" w:type="dxa"/>
            <w:vAlign w:val="bottom"/>
          </w:tcPr>
          <w:p>
            <w:pPr>
              <w:jc w:val="center"/>
              <w:ind w:left="498"/>
              <w:spacing w:after="0"/>
              <w:rPr>
                <w:sz w:val="20"/>
                <w:szCs w:val="20"/>
                <w:color w:val="auto"/>
              </w:rPr>
            </w:pPr>
            <w:r>
              <w:rPr>
                <w:rFonts w:ascii="Arial" w:cs="Arial" w:eastAsia="Arial" w:hAnsi="Arial"/>
                <w:sz w:val="12"/>
                <w:szCs w:val="12"/>
                <w:color w:val="auto"/>
                <w:w w:val="99"/>
              </w:rPr>
              <w:t>26.5%</w:t>
            </w:r>
          </w:p>
        </w:tc>
        <w:tc>
          <w:tcPr>
            <w:tcW w:w="900" w:type="dxa"/>
            <w:vAlign w:val="bottom"/>
          </w:tcPr>
          <w:p>
            <w:pPr>
              <w:jc w:val="center"/>
              <w:spacing w:after="0"/>
              <w:rPr>
                <w:sz w:val="20"/>
                <w:szCs w:val="20"/>
                <w:color w:val="auto"/>
              </w:rPr>
            </w:pPr>
            <w:r>
              <w:rPr>
                <w:rFonts w:ascii="Arial" w:cs="Arial" w:eastAsia="Arial" w:hAnsi="Arial"/>
                <w:sz w:val="12"/>
                <w:szCs w:val="12"/>
                <w:color w:val="auto"/>
              </w:rPr>
              <w:t>29.4%</w:t>
            </w:r>
          </w:p>
        </w:tc>
        <w:tc>
          <w:tcPr>
            <w:tcW w:w="900" w:type="dxa"/>
            <w:vAlign w:val="bottom"/>
          </w:tcPr>
          <w:p>
            <w:pPr>
              <w:jc w:val="center"/>
              <w:spacing w:after="0"/>
              <w:rPr>
                <w:sz w:val="20"/>
                <w:szCs w:val="20"/>
                <w:color w:val="auto"/>
              </w:rPr>
            </w:pPr>
            <w:r>
              <w:rPr>
                <w:rFonts w:ascii="Arial" w:cs="Arial" w:eastAsia="Arial" w:hAnsi="Arial"/>
                <w:sz w:val="12"/>
                <w:szCs w:val="12"/>
                <w:color w:val="auto"/>
              </w:rPr>
              <w:t>36.3%</w:t>
            </w:r>
          </w:p>
        </w:tc>
        <w:tc>
          <w:tcPr>
            <w:tcW w:w="900" w:type="dxa"/>
            <w:vAlign w:val="bottom"/>
          </w:tcPr>
          <w:p>
            <w:pPr>
              <w:jc w:val="center"/>
              <w:spacing w:after="0"/>
              <w:rPr>
                <w:sz w:val="20"/>
                <w:szCs w:val="20"/>
                <w:color w:val="auto"/>
              </w:rPr>
            </w:pPr>
            <w:r>
              <w:rPr>
                <w:rFonts w:ascii="Arial" w:cs="Arial" w:eastAsia="Arial" w:hAnsi="Arial"/>
                <w:sz w:val="12"/>
                <w:szCs w:val="12"/>
                <w:color w:val="auto"/>
                <w:w w:val="99"/>
              </w:rPr>
              <w:t>34.7%</w:t>
            </w:r>
          </w:p>
        </w:tc>
        <w:tc>
          <w:tcPr>
            <w:tcW w:w="900" w:type="dxa"/>
            <w:vAlign w:val="bottom"/>
          </w:tcPr>
          <w:p>
            <w:pPr>
              <w:jc w:val="center"/>
              <w:spacing w:after="0"/>
              <w:rPr>
                <w:sz w:val="20"/>
                <w:szCs w:val="20"/>
                <w:color w:val="auto"/>
              </w:rPr>
            </w:pPr>
            <w:r>
              <w:rPr>
                <w:rFonts w:ascii="Arial" w:cs="Arial" w:eastAsia="Arial" w:hAnsi="Arial"/>
                <w:sz w:val="12"/>
                <w:szCs w:val="12"/>
                <w:color w:val="auto"/>
                <w:w w:val="99"/>
              </w:rPr>
              <w:t>29.3%</w:t>
            </w:r>
          </w:p>
        </w:tc>
        <w:tc>
          <w:tcPr>
            <w:tcW w:w="900" w:type="dxa"/>
            <w:vAlign w:val="bottom"/>
          </w:tcPr>
          <w:p>
            <w:pPr>
              <w:jc w:val="center"/>
              <w:spacing w:after="0"/>
              <w:rPr>
                <w:sz w:val="20"/>
                <w:szCs w:val="20"/>
                <w:color w:val="auto"/>
              </w:rPr>
            </w:pPr>
            <w:r>
              <w:rPr>
                <w:rFonts w:ascii="Arial" w:cs="Arial" w:eastAsia="Arial" w:hAnsi="Arial"/>
                <w:sz w:val="12"/>
                <w:szCs w:val="12"/>
                <w:color w:val="auto"/>
              </w:rPr>
              <w:t>26.5%</w:t>
            </w:r>
          </w:p>
        </w:tc>
        <w:tc>
          <w:tcPr>
            <w:tcW w:w="920" w:type="dxa"/>
            <w:vAlign w:val="bottom"/>
            <w:shd w:val="clear" w:color="auto" w:fill="F2F2F2"/>
          </w:tcPr>
          <w:p>
            <w:pPr>
              <w:jc w:val="center"/>
              <w:spacing w:after="0"/>
              <w:rPr>
                <w:sz w:val="20"/>
                <w:szCs w:val="20"/>
                <w:color w:val="auto"/>
              </w:rPr>
            </w:pPr>
            <w:r>
              <w:rPr>
                <w:rFonts w:ascii="Arial" w:cs="Arial" w:eastAsia="Arial" w:hAnsi="Arial"/>
                <w:sz w:val="12"/>
                <w:szCs w:val="12"/>
                <w:color w:val="auto"/>
              </w:rPr>
              <w:t>26.3%</w:t>
            </w:r>
          </w:p>
        </w:tc>
      </w:tr>
      <w:tr>
        <w:trPr>
          <w:trHeight w:val="192"/>
        </w:trPr>
        <w:tc>
          <w:tcPr>
            <w:tcW w:w="3740" w:type="dxa"/>
            <w:vAlign w:val="bottom"/>
            <w:tcBorders>
              <w:bottom w:val="single" w:sz="8" w:color="29D2C9"/>
            </w:tcBorders>
          </w:tcPr>
          <w:p>
            <w:pPr>
              <w:spacing w:after="0"/>
              <w:rPr>
                <w:sz w:val="20"/>
                <w:szCs w:val="20"/>
                <w:color w:val="auto"/>
              </w:rPr>
            </w:pPr>
            <w:r>
              <w:rPr>
                <w:rFonts w:ascii="Arial" w:cs="Arial" w:eastAsia="Arial" w:hAnsi="Arial"/>
                <w:sz w:val="12"/>
                <w:szCs w:val="12"/>
                <w:color w:val="auto"/>
              </w:rPr>
              <w:t>(As months of imports)</w:t>
            </w:r>
          </w:p>
        </w:tc>
        <w:tc>
          <w:tcPr>
            <w:tcW w:w="1460" w:type="dxa"/>
            <w:vAlign w:val="bottom"/>
            <w:tcBorders>
              <w:bottom w:val="single" w:sz="8" w:color="29D2C9"/>
            </w:tcBorders>
          </w:tcPr>
          <w:p>
            <w:pPr>
              <w:jc w:val="center"/>
              <w:ind w:left="498"/>
              <w:spacing w:after="0"/>
              <w:rPr>
                <w:sz w:val="20"/>
                <w:szCs w:val="20"/>
                <w:color w:val="auto"/>
              </w:rPr>
            </w:pPr>
            <w:r>
              <w:rPr>
                <w:rFonts w:ascii="Arial" w:cs="Arial" w:eastAsia="Arial" w:hAnsi="Arial"/>
                <w:sz w:val="12"/>
                <w:szCs w:val="12"/>
                <w:color w:val="auto"/>
              </w:rPr>
              <w:t>17</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w w:val="89"/>
              </w:rPr>
              <w:t>20</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w w:val="89"/>
              </w:rPr>
              <w:t>26</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rPr>
              <w:t>20</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rPr>
              <w:t>15</w:t>
            </w:r>
          </w:p>
        </w:tc>
        <w:tc>
          <w:tcPr>
            <w:tcW w:w="900" w:type="dxa"/>
            <w:vAlign w:val="bottom"/>
            <w:tcBorders>
              <w:bottom w:val="single" w:sz="8" w:color="29D2C9"/>
            </w:tcBorders>
          </w:tcPr>
          <w:p>
            <w:pPr>
              <w:jc w:val="center"/>
              <w:spacing w:after="0"/>
              <w:rPr>
                <w:sz w:val="20"/>
                <w:szCs w:val="20"/>
                <w:color w:val="auto"/>
              </w:rPr>
            </w:pPr>
            <w:r>
              <w:rPr>
                <w:rFonts w:ascii="Arial" w:cs="Arial" w:eastAsia="Arial" w:hAnsi="Arial"/>
                <w:sz w:val="12"/>
                <w:szCs w:val="12"/>
                <w:color w:val="auto"/>
              </w:rPr>
              <w:t>17</w:t>
            </w:r>
          </w:p>
        </w:tc>
        <w:tc>
          <w:tcPr>
            <w:tcW w:w="920" w:type="dxa"/>
            <w:vAlign w:val="bottom"/>
            <w:tcBorders>
              <w:bottom w:val="single" w:sz="8" w:color="29D2C9"/>
            </w:tcBorders>
            <w:shd w:val="clear" w:color="auto" w:fill="F2F2F2"/>
          </w:tcPr>
          <w:p>
            <w:pPr>
              <w:jc w:val="center"/>
              <w:spacing w:after="0"/>
              <w:rPr>
                <w:sz w:val="20"/>
                <w:szCs w:val="20"/>
                <w:color w:val="auto"/>
              </w:rPr>
            </w:pPr>
            <w:r>
              <w:rPr>
                <w:rFonts w:ascii="Arial" w:cs="Arial" w:eastAsia="Arial" w:hAnsi="Arial"/>
                <w:sz w:val="12"/>
                <w:szCs w:val="12"/>
                <w:color w:val="auto"/>
                <w:w w:val="89"/>
              </w:rPr>
              <w:t>17</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1"/>
          <w:szCs w:val="11"/>
          <w:color w:val="auto"/>
        </w:rPr>
        <w:t>Sources: INEI, BCRP y SBS.</w:t>
      </w:r>
    </w:p>
    <w:p>
      <w:pPr>
        <w:spacing w:after="0" w:line="4" w:lineRule="exact"/>
        <w:rPr>
          <w:sz w:val="20"/>
          <w:szCs w:val="20"/>
          <w:color w:val="auto"/>
        </w:rPr>
      </w:pPr>
    </w:p>
    <w:p>
      <w:pPr>
        <w:ind w:left="180" w:hanging="171"/>
        <w:spacing w:after="0"/>
        <w:tabs>
          <w:tab w:leader="none" w:pos="180" w:val="left"/>
        </w:tabs>
        <w:numPr>
          <w:ilvl w:val="0"/>
          <w:numId w:val="47"/>
        </w:numPr>
        <w:rPr>
          <w:rFonts w:ascii="Arial" w:cs="Arial" w:eastAsia="Arial" w:hAnsi="Arial"/>
          <w:sz w:val="11"/>
          <w:szCs w:val="11"/>
          <w:color w:val="auto"/>
        </w:rPr>
      </w:pPr>
      <w:r>
        <w:rPr>
          <w:rFonts w:ascii="Arial" w:cs="Arial" w:eastAsia="Arial" w:hAnsi="Arial"/>
          <w:sz w:val="11"/>
          <w:szCs w:val="11"/>
          <w:color w:val="auto"/>
        </w:rPr>
        <w:t>Financial System, Current Exchange Rate</w:t>
      </w:r>
    </w:p>
    <w:p>
      <w:pPr>
        <w:ind w:left="180" w:hanging="171"/>
        <w:spacing w:after="0" w:line="234" w:lineRule="auto"/>
        <w:tabs>
          <w:tab w:leader="none" w:pos="180" w:val="left"/>
        </w:tabs>
        <w:numPr>
          <w:ilvl w:val="0"/>
          <w:numId w:val="47"/>
        </w:numPr>
        <w:rPr>
          <w:rFonts w:ascii="Arial" w:cs="Arial" w:eastAsia="Arial" w:hAnsi="Arial"/>
          <w:sz w:val="11"/>
          <w:szCs w:val="11"/>
          <w:color w:val="auto"/>
        </w:rPr>
      </w:pPr>
      <w:r>
        <w:rPr>
          <w:rFonts w:ascii="Arial" w:cs="Arial" w:eastAsia="Arial" w:hAnsi="Arial"/>
          <w:sz w:val="11"/>
          <w:szCs w:val="11"/>
          <w:color w:val="auto"/>
        </w:rPr>
        <w:t>Inflation target: 1%-3%</w:t>
      </w:r>
    </w:p>
    <w:p>
      <w:pPr>
        <w:ind w:left="180" w:hanging="171"/>
        <w:spacing w:after="0" w:line="234" w:lineRule="auto"/>
        <w:tabs>
          <w:tab w:leader="none" w:pos="180" w:val="left"/>
        </w:tabs>
        <w:numPr>
          <w:ilvl w:val="0"/>
          <w:numId w:val="47"/>
        </w:numPr>
        <w:rPr>
          <w:rFonts w:ascii="Arial" w:cs="Arial" w:eastAsia="Arial" w:hAnsi="Arial"/>
          <w:sz w:val="11"/>
          <w:szCs w:val="11"/>
          <w:color w:val="auto"/>
        </w:rPr>
      </w:pPr>
      <w:r>
        <w:rPr>
          <w:rFonts w:ascii="Arial" w:cs="Arial" w:eastAsia="Arial" w:hAnsi="Arial"/>
          <w:sz w:val="11"/>
          <w:szCs w:val="11"/>
          <w:color w:val="auto"/>
        </w:rPr>
        <w:t>Negative % change indicates depreciation.</w:t>
      </w:r>
    </w:p>
    <w:p>
      <w:pPr>
        <w:ind w:left="180" w:hanging="171"/>
        <w:spacing w:after="0"/>
        <w:tabs>
          <w:tab w:leader="none" w:pos="180" w:val="left"/>
        </w:tabs>
        <w:numPr>
          <w:ilvl w:val="0"/>
          <w:numId w:val="47"/>
        </w:numPr>
        <w:rPr>
          <w:rFonts w:ascii="Arial" w:cs="Arial" w:eastAsia="Arial" w:hAnsi="Arial"/>
          <w:sz w:val="11"/>
          <w:szCs w:val="11"/>
          <w:color w:val="auto"/>
        </w:rPr>
      </w:pPr>
      <w:r>
        <w:rPr>
          <w:rFonts w:ascii="Arial" w:cs="Arial" w:eastAsia="Arial" w:hAnsi="Arial"/>
          <w:sz w:val="11"/>
          <w:szCs w:val="11"/>
          <w:color w:val="auto"/>
        </w:rPr>
        <w:t>Grey area indicate estimates by BCP Economic Research as of May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629285</wp:posOffset>
            </wp:positionV>
            <wp:extent cx="7164705" cy="133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100330</wp:posOffset>
            </wp:positionV>
            <wp:extent cx="1502410" cy="4438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263525</wp:posOffset>
            </wp:positionV>
            <wp:extent cx="1685290" cy="2806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685290" cy="280670"/>
                    </a:xfrm>
                    <a:prstGeom prst="rect">
                      <a:avLst/>
                    </a:prstGeom>
                    <a:noFill/>
                  </pic:spPr>
                </pic:pic>
              </a:graphicData>
            </a:graphic>
          </wp:anchor>
        </w:drawing>
      </w:r>
    </w:p>
    <w:p>
      <w:pPr>
        <w:sectPr>
          <w:pgSz w:w="11900" w:h="16838" w:orient="portrait"/>
          <w:cols w:equalWidth="0" w:num="1">
            <w:col w:w="10620"/>
          </w:cols>
          <w:pgMar w:left="540" w:top="300" w:right="739" w:bottom="1440" w:gutter="0" w:footer="0" w:header="0"/>
        </w:sectPr>
      </w:pPr>
    </w:p>
    <w:bookmarkStart w:id="45" w:name="page46"/>
    <w:bookmarkEnd w:id="45"/>
    <w:p>
      <w:pPr>
        <w:jc w:val="both"/>
        <w:ind w:left="2480"/>
        <w:spacing w:after="0"/>
        <w:tabs>
          <w:tab w:leader="none" w:pos="2680" w:val="left"/>
        </w:tabs>
        <w:rPr>
          <w:sz w:val="20"/>
          <w:szCs w:val="20"/>
          <w:color w:val="auto"/>
        </w:rPr>
      </w:pPr>
      <w:r>
        <w:rPr>
          <w:rFonts w:ascii="Arial" w:cs="Arial" w:eastAsia="Arial" w:hAnsi="Arial"/>
          <w:sz w:val="14"/>
          <w:szCs w:val="14"/>
          <w:color w:val="A6A6A6"/>
        </w:rPr>
        <w:t>|</w:t>
      </w:r>
      <w:r>
        <w:rPr>
          <w:sz w:val="20"/>
          <w:szCs w:val="20"/>
          <w:color w:val="auto"/>
        </w:rPr>
        <w:tab/>
      </w:r>
      <w:r>
        <w:rPr>
          <w:rFonts w:ascii="Arial" w:cs="Arial" w:eastAsia="Arial" w:hAnsi="Arial"/>
          <w:sz w:val="14"/>
          <w:szCs w:val="14"/>
          <w:b w:val="1"/>
          <w:bCs w:val="1"/>
          <w:color w:val="A6A6A6"/>
        </w:rPr>
        <w:t>Earnings Release 2Q / 2024</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11. Economic Outlook</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Main Macroeconomic Variables</w:t>
      </w:r>
    </w:p>
    <w:p>
      <w:pPr>
        <w:spacing w:after="0" w:line="148"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auto"/>
        </w:rPr>
        <w:t>Gross Domestic Product</w:t>
      </w:r>
    </w:p>
    <w:p>
      <w:pPr>
        <w:spacing w:after="0" w:line="7"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(Annual Real Variations, %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93980</wp:posOffset>
            </wp:positionV>
            <wp:extent cx="2482215" cy="11296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482215" cy="1129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Annual Inflation and Central Bank Reference Rate</w:t>
      </w:r>
    </w:p>
    <w:p>
      <w:pPr>
        <w:spacing w:after="0" w:line="7" w:lineRule="exact"/>
        <w:rPr>
          <w:sz w:val="20"/>
          <w:szCs w:val="20"/>
          <w:color w:val="auto"/>
        </w:rPr>
      </w:pPr>
    </w:p>
    <w:p>
      <w:pPr>
        <w:jc w:val="center"/>
        <w:ind w:left="28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1544320</wp:posOffset>
            </wp:positionV>
            <wp:extent cx="1502410" cy="4438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430530</wp:posOffset>
            </wp:positionH>
            <wp:positionV relativeFrom="paragraph">
              <wp:posOffset>-3175</wp:posOffset>
            </wp:positionV>
            <wp:extent cx="2429510" cy="13392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429510" cy="13392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2080"/>
        <w:spacing w:after="0"/>
        <w:rPr>
          <w:sz w:val="20"/>
          <w:szCs w:val="20"/>
          <w:color w:val="auto"/>
        </w:rPr>
      </w:pPr>
      <w:r>
        <w:rPr>
          <w:rFonts w:ascii="Arial" w:cs="Arial" w:eastAsia="Arial" w:hAnsi="Arial"/>
          <w:sz w:val="14"/>
          <w:szCs w:val="14"/>
          <w:b w:val="1"/>
          <w:bCs w:val="1"/>
          <w:color w:val="E93BAC"/>
        </w:rPr>
        <w:t>Analysis of 2Q24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-3719195</wp:posOffset>
            </wp:positionH>
            <wp:positionV relativeFrom="paragraph">
              <wp:posOffset>-222885</wp:posOffset>
            </wp:positionV>
            <wp:extent cx="7164705" cy="5810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64705" cy="58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In 2Q24, the Peruvian economy is estimated to have grown around 4.0% YoY, the second positive result after four consecutive quarters of decline and the best quarterly performance in nearly three years. Primary sectors are estimated to have grown around 7.5% YoY, driven by agriculture, fishing, and primary manufacturing sectors due to the positive impact of the first anchovy fishing season in the north-central zone of the country (in 2023 was canceled due to “El Niño” weather phenomenon). Meanwhile, growth of non-primary sectors is expected to have accelerated to around 3.0% YoY, fueled by services and non-primary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14"/>
          <w:szCs w:val="14"/>
          <w:color w:val="auto"/>
        </w:rPr>
        <w:t>Inflation, measured using the Consumer Price index of Metropolitan Lima, fell from 3.0% YoY at the end of 1Q24 to 2.3% at the end of 2Q24 (the lowest level in over three years). Throughout the quarter, the level remained close to the midpoint of the Central Bank (BCRP) target range of between 1% - 3%. This result is explained by a drop in the price of poultry and agricultural commodities (average price 2Q24 YoY: -6% wheat, -29% corn, -17% soy). Meanwhile, core inflation (excludes food and energy) stood at 3.1% YoY at the end of Q2 2024 and has remained around the upper limit of the target range since November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-3719195</wp:posOffset>
            </wp:positionH>
            <wp:positionV relativeFrom="paragraph">
              <wp:posOffset>1287780</wp:posOffset>
            </wp:positionV>
            <wp:extent cx="7164705" cy="133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928370</wp:posOffset>
            </wp:positionV>
            <wp:extent cx="1685290" cy="2743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685290" cy="274320"/>
                    </a:xfrm>
                    <a:prstGeom prst="rect">
                      <a:avLst/>
                    </a:prstGeom>
                    <a:noFill/>
                  </pic:spPr>
                </pic:pic>
              </a:graphicData>
            </a:graphic>
          </wp:anchor>
        </w:drawing>
      </w:r>
    </w:p>
    <w:p>
      <w:pPr>
        <w:sectPr>
          <w:pgSz w:w="11900" w:h="16838" w:orient="portrait"/>
          <w:cols w:equalWidth="0" w:num="2">
            <w:col w:w="4900" w:space="720"/>
            <w:col w:w="5180"/>
          </w:cols>
          <w:pgMar w:left="540" w:top="300" w:right="559" w:bottom="1440" w:gutter="0" w:footer="0" w:header="0"/>
        </w:sectPr>
      </w:pPr>
    </w:p>
    <w:bookmarkStart w:id="46" w:name="page47"/>
    <w:bookmarkEnd w:id="46"/>
    <w:p>
      <w:pPr>
        <w:jc w:val="both"/>
        <w:ind w:left="2480"/>
        <w:spacing w:after="0"/>
        <w:tabs>
          <w:tab w:leader="none" w:pos="2680" w:val="left"/>
        </w:tabs>
        <w:rPr>
          <w:sz w:val="20"/>
          <w:szCs w:val="20"/>
          <w:color w:val="auto"/>
        </w:rPr>
      </w:pPr>
      <w:r>
        <w:rPr>
          <w:rFonts w:ascii="Arial" w:cs="Arial" w:eastAsia="Arial" w:hAnsi="Arial"/>
          <w:sz w:val="14"/>
          <w:szCs w:val="14"/>
          <w:color w:val="A6A6A6"/>
        </w:rPr>
        <w:t>|</w:t>
      </w:r>
      <w:r>
        <w:rPr>
          <w:sz w:val="20"/>
          <w:szCs w:val="20"/>
          <w:color w:val="auto"/>
        </w:rPr>
        <w:tab/>
      </w:r>
      <w:r>
        <w:rPr>
          <w:rFonts w:ascii="Arial" w:cs="Arial" w:eastAsia="Arial" w:hAnsi="Arial"/>
          <w:sz w:val="14"/>
          <w:szCs w:val="14"/>
          <w:b w:val="1"/>
          <w:bCs w:val="1"/>
          <w:color w:val="A6A6A6"/>
        </w:rPr>
        <w:t>Earnings Release 2Q / 2024</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11. Economic Outlook</w:t>
      </w:r>
    </w:p>
    <w:p>
      <w:pPr>
        <w:spacing w:after="0" w:line="244"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Fiscal Balance and Current Account Balance</w:t>
      </w:r>
    </w:p>
    <w:p>
      <w:pPr>
        <w:spacing w:after="0" w:line="7" w:lineRule="exact"/>
        <w:rPr>
          <w:sz w:val="20"/>
          <w:szCs w:val="20"/>
          <w:color w:val="auto"/>
        </w:rPr>
      </w:pPr>
    </w:p>
    <w:p>
      <w:pPr>
        <w:jc w:val="center"/>
        <w:ind w:left="280"/>
        <w:spacing w:after="0"/>
        <w:rPr>
          <w:sz w:val="20"/>
          <w:szCs w:val="20"/>
          <w:color w:val="auto"/>
        </w:rPr>
      </w:pPr>
      <w:r>
        <w:rPr>
          <w:rFonts w:ascii="Arial" w:cs="Arial" w:eastAsia="Arial" w:hAnsi="Arial"/>
          <w:sz w:val="14"/>
          <w:szCs w:val="14"/>
          <w:color w:val="auto"/>
        </w:rPr>
        <w:t>(%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93980</wp:posOffset>
            </wp:positionV>
            <wp:extent cx="2403475" cy="13976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403475" cy="13976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2080"/>
        <w:spacing w:after="0"/>
        <w:rPr>
          <w:sz w:val="20"/>
          <w:szCs w:val="20"/>
          <w:color w:val="auto"/>
        </w:rPr>
      </w:pPr>
      <w:r>
        <w:rPr>
          <w:rFonts w:ascii="Arial" w:cs="Arial" w:eastAsia="Arial" w:hAnsi="Arial"/>
          <w:sz w:val="14"/>
          <w:szCs w:val="14"/>
          <w:b w:val="1"/>
          <w:bCs w:val="1"/>
          <w:color w:val="E93BAC"/>
        </w:rPr>
        <w:t>Analysis of 2Q24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-3719195</wp:posOffset>
            </wp:positionH>
            <wp:positionV relativeFrom="paragraph">
              <wp:posOffset>-222885</wp:posOffset>
            </wp:positionV>
            <wp:extent cx="7164705" cy="5810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64705" cy="58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The annualized fiscal deficit for the last 12 months to June 2024 rose to 3.9% of GDP, compared to 3.4% of GDP in 1Q24. This increase was largely due to growth in non-financial expenditure (+13% YoY), mainly public investment (capital expenditure +20% YoY), which outpaced the increase in fiscal revenues (+5.0% YoY).</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In June 2024, the Ministry of Economy and Finance conducted a debt management operation that included: i) issuance of a new 2039 sovereign bond for PEN 7 billion at a rate of 7.65%, ii) exchange and repurchase of sovereign bonds maturing between 2024-29, and iii) repurchase of USD and EUR bonds maturing between 2025-31.</w:t>
      </w:r>
    </w:p>
    <w:p>
      <w:pPr>
        <w:spacing w:after="0" w:line="200" w:lineRule="exact"/>
        <w:rPr>
          <w:sz w:val="20"/>
          <w:szCs w:val="20"/>
          <w:color w:val="auto"/>
        </w:rPr>
      </w:pPr>
    </w:p>
    <w:p>
      <w:pPr>
        <w:sectPr>
          <w:pgSz w:w="11900" w:h="16838" w:orient="portrait"/>
          <w:cols w:equalWidth="0" w:num="2">
            <w:col w:w="4900" w:space="720"/>
            <w:col w:w="5180"/>
          </w:cols>
          <w:pgMar w:left="540" w:top="300"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S&amp;P assigns a BBB- credit rating to Peru’s foreign currency sovereign debt, the lowest investment grade, with a stable outlook. Fitch rates it two notches above investment grade at BBB with a negative outlook, while Moody’s also assigns a negative outlook to its Baa1 rating, three notches above investment grade.</w:t>
      </w:r>
    </w:p>
    <w:p>
      <w:pPr>
        <w:spacing w:after="0" w:line="117"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Regarding external accounts, the 12-month accumulated trade balance surplus to May 2024 stood at USD 17.6 billion, close to its historic high in February 2024 (USD 18.2 billion). During the same period, exports grew 2.5% YoY to USD 67.9 billion, while imports fell 5.7% YoY to USD 50.4 billion due to a decrease in volumes of imported industrial supplies and lower agricultural commodity prices.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Terms of trade grew 13.9% YoY in May 2024 and reached historic highs due to a 14.1% increase in export prices mainly driven by higher prices of copper, gold, and silver. The first two surged to record levels in May 2025 (USD/lb. 4.92 and USD/oz. 2,425, respectively), while silver rose to levels not seen in 11 years (USD/oz. 32.1). Meanwhile, import prices remained stable (0.1% YoY) due to lower prices for industrial supplies and food stuffs such as wheat, corn, and soy. In May, terms of trade grew 7.6% compared to the figure in 2023.</w:t>
      </w:r>
    </w:p>
    <w:p>
      <w:pPr>
        <w:spacing w:after="0" w:line="180"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auto"/>
        </w:rPr>
        <w:t>Exchange Rate</w:t>
      </w:r>
    </w:p>
    <w:p>
      <w:pPr>
        <w:spacing w:after="0" w:line="7" w:lineRule="exact"/>
        <w:rPr>
          <w:sz w:val="20"/>
          <w:szCs w:val="20"/>
          <w:color w:val="auto"/>
        </w:rPr>
      </w:pPr>
    </w:p>
    <w:p>
      <w:pPr>
        <w:ind w:left="2120"/>
        <w:spacing w:after="0"/>
        <w:rPr>
          <w:sz w:val="20"/>
          <w:szCs w:val="20"/>
          <w:color w:val="auto"/>
        </w:rPr>
      </w:pPr>
      <w:r>
        <w:rPr>
          <w:rFonts w:ascii="Arial" w:cs="Arial" w:eastAsia="Arial" w:hAnsi="Arial"/>
          <w:sz w:val="14"/>
          <w:szCs w:val="14"/>
          <w:color w:val="auto"/>
        </w:rPr>
        <w:t>(PEN per USD)</w:t>
      </w:r>
    </w:p>
    <w:p>
      <w:pPr>
        <w:spacing w:after="0" w:line="84" w:lineRule="exact"/>
        <w:rPr>
          <w:sz w:val="20"/>
          <w:szCs w:val="20"/>
          <w:color w:val="auto"/>
        </w:rPr>
      </w:pPr>
    </w:p>
    <w:p>
      <w:pPr>
        <w:jc w:val="both"/>
        <w:ind w:left="5280"/>
        <w:spacing w:after="0" w:line="237" w:lineRule="auto"/>
        <w:rPr>
          <w:sz w:val="20"/>
          <w:szCs w:val="20"/>
          <w:color w:val="auto"/>
        </w:rPr>
      </w:pPr>
      <w:r>
        <w:rPr>
          <w:rFonts w:ascii="Arial" w:cs="Arial" w:eastAsia="Arial" w:hAnsi="Arial"/>
          <w:sz w:val="14"/>
          <w:szCs w:val="14"/>
          <w:color w:val="auto"/>
        </w:rPr>
        <w:t>According to BCRP, the exchange rate closed 2Q24 at USDPEN 3.83, a depreciation of 3.2% compared to the print at the end of 1Q24 (3.72) and 3.4% compared to the figure at the end of 2023. In May, the BCRP intervened in the spot FX market by selling USD 78 million. In June, they sold an additional USD 5 million, resulting in total sales of USD 318 million for the year—nearly four times the amount sold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-463550</wp:posOffset>
            </wp:positionV>
            <wp:extent cx="2135505" cy="13322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35505" cy="1332230"/>
                    </a:xfrm>
                    <a:prstGeom prst="rect">
                      <a:avLst/>
                    </a:prstGeom>
                    <a:noFill/>
                  </pic:spPr>
                </pic:pic>
              </a:graphicData>
            </a:graphic>
          </wp:anchor>
        </w:drawing>
      </w:r>
    </w:p>
    <w:p>
      <w:pPr>
        <w:spacing w:after="0" w:line="111" w:lineRule="exact"/>
        <w:rPr>
          <w:sz w:val="20"/>
          <w:szCs w:val="20"/>
          <w:color w:val="auto"/>
        </w:rPr>
      </w:pPr>
    </w:p>
    <w:p>
      <w:pPr>
        <w:jc w:val="both"/>
        <w:ind w:left="5280"/>
        <w:spacing w:after="0" w:line="239" w:lineRule="auto"/>
        <w:rPr>
          <w:sz w:val="20"/>
          <w:szCs w:val="20"/>
          <w:color w:val="auto"/>
        </w:rPr>
      </w:pPr>
      <w:r>
        <w:rPr>
          <w:rFonts w:ascii="Arial" w:cs="Arial" w:eastAsia="Arial" w:hAnsi="Arial"/>
          <w:sz w:val="14"/>
          <w:szCs w:val="14"/>
          <w:color w:val="auto"/>
        </w:rPr>
        <w:t>The strengthening of the dollar and idiosyncratic factors in Mexico and Brazil influenced Latin American currencies in 2Q24. Compared to the end of 1Q24, the Brazilian real depreciated 11.6%, the Mexican peso 10.6%, and the Colombian peso 7.5%. The Chilean peso, on the other hand, appreciated 4.0%.</w:t>
      </w:r>
    </w:p>
    <w:p>
      <w:pPr>
        <w:spacing w:after="0" w:line="130" w:lineRule="exact"/>
        <w:rPr>
          <w:sz w:val="20"/>
          <w:szCs w:val="20"/>
          <w:color w:val="auto"/>
        </w:rPr>
      </w:pPr>
    </w:p>
    <w:p>
      <w:pPr>
        <w:jc w:val="both"/>
        <w:ind w:left="5280"/>
        <w:spacing w:after="0" w:line="239" w:lineRule="auto"/>
        <w:rPr>
          <w:sz w:val="20"/>
          <w:szCs w:val="20"/>
          <w:color w:val="auto"/>
        </w:rPr>
      </w:pPr>
      <w:r>
        <w:rPr>
          <w:rFonts w:ascii="Arial" w:cs="Arial" w:eastAsia="Arial" w:hAnsi="Arial"/>
          <w:sz w:val="14"/>
          <w:szCs w:val="14"/>
          <w:color w:val="auto"/>
        </w:rPr>
        <w:t>Net International Reserves closed 2Q24 at USD 71.4 billion, below the USD 73.8 billion at the end of 1Q24 and relatively stable compared to the end of 2023 (USD 71.0 billion). Meanwhile, the BCRP’s foreign exchange position stood at USD 51.2 billion, a reduction of USD 664 million compared to the end of 1Q24.</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As of August 6, the exchange rate appreciated more than 2.5% to USDPEN 3.73 compared to the end of Q2 2024, in line with movements of other Latam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637540</wp:posOffset>
            </wp:positionV>
            <wp:extent cx="7164705" cy="133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107950</wp:posOffset>
            </wp:positionV>
            <wp:extent cx="1502410" cy="4438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5289550</wp:posOffset>
            </wp:positionH>
            <wp:positionV relativeFrom="paragraph">
              <wp:posOffset>252095</wp:posOffset>
            </wp:positionV>
            <wp:extent cx="1724025" cy="3003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24025" cy="300355"/>
                    </a:xfrm>
                    <a:prstGeom prst="rect">
                      <a:avLst/>
                    </a:prstGeom>
                    <a:noFill/>
                  </pic:spPr>
                </pic:pic>
              </a:graphicData>
            </a:graphic>
          </wp:anchor>
        </w:drawing>
      </w:r>
    </w:p>
    <w:p>
      <w:pPr>
        <w:sectPr>
          <w:pgSz w:w="11900" w:h="16838" w:orient="portrait"/>
          <w:cols w:equalWidth="0" w:num="1">
            <w:col w:w="10800"/>
          </w:cols>
          <w:pgMar w:left="540" w:top="300" w:right="559" w:bottom="1440" w:gutter="0" w:footer="0" w:header="0"/>
          <w:type w:val="continuous"/>
        </w:sectPr>
      </w:pPr>
    </w:p>
    <w:bookmarkStart w:id="47" w:name="page48"/>
    <w:bookmarkEnd w:id="47"/>
    <w:p>
      <w:pPr>
        <w:ind w:left="2480"/>
        <w:spacing w:after="0"/>
        <w:tabs>
          <w:tab w:leader="none" w:pos="2680" w:val="left"/>
          <w:tab w:leader="none" w:pos="7680"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10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64705" cy="581025"/>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Safe Harbor for Forward-Looking Statements</w:t>
      </w:r>
    </w:p>
    <w:p>
      <w:pPr>
        <w:spacing w:after="0" w:line="246"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This material includes “forward-looking statements” within the meaning of Section 27A of the U.S. Securities Act of 1933 and Section 21E of the U.S. Securities Exchange Act of 1934. All statements other than statements of historical fact are forward-looking and may contain information about financial results, economic conditions, trends and known uncertainties. Forward-looking statements are not assurances of future performance. Instead, they are based only on our management’s current views, beliefs, expectations and assumptions regarding the future of our business, future plans and strategies, projections, anticipated events and trends, th e economy and other future conditions.</w:t>
      </w:r>
    </w:p>
    <w:p>
      <w:pPr>
        <w:spacing w:after="0" w:line="130" w:lineRule="exact"/>
        <w:rPr>
          <w:sz w:val="20"/>
          <w:szCs w:val="20"/>
          <w:color w:val="auto"/>
        </w:rPr>
      </w:pPr>
    </w:p>
    <w:p>
      <w:pPr>
        <w:jc w:val="both"/>
        <w:spacing w:after="0" w:line="235" w:lineRule="auto"/>
        <w:rPr>
          <w:sz w:val="20"/>
          <w:szCs w:val="20"/>
          <w:color w:val="auto"/>
        </w:rPr>
      </w:pPr>
      <w:r>
        <w:rPr>
          <w:rFonts w:ascii="Arial" w:cs="Arial" w:eastAsia="Arial" w:hAnsi="Arial"/>
          <w:sz w:val="14"/>
          <w:szCs w:val="14"/>
          <w:color w:val="auto"/>
        </w:rPr>
        <w:t>Many forward-looking statements can be identified by words such as: “anticipate”, “intend”, “plan”, “goal”, “seek”, “believe”, “project”, “estimate”, “expect”, “strategy”, “future”, “likely”, “would”, “may”, “should”, “will”, “see” and similar references to future periods. Examples of forward-looking statements include, among others, statements or estimates we make regarding guidance relating to losses in our credit portfolio, efficiency ratio, provisions and non-performing loans, current or future market risk and future market conditions, expected macroeconomic events and conditions, our belief that we have sufficient capital and liquidity to fund our business operations, expectations of the effect on our financial condition of claims, legal actions, environmental costs, contingent liabilities and governmental and regulatory investigations and proceedings, strategy for customer retention, growth, governmental programs and regulatory initiatives, credit administration, product development, market position, financial results and reserves and strategy for risk management.</w:t>
      </w:r>
    </w:p>
    <w:p>
      <w:pPr>
        <w:spacing w:after="0" w:line="131"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We caution readers that forward-looking statements involve known and unknown risks and uncertainties that could cause actual results, performance, or events to differ materially from those that we expect or that are expressed or implied in the forward-looking statements, depending on the outcome of certain factors, including, without limitation, adverse changes in:</w:t>
      </w:r>
    </w:p>
    <w:p>
      <w:pPr>
        <w:spacing w:after="0" w:line="126" w:lineRule="exact"/>
        <w:rPr>
          <w:sz w:val="20"/>
          <w:szCs w:val="20"/>
          <w:color w:val="auto"/>
        </w:rPr>
      </w:pPr>
    </w:p>
    <w:p>
      <w:pPr>
        <w:ind w:left="100" w:hanging="91"/>
        <w:spacing w:after="0"/>
        <w:tabs>
          <w:tab w:leader="none" w:pos="1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occurrence of natural disasters or political or social instability in Peru;</w:t>
      </w:r>
    </w:p>
    <w:p>
      <w:pPr>
        <w:spacing w:after="0" w:line="5" w:lineRule="exact"/>
        <w:rPr>
          <w:rFonts w:ascii="Arial" w:cs="Arial" w:eastAsia="Arial" w:hAnsi="Arial"/>
          <w:sz w:val="14"/>
          <w:szCs w:val="14"/>
          <w:color w:val="auto"/>
        </w:rPr>
      </w:pPr>
    </w:p>
    <w:p>
      <w:pPr>
        <w:ind w:left="100" w:hanging="91"/>
        <w:spacing w:after="0" w:line="229" w:lineRule="auto"/>
        <w:tabs>
          <w:tab w:leader="none" w:pos="1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adequacy of the dividends that our subsidiaries are able to pay to us, which may affect our ability to pay dividends to shareholders and corporate expenses;</w:t>
      </w:r>
    </w:p>
    <w:p>
      <w:pPr>
        <w:ind w:left="100" w:hanging="91"/>
        <w:spacing w:after="0" w:line="230" w:lineRule="auto"/>
        <w:tabs>
          <w:tab w:leader="none" w:pos="1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Performance of, and volatility in, financial markets, including Latin-American and other markets;</w:t>
      </w:r>
    </w:p>
    <w:p>
      <w:pPr>
        <w:ind w:left="100" w:hanging="91"/>
        <w:spacing w:after="0" w:line="230" w:lineRule="auto"/>
        <w:tabs>
          <w:tab w:leader="none" w:pos="1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frequency, severity and types of insured loss events;</w:t>
      </w:r>
    </w:p>
    <w:p>
      <w:pPr>
        <w:ind w:left="100" w:hanging="91"/>
        <w:spacing w:after="0" w:line="230" w:lineRule="auto"/>
        <w:tabs>
          <w:tab w:leader="none" w:pos="1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Fluctuations in interest rate levels;</w:t>
      </w:r>
    </w:p>
    <w:p>
      <w:pPr>
        <w:ind w:left="100" w:hanging="91"/>
        <w:spacing w:after="0" w:line="230" w:lineRule="auto"/>
        <w:tabs>
          <w:tab w:leader="none" w:pos="1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Foreign currency exchange rates, including the Sol/US Dollar exchange rate;</w:t>
      </w:r>
    </w:p>
    <w:p>
      <w:pPr>
        <w:ind w:left="100" w:hanging="91"/>
        <w:spacing w:after="0" w:line="230" w:lineRule="auto"/>
        <w:tabs>
          <w:tab w:leader="none" w:pos="1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Deterioration in the quality of our loan portfolio;</w:t>
      </w:r>
    </w:p>
    <w:p>
      <w:pPr>
        <w:ind w:left="100" w:hanging="91"/>
        <w:spacing w:after="0" w:line="230" w:lineRule="auto"/>
        <w:tabs>
          <w:tab w:leader="none" w:pos="1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Increasing levels of competition in Peru and other markets in which we operate;</w:t>
      </w:r>
    </w:p>
    <w:p>
      <w:pPr>
        <w:ind w:left="100" w:hanging="91"/>
        <w:spacing w:after="0" w:line="229" w:lineRule="auto"/>
        <w:tabs>
          <w:tab w:leader="none" w:pos="1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Developments and changes in laws and regulations affecting the financial sector and adoption of new international guidelines;</w:t>
      </w:r>
    </w:p>
    <w:p>
      <w:pPr>
        <w:ind w:left="100" w:hanging="91"/>
        <w:spacing w:after="0" w:line="230" w:lineRule="auto"/>
        <w:tabs>
          <w:tab w:leader="none" w:pos="1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Changes in the policies of central banks and/or foreign governments;</w:t>
      </w:r>
    </w:p>
    <w:p>
      <w:pPr>
        <w:ind w:left="100" w:hanging="91"/>
        <w:spacing w:after="0" w:line="230" w:lineRule="auto"/>
        <w:tabs>
          <w:tab w:leader="none" w:pos="1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Effectiveness of our risk management policies and of our operational and security systems;</w:t>
      </w:r>
    </w:p>
    <w:p>
      <w:pPr>
        <w:ind w:left="100" w:hanging="91"/>
        <w:spacing w:after="0" w:line="230" w:lineRule="auto"/>
        <w:tabs>
          <w:tab w:leader="none" w:pos="1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Losses associated with counterparty exposures;</w:t>
      </w:r>
    </w:p>
    <w:p>
      <w:pPr>
        <w:ind w:right="600" w:firstLine="9"/>
        <w:spacing w:after="0" w:line="230" w:lineRule="auto"/>
        <w:tabs>
          <w:tab w:leader="none" w:pos="84"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scope of the coronavirus (“COVID-19”) outbreak, actions taken to contain the COVID-19 and related economic effects from such actions and our ability to maintain adequate staffing; and</w:t>
      </w:r>
    </w:p>
    <w:p>
      <w:pPr>
        <w:ind w:left="100" w:hanging="91"/>
        <w:spacing w:after="0"/>
        <w:tabs>
          <w:tab w:leader="none" w:pos="1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Changes in Bermuda laws and regulations applicable to so-called non-resident entities.</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See “Item 3. Key Information—3. D Risk Factors” and “Item 5. Operating and Financial Review and Prospects” in our most recent Annual Report on Form 20-F filed with the U.S. Securities and Exchange Commission for additional information and other such factors. You are cautioned not to place undue reliance on these forward-looking statements, which speak only as of the date hereof and are based only on information currently available to us. Therefore, you should not rely on any of these forward-looking statements.</w:t>
      </w:r>
    </w:p>
    <w:p>
      <w:pPr>
        <w:jc w:val="both"/>
        <w:spacing w:after="0"/>
        <w:rPr>
          <w:sz w:val="20"/>
          <w:szCs w:val="20"/>
          <w:color w:val="auto"/>
        </w:rPr>
      </w:pPr>
      <w:r>
        <w:rPr>
          <w:rFonts w:ascii="Arial" w:cs="Arial" w:eastAsia="Arial" w:hAnsi="Arial"/>
          <w:sz w:val="14"/>
          <w:szCs w:val="14"/>
          <w:color w:val="auto"/>
        </w:rPr>
        <w:t>We undertake no obligation to publicly update or revise these or any other forward-looking statements that may be made to reflect events or circumstances after the date hereof, whether as a result of changes in our business strategy or new information, to reflect the occurrence of unanticipated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625475</wp:posOffset>
            </wp:positionV>
            <wp:extent cx="7164705" cy="133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96520</wp:posOffset>
            </wp:positionV>
            <wp:extent cx="1502410" cy="4438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227330</wp:posOffset>
            </wp:positionV>
            <wp:extent cx="1737360" cy="3136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737360" cy="313690"/>
                    </a:xfrm>
                    <a:prstGeom prst="rect">
                      <a:avLst/>
                    </a:prstGeom>
                    <a:noFill/>
                  </pic:spPr>
                </pic:pic>
              </a:graphicData>
            </a:graphic>
          </wp:anchor>
        </w:drawing>
      </w:r>
    </w:p>
    <w:p>
      <w:pPr>
        <w:sectPr>
          <w:pgSz w:w="11900" w:h="16838" w:orient="portrait"/>
          <w:cols w:equalWidth="0" w:num="1">
            <w:col w:w="10800"/>
          </w:cols>
          <w:pgMar w:left="540" w:top="300" w:right="5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379"/>
        </w:trPr>
        <w:tc>
          <w:tcPr>
            <w:tcW w:w="700" w:type="dxa"/>
            <w:vAlign w:val="bottom"/>
            <w:shd w:val="clear" w:color="auto" w:fill="000000"/>
          </w:tcPr>
          <w:p>
            <w:pPr>
              <w:spacing w:after="0"/>
              <w:rPr>
                <w:sz w:val="24"/>
                <w:szCs w:val="24"/>
                <w:color w:val="auto"/>
              </w:rPr>
            </w:pPr>
          </w:p>
        </w:tc>
        <w:tc>
          <w:tcPr>
            <w:tcW w:w="5620" w:type="dxa"/>
            <w:vAlign w:val="bottom"/>
            <w:shd w:val="clear" w:color="auto" w:fill="000000"/>
          </w:tcPr>
          <w:p>
            <w:pPr>
              <w:ind w:left="2020"/>
              <w:spacing w:after="0"/>
              <w:rPr>
                <w:sz w:val="20"/>
                <w:szCs w:val="20"/>
                <w:color w:val="auto"/>
              </w:rPr>
            </w:pPr>
            <w:r>
              <w:rPr>
                <w:rFonts w:ascii="Arial" w:cs="Arial" w:eastAsia="Arial" w:hAnsi="Arial"/>
                <w:sz w:val="14"/>
                <w:szCs w:val="14"/>
                <w:color w:val="A6A6A6"/>
              </w:rPr>
              <w:t xml:space="preserve">|   </w:t>
            </w:r>
            <w:r>
              <w:rPr>
                <w:rFonts w:ascii="Arial" w:cs="Arial" w:eastAsia="Arial" w:hAnsi="Arial"/>
                <w:sz w:val="14"/>
                <w:szCs w:val="14"/>
                <w:b w:val="1"/>
                <w:bCs w:val="1"/>
                <w:color w:val="A6A6A6"/>
              </w:rPr>
              <w:t>Earnings Release 2Q / 2024</w:t>
            </w:r>
          </w:p>
        </w:tc>
        <w:tc>
          <w:tcPr>
            <w:tcW w:w="4960" w:type="dxa"/>
            <w:vAlign w:val="bottom"/>
            <w:shd w:val="clear" w:color="auto" w:fill="000000"/>
          </w:tcPr>
          <w:p>
            <w:pPr>
              <w:jc w:val="right"/>
              <w:ind w:right="731"/>
              <w:spacing w:after="0"/>
              <w:rPr>
                <w:sz w:val="20"/>
                <w:szCs w:val="20"/>
                <w:color w:val="auto"/>
              </w:rPr>
            </w:pPr>
            <w:r>
              <w:rPr>
                <w:rFonts w:ascii="Arial" w:cs="Arial" w:eastAsia="Arial" w:hAnsi="Arial"/>
                <w:sz w:val="14"/>
                <w:szCs w:val="14"/>
                <w:b w:val="1"/>
                <w:bCs w:val="1"/>
                <w:color w:val="E93BAC"/>
              </w:rPr>
              <w:t>Analysis of 2Q24 Consolidated Results</w:t>
            </w:r>
          </w:p>
        </w:tc>
      </w:tr>
      <w:tr>
        <w:trPr>
          <w:trHeight w:val="197"/>
        </w:trPr>
        <w:tc>
          <w:tcPr>
            <w:tcW w:w="6320" w:type="dxa"/>
            <w:vAlign w:val="bottom"/>
            <w:gridSpan w:val="2"/>
            <w:shd w:val="clear" w:color="auto" w:fill="000000"/>
          </w:tcPr>
          <w:p>
            <w:pPr>
              <w:spacing w:after="0"/>
              <w:rPr>
                <w:sz w:val="17"/>
                <w:szCs w:val="17"/>
                <w:color w:val="auto"/>
              </w:rPr>
            </w:pPr>
          </w:p>
        </w:tc>
        <w:tc>
          <w:tcPr>
            <w:tcW w:w="4960" w:type="dxa"/>
            <w:vAlign w:val="bottom"/>
            <w:shd w:val="clear" w:color="auto" w:fill="000000"/>
          </w:tcPr>
          <w:p>
            <w:pPr>
              <w:spacing w:after="0"/>
              <w:rPr>
                <w:sz w:val="17"/>
                <w:szCs w:val="17"/>
                <w:color w:val="auto"/>
              </w:rPr>
            </w:pPr>
          </w:p>
        </w:tc>
      </w:tr>
      <w:tr>
        <w:trPr>
          <w:trHeight w:val="662"/>
        </w:trPr>
        <w:tc>
          <w:tcPr>
            <w:tcW w:w="6320" w:type="dxa"/>
            <w:vAlign w:val="bottom"/>
            <w:gridSpan w:val="2"/>
          </w:tcPr>
          <w:p>
            <w:pPr>
              <w:ind w:left="240"/>
              <w:spacing w:after="0"/>
              <w:rPr>
                <w:sz w:val="20"/>
                <w:szCs w:val="20"/>
                <w:color w:val="auto"/>
              </w:rPr>
            </w:pPr>
            <w:r>
              <w:rPr>
                <w:rFonts w:ascii="Arial" w:cs="Arial" w:eastAsia="Arial" w:hAnsi="Arial"/>
                <w:sz w:val="40"/>
                <w:szCs w:val="40"/>
                <w:b w:val="1"/>
                <w:bCs w:val="1"/>
                <w:color w:val="E93BAB"/>
              </w:rPr>
              <w:t xml:space="preserve">12 </w:t>
            </w:r>
            <w:r>
              <w:rPr>
                <w:rFonts w:ascii="Arial" w:cs="Arial" w:eastAsia="Arial" w:hAnsi="Arial"/>
                <w:sz w:val="24"/>
                <w:szCs w:val="24"/>
                <w:color w:val="E93BAB"/>
              </w:rPr>
              <w:t>Appendix</w:t>
            </w:r>
          </w:p>
        </w:tc>
        <w:tc>
          <w:tcPr>
            <w:tcW w:w="4960" w:type="dxa"/>
            <w:vAlign w:val="bottom"/>
          </w:tcPr>
          <w:p>
            <w:pPr>
              <w:spacing w:after="0"/>
              <w:rPr>
                <w:sz w:val="24"/>
                <w:szCs w:val="24"/>
                <w:color w:val="auto"/>
              </w:rPr>
            </w:pPr>
          </w:p>
        </w:tc>
      </w:tr>
      <w:tr>
        <w:trPr>
          <w:trHeight w:val="272"/>
        </w:trPr>
        <w:tc>
          <w:tcPr>
            <w:tcW w:w="700" w:type="dxa"/>
            <w:vAlign w:val="bottom"/>
          </w:tcPr>
          <w:p>
            <w:pPr>
              <w:ind w:left="380"/>
              <w:spacing w:after="0"/>
              <w:rPr>
                <w:sz w:val="20"/>
                <w:szCs w:val="20"/>
                <w:color w:val="auto"/>
              </w:rPr>
            </w:pPr>
            <w:r>
              <w:rPr>
                <w:rFonts w:ascii="Arial" w:cs="Arial" w:eastAsia="Arial" w:hAnsi="Arial"/>
                <w:sz w:val="14"/>
                <w:szCs w:val="14"/>
                <w:b w:val="1"/>
                <w:bCs w:val="1"/>
                <w:color w:val="auto"/>
                <w:w w:val="96"/>
              </w:rPr>
              <w:t>12.1.</w:t>
            </w:r>
          </w:p>
        </w:tc>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Physical Point of Contact</w:t>
            </w:r>
          </w:p>
        </w:tc>
        <w:tc>
          <w:tcPr>
            <w:tcW w:w="4960" w:type="dxa"/>
            <w:vAlign w:val="bottom"/>
          </w:tcPr>
          <w:p>
            <w:pPr>
              <w:jc w:val="right"/>
              <w:ind w:right="131"/>
              <w:spacing w:after="0"/>
              <w:rPr>
                <w:sz w:val="20"/>
                <w:szCs w:val="20"/>
                <w:color w:val="auto"/>
              </w:rPr>
            </w:pPr>
            <w:r>
              <w:rPr>
                <w:rFonts w:ascii="Arial" w:cs="Arial" w:eastAsia="Arial" w:hAnsi="Arial"/>
                <w:sz w:val="14"/>
                <w:szCs w:val="14"/>
                <w:color w:val="auto"/>
              </w:rPr>
              <w:t>46</w:t>
            </w:r>
          </w:p>
        </w:tc>
      </w:tr>
      <w:tr>
        <w:trPr>
          <w:trHeight w:val="309"/>
        </w:trPr>
        <w:tc>
          <w:tcPr>
            <w:tcW w:w="700" w:type="dxa"/>
            <w:vAlign w:val="bottom"/>
          </w:tcPr>
          <w:p>
            <w:pPr>
              <w:ind w:left="380"/>
              <w:spacing w:after="0"/>
              <w:rPr>
                <w:sz w:val="20"/>
                <w:szCs w:val="20"/>
                <w:color w:val="auto"/>
              </w:rPr>
            </w:pPr>
            <w:r>
              <w:rPr>
                <w:rFonts w:ascii="Arial" w:cs="Arial" w:eastAsia="Arial" w:hAnsi="Arial"/>
                <w:sz w:val="14"/>
                <w:szCs w:val="14"/>
                <w:b w:val="1"/>
                <w:bCs w:val="1"/>
                <w:color w:val="auto"/>
                <w:w w:val="96"/>
              </w:rPr>
              <w:t>12.2.</w:t>
            </w:r>
          </w:p>
        </w:tc>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Loan Portfolio Quality</w:t>
            </w:r>
          </w:p>
        </w:tc>
        <w:tc>
          <w:tcPr>
            <w:tcW w:w="4960" w:type="dxa"/>
            <w:vAlign w:val="bottom"/>
          </w:tcPr>
          <w:p>
            <w:pPr>
              <w:jc w:val="right"/>
              <w:ind w:right="131"/>
              <w:spacing w:after="0"/>
              <w:rPr>
                <w:sz w:val="20"/>
                <w:szCs w:val="20"/>
                <w:color w:val="auto"/>
              </w:rPr>
            </w:pPr>
            <w:r>
              <w:rPr>
                <w:rFonts w:ascii="Arial" w:cs="Arial" w:eastAsia="Arial" w:hAnsi="Arial"/>
                <w:sz w:val="14"/>
                <w:szCs w:val="14"/>
                <w:color w:val="auto"/>
              </w:rPr>
              <w:t>46</w:t>
            </w:r>
          </w:p>
        </w:tc>
      </w:tr>
      <w:tr>
        <w:trPr>
          <w:trHeight w:val="309"/>
        </w:trPr>
        <w:tc>
          <w:tcPr>
            <w:tcW w:w="700" w:type="dxa"/>
            <w:vAlign w:val="bottom"/>
          </w:tcPr>
          <w:p>
            <w:pPr>
              <w:ind w:left="380"/>
              <w:spacing w:after="0"/>
              <w:rPr>
                <w:sz w:val="20"/>
                <w:szCs w:val="20"/>
                <w:color w:val="auto"/>
              </w:rPr>
            </w:pPr>
            <w:r>
              <w:rPr>
                <w:rFonts w:ascii="Arial" w:cs="Arial" w:eastAsia="Arial" w:hAnsi="Arial"/>
                <w:sz w:val="14"/>
                <w:szCs w:val="14"/>
                <w:b w:val="1"/>
                <w:bCs w:val="1"/>
                <w:color w:val="auto"/>
                <w:w w:val="96"/>
              </w:rPr>
              <w:t>12.3.</w:t>
            </w:r>
          </w:p>
        </w:tc>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Net Interest Income (NII)</w:t>
            </w:r>
          </w:p>
        </w:tc>
        <w:tc>
          <w:tcPr>
            <w:tcW w:w="4960" w:type="dxa"/>
            <w:vAlign w:val="bottom"/>
          </w:tcPr>
          <w:p>
            <w:pPr>
              <w:jc w:val="right"/>
              <w:ind w:right="131"/>
              <w:spacing w:after="0"/>
              <w:rPr>
                <w:sz w:val="20"/>
                <w:szCs w:val="20"/>
                <w:color w:val="auto"/>
              </w:rPr>
            </w:pPr>
            <w:r>
              <w:rPr>
                <w:rFonts w:ascii="Arial" w:cs="Arial" w:eastAsia="Arial" w:hAnsi="Arial"/>
                <w:sz w:val="14"/>
                <w:szCs w:val="14"/>
                <w:color w:val="auto"/>
              </w:rPr>
              <w:t>50</w:t>
            </w:r>
          </w:p>
        </w:tc>
      </w:tr>
      <w:tr>
        <w:trPr>
          <w:trHeight w:val="309"/>
        </w:trPr>
        <w:tc>
          <w:tcPr>
            <w:tcW w:w="6320" w:type="dxa"/>
            <w:vAlign w:val="bottom"/>
            <w:gridSpan w:val="2"/>
          </w:tcPr>
          <w:p>
            <w:pPr>
              <w:ind w:left="380"/>
              <w:spacing w:after="0"/>
              <w:rPr>
                <w:sz w:val="20"/>
                <w:szCs w:val="20"/>
                <w:color w:val="auto"/>
              </w:rPr>
            </w:pPr>
            <w:r>
              <w:rPr>
                <w:rFonts w:ascii="Arial" w:cs="Arial" w:eastAsia="Arial" w:hAnsi="Arial"/>
                <w:sz w:val="14"/>
                <w:szCs w:val="14"/>
                <w:b w:val="1"/>
                <w:bCs w:val="1"/>
                <w:color w:val="auto"/>
              </w:rPr>
              <w:t>12.4. Net Interest Margin (NIM) and Risk Adjusted NIM</w:t>
            </w:r>
          </w:p>
        </w:tc>
        <w:tc>
          <w:tcPr>
            <w:tcW w:w="4960" w:type="dxa"/>
            <w:vAlign w:val="bottom"/>
          </w:tcPr>
          <w:p>
            <w:pPr>
              <w:jc w:val="right"/>
              <w:ind w:right="131"/>
              <w:spacing w:after="0"/>
              <w:rPr>
                <w:sz w:val="20"/>
                <w:szCs w:val="20"/>
                <w:color w:val="auto"/>
              </w:rPr>
            </w:pPr>
            <w:r>
              <w:rPr>
                <w:rFonts w:ascii="Arial" w:cs="Arial" w:eastAsia="Arial" w:hAnsi="Arial"/>
                <w:sz w:val="14"/>
                <w:szCs w:val="14"/>
                <w:color w:val="auto"/>
              </w:rPr>
              <w:t>50</w:t>
            </w:r>
          </w:p>
        </w:tc>
      </w:tr>
      <w:tr>
        <w:trPr>
          <w:trHeight w:val="309"/>
        </w:trPr>
        <w:tc>
          <w:tcPr>
            <w:tcW w:w="700" w:type="dxa"/>
            <w:vAlign w:val="bottom"/>
          </w:tcPr>
          <w:p>
            <w:pPr>
              <w:ind w:left="380"/>
              <w:spacing w:after="0"/>
              <w:rPr>
                <w:sz w:val="20"/>
                <w:szCs w:val="20"/>
                <w:color w:val="auto"/>
              </w:rPr>
            </w:pPr>
            <w:r>
              <w:rPr>
                <w:rFonts w:ascii="Arial" w:cs="Arial" w:eastAsia="Arial" w:hAnsi="Arial"/>
                <w:sz w:val="14"/>
                <w:szCs w:val="14"/>
                <w:b w:val="1"/>
                <w:bCs w:val="1"/>
                <w:color w:val="auto"/>
                <w:w w:val="96"/>
              </w:rPr>
              <w:t>12.5.</w:t>
            </w:r>
          </w:p>
        </w:tc>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Regulatory Capital</w:t>
            </w:r>
          </w:p>
        </w:tc>
        <w:tc>
          <w:tcPr>
            <w:tcW w:w="4960" w:type="dxa"/>
            <w:vAlign w:val="bottom"/>
          </w:tcPr>
          <w:p>
            <w:pPr>
              <w:jc w:val="right"/>
              <w:ind w:right="131"/>
              <w:spacing w:after="0"/>
              <w:rPr>
                <w:sz w:val="20"/>
                <w:szCs w:val="20"/>
                <w:color w:val="auto"/>
              </w:rPr>
            </w:pPr>
            <w:r>
              <w:rPr>
                <w:rFonts w:ascii="Arial" w:cs="Arial" w:eastAsia="Arial" w:hAnsi="Arial"/>
                <w:sz w:val="14"/>
                <w:szCs w:val="14"/>
                <w:color w:val="auto"/>
              </w:rPr>
              <w:t>51</w:t>
            </w:r>
          </w:p>
        </w:tc>
      </w:tr>
      <w:tr>
        <w:trPr>
          <w:trHeight w:val="309"/>
        </w:trPr>
        <w:tc>
          <w:tcPr>
            <w:tcW w:w="6320" w:type="dxa"/>
            <w:vAlign w:val="bottom"/>
            <w:gridSpan w:val="2"/>
          </w:tcPr>
          <w:p>
            <w:pPr>
              <w:ind w:left="380"/>
              <w:spacing w:after="0"/>
              <w:rPr>
                <w:sz w:val="20"/>
                <w:szCs w:val="20"/>
                <w:color w:val="auto"/>
              </w:rPr>
            </w:pPr>
            <w:r>
              <w:rPr>
                <w:rFonts w:ascii="Arial" w:cs="Arial" w:eastAsia="Arial" w:hAnsi="Arial"/>
                <w:sz w:val="14"/>
                <w:szCs w:val="14"/>
                <w:b w:val="1"/>
                <w:bCs w:val="1"/>
                <w:color w:val="auto"/>
              </w:rPr>
              <w:t>12.6. Financial Statements and Ratios by Business</w:t>
            </w:r>
          </w:p>
        </w:tc>
        <w:tc>
          <w:tcPr>
            <w:tcW w:w="4960" w:type="dxa"/>
            <w:vAlign w:val="bottom"/>
          </w:tcPr>
          <w:p>
            <w:pPr>
              <w:jc w:val="right"/>
              <w:ind w:right="131"/>
              <w:spacing w:after="0"/>
              <w:rPr>
                <w:sz w:val="20"/>
                <w:szCs w:val="20"/>
                <w:color w:val="auto"/>
              </w:rPr>
            </w:pPr>
            <w:r>
              <w:rPr>
                <w:rFonts w:ascii="Arial" w:cs="Arial" w:eastAsia="Arial" w:hAnsi="Arial"/>
                <w:sz w:val="14"/>
                <w:szCs w:val="14"/>
                <w:color w:val="auto"/>
              </w:rPr>
              <w:t>55</w:t>
            </w:r>
          </w:p>
        </w:tc>
      </w:tr>
      <w:tr>
        <w:trPr>
          <w:trHeight w:val="309"/>
        </w:trPr>
        <w:tc>
          <w:tcPr>
            <w:tcW w:w="6320" w:type="dxa"/>
            <w:vAlign w:val="bottom"/>
            <w:gridSpan w:val="2"/>
          </w:tcPr>
          <w:p>
            <w:pPr>
              <w:ind w:left="500"/>
              <w:spacing w:after="0"/>
              <w:rPr>
                <w:sz w:val="20"/>
                <w:szCs w:val="20"/>
                <w:color w:val="auto"/>
              </w:rPr>
            </w:pPr>
            <w:r>
              <w:rPr>
                <w:rFonts w:ascii="Arial" w:cs="Arial" w:eastAsia="Arial" w:hAnsi="Arial"/>
                <w:sz w:val="14"/>
                <w:szCs w:val="14"/>
                <w:b w:val="1"/>
                <w:bCs w:val="1"/>
                <w:color w:val="auto"/>
              </w:rPr>
              <w:t>12.6.1. Credicorp Consolidated</w:t>
            </w:r>
          </w:p>
        </w:tc>
        <w:tc>
          <w:tcPr>
            <w:tcW w:w="4960" w:type="dxa"/>
            <w:vAlign w:val="bottom"/>
          </w:tcPr>
          <w:p>
            <w:pPr>
              <w:jc w:val="right"/>
              <w:ind w:right="131"/>
              <w:spacing w:after="0"/>
              <w:rPr>
                <w:sz w:val="20"/>
                <w:szCs w:val="20"/>
                <w:color w:val="auto"/>
              </w:rPr>
            </w:pPr>
            <w:r>
              <w:rPr>
                <w:rFonts w:ascii="Arial" w:cs="Arial" w:eastAsia="Arial" w:hAnsi="Arial"/>
                <w:sz w:val="14"/>
                <w:szCs w:val="14"/>
                <w:color w:val="auto"/>
              </w:rPr>
              <w:t>55</w:t>
            </w:r>
          </w:p>
        </w:tc>
      </w:tr>
      <w:tr>
        <w:trPr>
          <w:trHeight w:val="309"/>
        </w:trPr>
        <w:tc>
          <w:tcPr>
            <w:tcW w:w="6320" w:type="dxa"/>
            <w:vAlign w:val="bottom"/>
            <w:gridSpan w:val="2"/>
          </w:tcPr>
          <w:p>
            <w:pPr>
              <w:ind w:left="500"/>
              <w:spacing w:after="0"/>
              <w:rPr>
                <w:sz w:val="20"/>
                <w:szCs w:val="20"/>
                <w:color w:val="auto"/>
              </w:rPr>
            </w:pPr>
            <w:r>
              <w:rPr>
                <w:rFonts w:ascii="Arial" w:cs="Arial" w:eastAsia="Arial" w:hAnsi="Arial"/>
                <w:sz w:val="14"/>
                <w:szCs w:val="14"/>
                <w:b w:val="1"/>
                <w:bCs w:val="1"/>
                <w:color w:val="auto"/>
              </w:rPr>
              <w:t>12.6.2. Credicorp Stand-alone</w:t>
            </w:r>
          </w:p>
        </w:tc>
        <w:tc>
          <w:tcPr>
            <w:tcW w:w="4960" w:type="dxa"/>
            <w:vAlign w:val="bottom"/>
          </w:tcPr>
          <w:p>
            <w:pPr>
              <w:jc w:val="right"/>
              <w:ind w:right="131"/>
              <w:spacing w:after="0"/>
              <w:rPr>
                <w:sz w:val="20"/>
                <w:szCs w:val="20"/>
                <w:color w:val="auto"/>
              </w:rPr>
            </w:pPr>
            <w:r>
              <w:rPr>
                <w:rFonts w:ascii="Arial" w:cs="Arial" w:eastAsia="Arial" w:hAnsi="Arial"/>
                <w:sz w:val="14"/>
                <w:szCs w:val="14"/>
                <w:color w:val="auto"/>
              </w:rPr>
              <w:t>57</w:t>
            </w:r>
          </w:p>
        </w:tc>
      </w:tr>
      <w:tr>
        <w:trPr>
          <w:trHeight w:val="309"/>
        </w:trPr>
        <w:tc>
          <w:tcPr>
            <w:tcW w:w="6320" w:type="dxa"/>
            <w:vAlign w:val="bottom"/>
            <w:gridSpan w:val="2"/>
          </w:tcPr>
          <w:p>
            <w:pPr>
              <w:ind w:left="500"/>
              <w:spacing w:after="0"/>
              <w:rPr>
                <w:sz w:val="20"/>
                <w:szCs w:val="20"/>
                <w:color w:val="auto"/>
              </w:rPr>
            </w:pPr>
            <w:r>
              <w:rPr>
                <w:rFonts w:ascii="Arial" w:cs="Arial" w:eastAsia="Arial" w:hAnsi="Arial"/>
                <w:sz w:val="14"/>
                <w:szCs w:val="14"/>
                <w:b w:val="1"/>
                <w:bCs w:val="1"/>
                <w:color w:val="auto"/>
              </w:rPr>
              <w:t>12.6.3. BCP Consolidated</w:t>
            </w:r>
          </w:p>
        </w:tc>
        <w:tc>
          <w:tcPr>
            <w:tcW w:w="4960" w:type="dxa"/>
            <w:vAlign w:val="bottom"/>
          </w:tcPr>
          <w:p>
            <w:pPr>
              <w:jc w:val="right"/>
              <w:ind w:right="131"/>
              <w:spacing w:after="0"/>
              <w:rPr>
                <w:sz w:val="20"/>
                <w:szCs w:val="20"/>
                <w:color w:val="auto"/>
              </w:rPr>
            </w:pPr>
            <w:r>
              <w:rPr>
                <w:rFonts w:ascii="Arial" w:cs="Arial" w:eastAsia="Arial" w:hAnsi="Arial"/>
                <w:sz w:val="14"/>
                <w:szCs w:val="14"/>
                <w:color w:val="auto"/>
              </w:rPr>
              <w:t>58</w:t>
            </w:r>
          </w:p>
        </w:tc>
      </w:tr>
      <w:tr>
        <w:trPr>
          <w:trHeight w:val="309"/>
        </w:trPr>
        <w:tc>
          <w:tcPr>
            <w:tcW w:w="6320" w:type="dxa"/>
            <w:vAlign w:val="bottom"/>
            <w:gridSpan w:val="2"/>
          </w:tcPr>
          <w:p>
            <w:pPr>
              <w:ind w:left="500"/>
              <w:spacing w:after="0"/>
              <w:rPr>
                <w:sz w:val="20"/>
                <w:szCs w:val="20"/>
                <w:color w:val="auto"/>
              </w:rPr>
            </w:pPr>
            <w:r>
              <w:rPr>
                <w:rFonts w:ascii="Arial" w:cs="Arial" w:eastAsia="Arial" w:hAnsi="Arial"/>
                <w:sz w:val="14"/>
                <w:szCs w:val="14"/>
                <w:b w:val="1"/>
                <w:bCs w:val="1"/>
                <w:color w:val="auto"/>
              </w:rPr>
              <w:t>12.6.4. BCP Stand-alone</w:t>
            </w:r>
          </w:p>
        </w:tc>
        <w:tc>
          <w:tcPr>
            <w:tcW w:w="4960" w:type="dxa"/>
            <w:vAlign w:val="bottom"/>
          </w:tcPr>
          <w:p>
            <w:pPr>
              <w:jc w:val="right"/>
              <w:ind w:right="131"/>
              <w:spacing w:after="0"/>
              <w:rPr>
                <w:sz w:val="20"/>
                <w:szCs w:val="20"/>
                <w:color w:val="auto"/>
              </w:rPr>
            </w:pPr>
            <w:r>
              <w:rPr>
                <w:rFonts w:ascii="Arial" w:cs="Arial" w:eastAsia="Arial" w:hAnsi="Arial"/>
                <w:sz w:val="14"/>
                <w:szCs w:val="14"/>
                <w:color w:val="auto"/>
              </w:rPr>
              <w:t>60</w:t>
            </w:r>
          </w:p>
        </w:tc>
      </w:tr>
      <w:tr>
        <w:trPr>
          <w:trHeight w:val="309"/>
        </w:trPr>
        <w:tc>
          <w:tcPr>
            <w:tcW w:w="6320" w:type="dxa"/>
            <w:vAlign w:val="bottom"/>
            <w:gridSpan w:val="2"/>
          </w:tcPr>
          <w:p>
            <w:pPr>
              <w:ind w:left="500"/>
              <w:spacing w:after="0"/>
              <w:rPr>
                <w:sz w:val="20"/>
                <w:szCs w:val="20"/>
                <w:color w:val="auto"/>
              </w:rPr>
            </w:pPr>
            <w:r>
              <w:rPr>
                <w:rFonts w:ascii="Arial" w:cs="Arial" w:eastAsia="Arial" w:hAnsi="Arial"/>
                <w:sz w:val="14"/>
                <w:szCs w:val="14"/>
                <w:b w:val="1"/>
                <w:bCs w:val="1"/>
                <w:color w:val="auto"/>
              </w:rPr>
              <w:t>12.6.5. BCP Bolivia</w:t>
            </w:r>
          </w:p>
        </w:tc>
        <w:tc>
          <w:tcPr>
            <w:tcW w:w="4960" w:type="dxa"/>
            <w:vAlign w:val="bottom"/>
          </w:tcPr>
          <w:p>
            <w:pPr>
              <w:jc w:val="right"/>
              <w:ind w:right="131"/>
              <w:spacing w:after="0"/>
              <w:rPr>
                <w:sz w:val="20"/>
                <w:szCs w:val="20"/>
                <w:color w:val="auto"/>
              </w:rPr>
            </w:pPr>
            <w:r>
              <w:rPr>
                <w:rFonts w:ascii="Arial" w:cs="Arial" w:eastAsia="Arial" w:hAnsi="Arial"/>
                <w:sz w:val="14"/>
                <w:szCs w:val="14"/>
                <w:color w:val="auto"/>
              </w:rPr>
              <w:t>62</w:t>
            </w:r>
          </w:p>
        </w:tc>
      </w:tr>
      <w:tr>
        <w:trPr>
          <w:trHeight w:val="309"/>
        </w:trPr>
        <w:tc>
          <w:tcPr>
            <w:tcW w:w="6320" w:type="dxa"/>
            <w:vAlign w:val="bottom"/>
            <w:gridSpan w:val="2"/>
          </w:tcPr>
          <w:p>
            <w:pPr>
              <w:ind w:left="500"/>
              <w:spacing w:after="0"/>
              <w:rPr>
                <w:sz w:val="20"/>
                <w:szCs w:val="20"/>
                <w:color w:val="auto"/>
              </w:rPr>
            </w:pPr>
            <w:r>
              <w:rPr>
                <w:rFonts w:ascii="Arial" w:cs="Arial" w:eastAsia="Arial" w:hAnsi="Arial"/>
                <w:sz w:val="14"/>
                <w:szCs w:val="14"/>
                <w:b w:val="1"/>
                <w:bCs w:val="1"/>
                <w:color w:val="auto"/>
              </w:rPr>
              <w:t>12.6.6. Mibanco</w:t>
            </w:r>
          </w:p>
        </w:tc>
        <w:tc>
          <w:tcPr>
            <w:tcW w:w="4960" w:type="dxa"/>
            <w:vAlign w:val="bottom"/>
          </w:tcPr>
          <w:p>
            <w:pPr>
              <w:jc w:val="right"/>
              <w:ind w:right="131"/>
              <w:spacing w:after="0"/>
              <w:rPr>
                <w:sz w:val="20"/>
                <w:szCs w:val="20"/>
                <w:color w:val="auto"/>
              </w:rPr>
            </w:pPr>
            <w:r>
              <w:rPr>
                <w:rFonts w:ascii="Arial" w:cs="Arial" w:eastAsia="Arial" w:hAnsi="Arial"/>
                <w:sz w:val="14"/>
                <w:szCs w:val="14"/>
                <w:color w:val="auto"/>
              </w:rPr>
              <w:t>63</w:t>
            </w:r>
          </w:p>
        </w:tc>
      </w:tr>
      <w:tr>
        <w:trPr>
          <w:trHeight w:val="309"/>
        </w:trPr>
        <w:tc>
          <w:tcPr>
            <w:tcW w:w="6320" w:type="dxa"/>
            <w:vAlign w:val="bottom"/>
            <w:gridSpan w:val="2"/>
          </w:tcPr>
          <w:p>
            <w:pPr>
              <w:ind w:left="500"/>
              <w:spacing w:after="0"/>
              <w:rPr>
                <w:sz w:val="20"/>
                <w:szCs w:val="20"/>
                <w:color w:val="auto"/>
              </w:rPr>
            </w:pPr>
            <w:r>
              <w:rPr>
                <w:rFonts w:ascii="Arial" w:cs="Arial" w:eastAsia="Arial" w:hAnsi="Arial"/>
                <w:sz w:val="14"/>
                <w:szCs w:val="14"/>
                <w:b w:val="1"/>
                <w:bCs w:val="1"/>
                <w:color w:val="auto"/>
              </w:rPr>
              <w:t>12.6.7. Prima AFP</w:t>
            </w:r>
          </w:p>
        </w:tc>
        <w:tc>
          <w:tcPr>
            <w:tcW w:w="4960" w:type="dxa"/>
            <w:vAlign w:val="bottom"/>
          </w:tcPr>
          <w:p>
            <w:pPr>
              <w:jc w:val="right"/>
              <w:ind w:right="131"/>
              <w:spacing w:after="0"/>
              <w:rPr>
                <w:sz w:val="20"/>
                <w:szCs w:val="20"/>
                <w:color w:val="auto"/>
              </w:rPr>
            </w:pPr>
            <w:r>
              <w:rPr>
                <w:rFonts w:ascii="Arial" w:cs="Arial" w:eastAsia="Arial" w:hAnsi="Arial"/>
                <w:sz w:val="14"/>
                <w:szCs w:val="14"/>
                <w:color w:val="auto"/>
              </w:rPr>
              <w:t>64</w:t>
            </w:r>
          </w:p>
        </w:tc>
      </w:tr>
      <w:tr>
        <w:trPr>
          <w:trHeight w:val="309"/>
        </w:trPr>
        <w:tc>
          <w:tcPr>
            <w:tcW w:w="6320" w:type="dxa"/>
            <w:vAlign w:val="bottom"/>
            <w:gridSpan w:val="2"/>
          </w:tcPr>
          <w:p>
            <w:pPr>
              <w:ind w:left="500"/>
              <w:spacing w:after="0"/>
              <w:rPr>
                <w:sz w:val="20"/>
                <w:szCs w:val="20"/>
                <w:color w:val="auto"/>
              </w:rPr>
            </w:pPr>
            <w:r>
              <w:rPr>
                <w:rFonts w:ascii="Arial" w:cs="Arial" w:eastAsia="Arial" w:hAnsi="Arial"/>
                <w:sz w:val="14"/>
                <w:szCs w:val="14"/>
                <w:b w:val="1"/>
                <w:bCs w:val="1"/>
                <w:color w:val="auto"/>
              </w:rPr>
              <w:t>12.6.8. Grupo Pacifico</w:t>
            </w:r>
          </w:p>
        </w:tc>
        <w:tc>
          <w:tcPr>
            <w:tcW w:w="4960" w:type="dxa"/>
            <w:vAlign w:val="bottom"/>
          </w:tcPr>
          <w:p>
            <w:pPr>
              <w:jc w:val="right"/>
              <w:ind w:right="131"/>
              <w:spacing w:after="0"/>
              <w:rPr>
                <w:sz w:val="20"/>
                <w:szCs w:val="20"/>
                <w:color w:val="auto"/>
              </w:rPr>
            </w:pPr>
            <w:r>
              <w:rPr>
                <w:rFonts w:ascii="Arial" w:cs="Arial" w:eastAsia="Arial" w:hAnsi="Arial"/>
                <w:sz w:val="14"/>
                <w:szCs w:val="14"/>
                <w:color w:val="auto"/>
              </w:rPr>
              <w:t>65</w:t>
            </w:r>
          </w:p>
        </w:tc>
      </w:tr>
      <w:tr>
        <w:trPr>
          <w:trHeight w:val="309"/>
        </w:trPr>
        <w:tc>
          <w:tcPr>
            <w:tcW w:w="6320" w:type="dxa"/>
            <w:vAlign w:val="bottom"/>
            <w:gridSpan w:val="2"/>
          </w:tcPr>
          <w:p>
            <w:pPr>
              <w:ind w:left="500"/>
              <w:spacing w:after="0"/>
              <w:rPr>
                <w:sz w:val="20"/>
                <w:szCs w:val="20"/>
                <w:color w:val="auto"/>
              </w:rPr>
            </w:pPr>
            <w:r>
              <w:rPr>
                <w:rFonts w:ascii="Arial" w:cs="Arial" w:eastAsia="Arial" w:hAnsi="Arial"/>
                <w:sz w:val="14"/>
                <w:szCs w:val="14"/>
                <w:b w:val="1"/>
                <w:bCs w:val="1"/>
                <w:color w:val="auto"/>
              </w:rPr>
              <w:t>12.6.9. Investment Management and Advisory</w:t>
            </w:r>
          </w:p>
        </w:tc>
        <w:tc>
          <w:tcPr>
            <w:tcW w:w="4960" w:type="dxa"/>
            <w:vAlign w:val="bottom"/>
          </w:tcPr>
          <w:p>
            <w:pPr>
              <w:jc w:val="right"/>
              <w:ind w:right="131"/>
              <w:spacing w:after="0"/>
              <w:rPr>
                <w:sz w:val="20"/>
                <w:szCs w:val="20"/>
                <w:color w:val="auto"/>
              </w:rPr>
            </w:pPr>
            <w:r>
              <w:rPr>
                <w:rFonts w:ascii="Arial" w:cs="Arial" w:eastAsia="Arial" w:hAnsi="Arial"/>
                <w:sz w:val="14"/>
                <w:szCs w:val="14"/>
                <w:color w:val="auto"/>
              </w:rPr>
              <w:t>67</w:t>
            </w:r>
          </w:p>
        </w:tc>
      </w:tr>
      <w:tr>
        <w:trPr>
          <w:trHeight w:val="309"/>
        </w:trPr>
        <w:tc>
          <w:tcPr>
            <w:tcW w:w="700" w:type="dxa"/>
            <w:vAlign w:val="bottom"/>
          </w:tcPr>
          <w:p>
            <w:pPr>
              <w:ind w:left="380"/>
              <w:spacing w:after="0"/>
              <w:rPr>
                <w:sz w:val="20"/>
                <w:szCs w:val="20"/>
                <w:color w:val="auto"/>
              </w:rPr>
            </w:pPr>
            <w:r>
              <w:rPr>
                <w:rFonts w:ascii="Arial" w:cs="Arial" w:eastAsia="Arial" w:hAnsi="Arial"/>
                <w:sz w:val="14"/>
                <w:szCs w:val="14"/>
                <w:b w:val="1"/>
                <w:bCs w:val="1"/>
                <w:color w:val="auto"/>
                <w:w w:val="96"/>
              </w:rPr>
              <w:t>12.7.</w:t>
            </w:r>
          </w:p>
        </w:tc>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Table of Calculations</w:t>
            </w:r>
          </w:p>
        </w:tc>
        <w:tc>
          <w:tcPr>
            <w:tcW w:w="4960" w:type="dxa"/>
            <w:vAlign w:val="bottom"/>
          </w:tcPr>
          <w:p>
            <w:pPr>
              <w:jc w:val="right"/>
              <w:ind w:right="131"/>
              <w:spacing w:after="0"/>
              <w:rPr>
                <w:sz w:val="20"/>
                <w:szCs w:val="20"/>
                <w:color w:val="auto"/>
              </w:rPr>
            </w:pPr>
            <w:r>
              <w:rPr>
                <w:rFonts w:ascii="Arial" w:cs="Arial" w:eastAsia="Arial" w:hAnsi="Arial"/>
                <w:sz w:val="14"/>
                <w:szCs w:val="14"/>
                <w:color w:val="auto"/>
              </w:rPr>
              <w:t>68</w:t>
            </w:r>
          </w:p>
        </w:tc>
      </w:tr>
      <w:tr>
        <w:trPr>
          <w:trHeight w:val="309"/>
        </w:trPr>
        <w:tc>
          <w:tcPr>
            <w:tcW w:w="6320" w:type="dxa"/>
            <w:vAlign w:val="bottom"/>
            <w:gridSpan w:val="2"/>
          </w:tcPr>
          <w:p>
            <w:pPr>
              <w:ind w:left="380"/>
              <w:spacing w:after="0"/>
              <w:rPr>
                <w:sz w:val="20"/>
                <w:szCs w:val="20"/>
                <w:color w:val="auto"/>
              </w:rPr>
            </w:pPr>
            <w:r>
              <w:rPr>
                <w:rFonts w:ascii="Arial" w:cs="Arial" w:eastAsia="Arial" w:hAnsi="Arial"/>
                <w:sz w:val="14"/>
                <w:szCs w:val="14"/>
                <w:b w:val="1"/>
                <w:bCs w:val="1"/>
                <w:color w:val="auto"/>
              </w:rPr>
              <w:t>12.8. Glossary of terms</w:t>
            </w:r>
          </w:p>
        </w:tc>
        <w:tc>
          <w:tcPr>
            <w:tcW w:w="4960" w:type="dxa"/>
            <w:vAlign w:val="bottom"/>
          </w:tcPr>
          <w:p>
            <w:pPr>
              <w:jc w:val="right"/>
              <w:ind w:right="131"/>
              <w:spacing w:after="0"/>
              <w:rPr>
                <w:sz w:val="20"/>
                <w:szCs w:val="20"/>
                <w:color w:val="auto"/>
              </w:rPr>
            </w:pPr>
            <w:r>
              <w:rPr>
                <w:rFonts w:ascii="Arial" w:cs="Arial" w:eastAsia="Arial" w:hAnsi="Arial"/>
                <w:sz w:val="14"/>
                <w:szCs w:val="14"/>
                <w:color w:val="auto"/>
              </w:rPr>
              <w:t>69</w:t>
            </w:r>
          </w:p>
        </w:tc>
      </w:tr>
      <w:tr>
        <w:trPr>
          <w:trHeight w:val="1175"/>
        </w:trPr>
        <w:tc>
          <w:tcPr>
            <w:tcW w:w="7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-4740910</wp:posOffset>
            </wp:positionV>
            <wp:extent cx="979805" cy="1174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979805" cy="1174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-671830</wp:posOffset>
            </wp:positionV>
            <wp:extent cx="1502410" cy="4438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5396230</wp:posOffset>
            </wp:positionH>
            <wp:positionV relativeFrom="paragraph">
              <wp:posOffset>-548005</wp:posOffset>
            </wp:positionV>
            <wp:extent cx="1769745" cy="3200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769745" cy="320040"/>
                    </a:xfrm>
                    <a:prstGeom prst="rect">
                      <a:avLst/>
                    </a:prstGeom>
                    <a:noFill/>
                  </pic:spPr>
                </pic:pic>
              </a:graphicData>
            </a:graphic>
          </wp:anchor>
        </w:drawing>
      </w:r>
    </w:p>
    <w:p>
      <w:pPr>
        <w:sectPr>
          <w:pgSz w:w="11900" w:h="16838" w:orient="portrait"/>
          <w:cols w:equalWidth="0" w:num="1">
            <w:col w:w="11280"/>
          </w:cols>
          <w:pgMar w:left="300" w:top="140" w:right="319" w:bottom="1440" w:gutter="0" w:footer="0" w:header="0"/>
        </w:sectPr>
      </w:pPr>
    </w:p>
    <w:bookmarkStart w:id="49" w:name="page50"/>
    <w:bookmarkEnd w:id="49"/>
    <w:p>
      <w:pPr>
        <w:jc w:val="both"/>
        <w:ind w:left="2480"/>
        <w:spacing w:after="0"/>
        <w:tabs>
          <w:tab w:leader="none" w:pos="2680" w:val="left"/>
          <w:tab w:leader="none" w:pos="7680" w:val="left"/>
        </w:tabs>
        <w:rPr>
          <w:sz w:val="20"/>
          <w:szCs w:val="20"/>
          <w:color w:val="auto"/>
        </w:rPr>
      </w:pPr>
      <w:r>
        <w:rPr>
          <w:rFonts w:ascii="Arial" w:cs="Arial" w:eastAsia="Arial" w:hAnsi="Arial"/>
          <w:sz w:val="15"/>
          <w:szCs w:val="15"/>
          <w:color w:val="A6A6A6"/>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10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4705" cy="581025"/>
                    </a:xfrm>
                    <a:prstGeom prst="rect">
                      <a:avLst/>
                    </a:prstGeom>
                    <a:noFill/>
                  </pic:spPr>
                </pic:pic>
              </a:graphicData>
            </a:graphic>
          </wp:anchor>
        </w:drawing>
        <w:t>|</w:t>
      </w:r>
      <w:r>
        <w:rPr>
          <w:sz w:val="20"/>
          <w:szCs w:val="20"/>
          <w:color w:val="auto"/>
        </w:rPr>
        <w:tab/>
      </w:r>
      <w:r>
        <w:rPr>
          <w:rFonts w:ascii="Arial" w:cs="Arial" w:eastAsia="Arial" w:hAnsi="Arial"/>
          <w:sz w:val="14"/>
          <w:szCs w:val="14"/>
          <w:b w:val="1"/>
          <w:bCs w:val="1"/>
          <w:color w:val="A6A6A6"/>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12. Appendix</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40" w:type="dxa"/>
            <w:vAlign w:val="bottom"/>
            <w:gridSpan w:val="2"/>
          </w:tcPr>
          <w:p>
            <w:pPr>
              <w:spacing w:after="0"/>
              <w:rPr>
                <w:sz w:val="20"/>
                <w:szCs w:val="20"/>
                <w:color w:val="auto"/>
              </w:rPr>
            </w:pPr>
            <w:r>
              <w:rPr>
                <w:rFonts w:ascii="Arial" w:cs="Arial" w:eastAsia="Arial" w:hAnsi="Arial"/>
                <w:sz w:val="14"/>
                <w:szCs w:val="14"/>
                <w:b w:val="1"/>
                <w:bCs w:val="1"/>
                <w:color w:val="auto"/>
              </w:rPr>
              <w:t>12.1.Physical Point of contact</w:t>
            </w:r>
          </w:p>
        </w:tc>
        <w:tc>
          <w:tcPr>
            <w:tcW w:w="1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35"/>
        </w:trPr>
        <w:tc>
          <w:tcPr>
            <w:tcW w:w="1480" w:type="dxa"/>
            <w:vAlign w:val="bottom"/>
          </w:tcPr>
          <w:p>
            <w:pPr>
              <w:spacing w:after="0"/>
              <w:rPr>
                <w:sz w:val="11"/>
                <w:szCs w:val="11"/>
                <w:color w:val="auto"/>
              </w:rPr>
            </w:pPr>
          </w:p>
        </w:tc>
        <w:tc>
          <w:tcPr>
            <w:tcW w:w="27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2"/>
          </w:tcPr>
          <w:p>
            <w:pPr>
              <w:spacing w:after="0"/>
              <w:rPr>
                <w:sz w:val="11"/>
                <w:szCs w:val="11"/>
                <w:color w:val="auto"/>
              </w:rPr>
            </w:pPr>
          </w:p>
        </w:tc>
      </w:tr>
      <w:tr>
        <w:trPr>
          <w:trHeight w:val="130"/>
        </w:trPr>
        <w:tc>
          <w:tcPr>
            <w:tcW w:w="1480" w:type="dxa"/>
            <w:vAlign w:val="bottom"/>
            <w:tcBorders>
              <w:right w:val="single" w:sz="8" w:color="auto"/>
            </w:tcBorders>
          </w:tcPr>
          <w:p>
            <w:pPr>
              <w:spacing w:after="0"/>
              <w:rPr>
                <w:sz w:val="11"/>
                <w:szCs w:val="11"/>
                <w:color w:val="auto"/>
              </w:rPr>
            </w:pPr>
          </w:p>
        </w:tc>
        <w:tc>
          <w:tcPr>
            <w:tcW w:w="2760" w:type="dxa"/>
            <w:vAlign w:val="bottom"/>
            <w:tcBorders>
              <w:right w:val="single" w:sz="8" w:color="auto"/>
            </w:tcBorders>
            <w:shd w:val="clear" w:color="auto" w:fill="2AD2C9"/>
          </w:tcPr>
          <w:p>
            <w:pPr>
              <w:ind w:left="20"/>
              <w:spacing w:after="0" w:line="130" w:lineRule="exact"/>
              <w:rPr>
                <w:sz w:val="20"/>
                <w:szCs w:val="20"/>
                <w:color w:val="auto"/>
              </w:rPr>
            </w:pPr>
            <w:r>
              <w:rPr>
                <w:rFonts w:ascii="Arial" w:cs="Arial" w:eastAsia="Arial" w:hAnsi="Arial"/>
                <w:sz w:val="10"/>
                <w:szCs w:val="10"/>
                <w:b w:val="1"/>
                <w:bCs w:val="1"/>
                <w:color w:val="FFFFFF"/>
              </w:rPr>
              <w:t xml:space="preserve">Physical Point of Contact </w:t>
            </w:r>
            <w:r>
              <w:rPr>
                <w:rFonts w:ascii="Arial" w:cs="Arial" w:eastAsia="Arial" w:hAnsi="Arial"/>
                <w:sz w:val="15"/>
                <w:szCs w:val="15"/>
                <w:b w:val="1"/>
                <w:bCs w:val="1"/>
                <w:color w:val="FFFFFF"/>
                <w:vertAlign w:val="superscript"/>
              </w:rPr>
              <w:t>(1)</w:t>
            </w:r>
          </w:p>
        </w:tc>
        <w:tc>
          <w:tcPr>
            <w:tcW w:w="1160" w:type="dxa"/>
            <w:vAlign w:val="bottom"/>
            <w:shd w:val="clear" w:color="auto" w:fill="2AD2C9"/>
          </w:tcPr>
          <w:p>
            <w:pPr>
              <w:spacing w:after="0"/>
              <w:rPr>
                <w:sz w:val="11"/>
                <w:szCs w:val="11"/>
                <w:color w:val="auto"/>
              </w:rPr>
            </w:pPr>
          </w:p>
        </w:tc>
        <w:tc>
          <w:tcPr>
            <w:tcW w:w="1020" w:type="dxa"/>
            <w:vAlign w:val="bottom"/>
            <w:shd w:val="clear" w:color="auto" w:fill="2AD2C9"/>
          </w:tcPr>
          <w:p>
            <w:pPr>
              <w:jc w:val="right"/>
              <w:ind w:right="411"/>
              <w:spacing w:after="0" w:line="130" w:lineRule="exact"/>
              <w:rPr>
                <w:sz w:val="20"/>
                <w:szCs w:val="20"/>
                <w:color w:val="auto"/>
              </w:rPr>
            </w:pPr>
            <w:r>
              <w:rPr>
                <w:rFonts w:ascii="Arial" w:cs="Arial" w:eastAsia="Arial" w:hAnsi="Arial"/>
                <w:sz w:val="14"/>
                <w:szCs w:val="14"/>
                <w:b w:val="1"/>
                <w:bCs w:val="1"/>
                <w:color w:val="FFFFFF"/>
              </w:rPr>
              <w:t>As of</w:t>
            </w:r>
          </w:p>
        </w:tc>
        <w:tc>
          <w:tcPr>
            <w:tcW w:w="900" w:type="dxa"/>
            <w:vAlign w:val="bottom"/>
            <w:tcBorders>
              <w:right w:val="single" w:sz="8" w:color="auto"/>
            </w:tcBorders>
            <w:shd w:val="clear" w:color="auto" w:fill="2AD2C9"/>
          </w:tcPr>
          <w:p>
            <w:pPr>
              <w:spacing w:after="0"/>
              <w:rPr>
                <w:sz w:val="11"/>
                <w:szCs w:val="11"/>
                <w:color w:val="auto"/>
              </w:rPr>
            </w:pPr>
          </w:p>
        </w:tc>
        <w:tc>
          <w:tcPr>
            <w:tcW w:w="2040" w:type="dxa"/>
            <w:vAlign w:val="bottom"/>
            <w:tcBorders>
              <w:right w:val="single" w:sz="8" w:color="auto"/>
            </w:tcBorders>
            <w:gridSpan w:val="2"/>
            <w:shd w:val="clear" w:color="auto" w:fill="2AD2C9"/>
          </w:tcPr>
          <w:p>
            <w:pPr>
              <w:jc w:val="right"/>
              <w:ind w:right="511"/>
              <w:spacing w:after="0" w:line="130" w:lineRule="exact"/>
              <w:rPr>
                <w:sz w:val="20"/>
                <w:szCs w:val="20"/>
                <w:color w:val="auto"/>
              </w:rPr>
            </w:pPr>
            <w:r>
              <w:rPr>
                <w:rFonts w:ascii="Arial" w:cs="Arial" w:eastAsia="Arial" w:hAnsi="Arial"/>
                <w:sz w:val="14"/>
                <w:szCs w:val="14"/>
                <w:b w:val="1"/>
                <w:bCs w:val="1"/>
                <w:color w:val="FFFFFF"/>
              </w:rPr>
              <w:t>Change (units)</w:t>
            </w:r>
          </w:p>
        </w:tc>
      </w:tr>
      <w:tr>
        <w:trPr>
          <w:trHeight w:val="169"/>
        </w:trPr>
        <w:tc>
          <w:tcPr>
            <w:tcW w:w="1480" w:type="dxa"/>
            <w:vAlign w:val="bottom"/>
            <w:tcBorders>
              <w:right w:val="single" w:sz="8" w:color="auto"/>
            </w:tcBorders>
          </w:tcPr>
          <w:p>
            <w:pPr>
              <w:spacing w:after="0"/>
              <w:rPr>
                <w:sz w:val="14"/>
                <w:szCs w:val="14"/>
                <w:color w:val="auto"/>
              </w:rPr>
            </w:pPr>
          </w:p>
        </w:tc>
        <w:tc>
          <w:tcPr>
            <w:tcW w:w="2760" w:type="dxa"/>
            <w:vAlign w:val="bottom"/>
            <w:tcBorders>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4"/>
                <w:szCs w:val="14"/>
                <w:b w:val="1"/>
                <w:bCs w:val="1"/>
                <w:color w:val="FFFFFF"/>
              </w:rPr>
              <w:t>(Units)</w:t>
            </w:r>
          </w:p>
        </w:tc>
        <w:tc>
          <w:tcPr>
            <w:tcW w:w="1160" w:type="dxa"/>
            <w:vAlign w:val="bottom"/>
            <w:tcBorders>
              <w:bottom w:val="single" w:sz="8" w:color="auto"/>
            </w:tcBorders>
            <w:shd w:val="clear" w:color="auto" w:fill="2AD2C9"/>
          </w:tcPr>
          <w:p>
            <w:pPr>
              <w:jc w:val="right"/>
              <w:ind w:right="371"/>
              <w:spacing w:after="0"/>
              <w:rPr>
                <w:sz w:val="20"/>
                <w:szCs w:val="20"/>
                <w:color w:val="auto"/>
              </w:rPr>
            </w:pPr>
            <w:r>
              <w:rPr>
                <w:rFonts w:ascii="Arial" w:cs="Arial" w:eastAsia="Arial" w:hAnsi="Arial"/>
                <w:sz w:val="14"/>
                <w:szCs w:val="14"/>
                <w:b w:val="1"/>
                <w:bCs w:val="1"/>
                <w:color w:val="FFFFFF"/>
              </w:rPr>
              <w:t>Jun 23</w:t>
            </w:r>
          </w:p>
        </w:tc>
        <w:tc>
          <w:tcPr>
            <w:tcW w:w="1020" w:type="dxa"/>
            <w:vAlign w:val="bottom"/>
            <w:tcBorders>
              <w:bottom w:val="single" w:sz="8" w:color="auto"/>
            </w:tcBorders>
            <w:shd w:val="clear" w:color="auto" w:fill="2AD2C9"/>
          </w:tcPr>
          <w:p>
            <w:pPr>
              <w:jc w:val="right"/>
              <w:ind w:right="371"/>
              <w:spacing w:after="0"/>
              <w:rPr>
                <w:sz w:val="20"/>
                <w:szCs w:val="20"/>
                <w:color w:val="auto"/>
              </w:rPr>
            </w:pPr>
            <w:r>
              <w:rPr>
                <w:rFonts w:ascii="Arial" w:cs="Arial" w:eastAsia="Arial" w:hAnsi="Arial"/>
                <w:sz w:val="14"/>
                <w:szCs w:val="14"/>
                <w:b w:val="1"/>
                <w:bCs w:val="1"/>
                <w:color w:val="FFFFFF"/>
              </w:rPr>
              <w:t>Mar 24</w:t>
            </w:r>
          </w:p>
        </w:tc>
        <w:tc>
          <w:tcPr>
            <w:tcW w:w="900" w:type="dxa"/>
            <w:vAlign w:val="bottom"/>
            <w:tcBorders>
              <w:bottom w:val="single" w:sz="8" w:color="auto"/>
              <w:right w:val="single" w:sz="8" w:color="auto"/>
            </w:tcBorders>
            <w:shd w:val="clear" w:color="auto" w:fill="2AD2C9"/>
          </w:tcPr>
          <w:p>
            <w:pPr>
              <w:jc w:val="right"/>
              <w:ind w:right="251"/>
              <w:spacing w:after="0"/>
              <w:rPr>
                <w:sz w:val="20"/>
                <w:szCs w:val="20"/>
                <w:color w:val="auto"/>
              </w:rPr>
            </w:pPr>
            <w:r>
              <w:rPr>
                <w:rFonts w:ascii="Arial" w:cs="Arial" w:eastAsia="Arial" w:hAnsi="Arial"/>
                <w:sz w:val="14"/>
                <w:szCs w:val="14"/>
                <w:b w:val="1"/>
                <w:bCs w:val="1"/>
                <w:color w:val="FFFFFF"/>
              </w:rPr>
              <w:t>Jun 24</w:t>
            </w:r>
          </w:p>
        </w:tc>
        <w:tc>
          <w:tcPr>
            <w:tcW w:w="1180" w:type="dxa"/>
            <w:vAlign w:val="bottom"/>
            <w:tcBorders>
              <w:bottom w:val="single" w:sz="8" w:color="auto"/>
            </w:tcBorders>
            <w:shd w:val="clear" w:color="auto" w:fill="2AD2C9"/>
          </w:tcPr>
          <w:p>
            <w:pPr>
              <w:jc w:val="right"/>
              <w:ind w:right="471"/>
              <w:spacing w:after="0"/>
              <w:rPr>
                <w:sz w:val="20"/>
                <w:szCs w:val="20"/>
                <w:color w:val="auto"/>
              </w:rPr>
            </w:pPr>
            <w:r>
              <w:rPr>
                <w:rFonts w:ascii="Arial" w:cs="Arial" w:eastAsia="Arial" w:hAnsi="Arial"/>
                <w:sz w:val="14"/>
                <w:szCs w:val="14"/>
                <w:b w:val="1"/>
                <w:bCs w:val="1"/>
                <w:color w:val="FFFFFF"/>
              </w:rPr>
              <w:t>QoQ</w:t>
            </w:r>
          </w:p>
        </w:tc>
        <w:tc>
          <w:tcPr>
            <w:tcW w:w="860" w:type="dxa"/>
            <w:vAlign w:val="bottom"/>
            <w:tcBorders>
              <w:bottom w:val="single" w:sz="8" w:color="auto"/>
              <w:right w:val="single" w:sz="8" w:color="auto"/>
            </w:tcBorders>
            <w:shd w:val="clear" w:color="auto" w:fill="2AD2C9"/>
          </w:tcPr>
          <w:p>
            <w:pPr>
              <w:jc w:val="right"/>
              <w:ind w:right="351"/>
              <w:spacing w:after="0"/>
              <w:rPr>
                <w:sz w:val="20"/>
                <w:szCs w:val="20"/>
                <w:color w:val="auto"/>
              </w:rPr>
            </w:pPr>
            <w:r>
              <w:rPr>
                <w:rFonts w:ascii="Arial" w:cs="Arial" w:eastAsia="Arial" w:hAnsi="Arial"/>
                <w:sz w:val="14"/>
                <w:szCs w:val="14"/>
                <w:b w:val="1"/>
                <w:bCs w:val="1"/>
                <w:color w:val="FFFFFF"/>
              </w:rPr>
              <w:t>YoY</w:t>
            </w:r>
          </w:p>
        </w:tc>
      </w:tr>
      <w:tr>
        <w:trPr>
          <w:trHeight w:val="132"/>
        </w:trPr>
        <w:tc>
          <w:tcPr>
            <w:tcW w:w="1480" w:type="dxa"/>
            <w:vAlign w:val="bottom"/>
            <w:tcBorders>
              <w:right w:val="single" w:sz="8" w:color="auto"/>
            </w:tcBorders>
          </w:tcPr>
          <w:p>
            <w:pPr>
              <w:spacing w:after="0"/>
              <w:rPr>
                <w:sz w:val="11"/>
                <w:szCs w:val="11"/>
                <w:color w:val="auto"/>
              </w:rPr>
            </w:pPr>
          </w:p>
        </w:tc>
        <w:tc>
          <w:tcPr>
            <w:tcW w:w="2760" w:type="dxa"/>
            <w:vAlign w:val="bottom"/>
            <w:tcBorders>
              <w:right w:val="single" w:sz="8" w:color="auto"/>
            </w:tcBorders>
          </w:tcPr>
          <w:p>
            <w:pPr>
              <w:ind w:left="20"/>
              <w:spacing w:after="0" w:line="132" w:lineRule="exact"/>
              <w:rPr>
                <w:sz w:val="20"/>
                <w:szCs w:val="20"/>
                <w:color w:val="auto"/>
              </w:rPr>
            </w:pPr>
            <w:r>
              <w:rPr>
                <w:rFonts w:ascii="Arial" w:cs="Arial" w:eastAsia="Arial" w:hAnsi="Arial"/>
                <w:sz w:val="14"/>
                <w:szCs w:val="14"/>
                <w:color w:val="auto"/>
              </w:rPr>
              <w:t>Branches</w:t>
            </w:r>
          </w:p>
        </w:tc>
        <w:tc>
          <w:tcPr>
            <w:tcW w:w="1160" w:type="dxa"/>
            <w:vAlign w:val="bottom"/>
          </w:tcPr>
          <w:p>
            <w:pPr>
              <w:jc w:val="right"/>
              <w:ind w:right="71"/>
              <w:spacing w:after="0" w:line="132" w:lineRule="exact"/>
              <w:rPr>
                <w:sz w:val="20"/>
                <w:szCs w:val="20"/>
                <w:color w:val="auto"/>
              </w:rPr>
            </w:pPr>
            <w:r>
              <w:rPr>
                <w:rFonts w:ascii="Arial" w:cs="Arial" w:eastAsia="Arial" w:hAnsi="Arial"/>
                <w:sz w:val="14"/>
                <w:szCs w:val="14"/>
                <w:color w:val="auto"/>
              </w:rPr>
              <w:t>665</w:t>
            </w:r>
          </w:p>
        </w:tc>
        <w:tc>
          <w:tcPr>
            <w:tcW w:w="1020" w:type="dxa"/>
            <w:vAlign w:val="bottom"/>
          </w:tcPr>
          <w:p>
            <w:pPr>
              <w:jc w:val="right"/>
              <w:ind w:right="71"/>
              <w:spacing w:after="0" w:line="132" w:lineRule="exact"/>
              <w:rPr>
                <w:sz w:val="20"/>
                <w:szCs w:val="20"/>
                <w:color w:val="auto"/>
              </w:rPr>
            </w:pPr>
            <w:r>
              <w:rPr>
                <w:rFonts w:ascii="Arial" w:cs="Arial" w:eastAsia="Arial" w:hAnsi="Arial"/>
                <w:sz w:val="14"/>
                <w:szCs w:val="14"/>
                <w:color w:val="auto"/>
              </w:rPr>
              <w:t>655</w:t>
            </w:r>
          </w:p>
        </w:tc>
        <w:tc>
          <w:tcPr>
            <w:tcW w:w="900" w:type="dxa"/>
            <w:vAlign w:val="bottom"/>
            <w:tcBorders>
              <w:right w:val="single" w:sz="8" w:color="auto"/>
            </w:tcBorders>
          </w:tcPr>
          <w:p>
            <w:pPr>
              <w:jc w:val="right"/>
              <w:spacing w:after="0" w:line="132" w:lineRule="exact"/>
              <w:rPr>
                <w:sz w:val="20"/>
                <w:szCs w:val="20"/>
                <w:color w:val="auto"/>
              </w:rPr>
            </w:pPr>
            <w:r>
              <w:rPr>
                <w:rFonts w:ascii="Arial" w:cs="Arial" w:eastAsia="Arial" w:hAnsi="Arial"/>
                <w:sz w:val="14"/>
                <w:szCs w:val="14"/>
                <w:color w:val="auto"/>
              </w:rPr>
              <w:t>650</w:t>
            </w:r>
          </w:p>
        </w:tc>
        <w:tc>
          <w:tcPr>
            <w:tcW w:w="1180" w:type="dxa"/>
            <w:vAlign w:val="bottom"/>
          </w:tcPr>
          <w:p>
            <w:pPr>
              <w:jc w:val="right"/>
              <w:ind w:right="111"/>
              <w:spacing w:after="0" w:line="132" w:lineRule="exact"/>
              <w:rPr>
                <w:sz w:val="20"/>
                <w:szCs w:val="20"/>
                <w:color w:val="auto"/>
              </w:rPr>
            </w:pPr>
            <w:r>
              <w:rPr>
                <w:rFonts w:ascii="Arial" w:cs="Arial" w:eastAsia="Arial" w:hAnsi="Arial"/>
                <w:sz w:val="14"/>
                <w:szCs w:val="14"/>
                <w:color w:val="auto"/>
              </w:rPr>
              <w:t>-5</w:t>
            </w:r>
          </w:p>
        </w:tc>
        <w:tc>
          <w:tcPr>
            <w:tcW w:w="860" w:type="dxa"/>
            <w:vAlign w:val="bottom"/>
            <w:tcBorders>
              <w:right w:val="single" w:sz="8" w:color="auto"/>
            </w:tcBorders>
          </w:tcPr>
          <w:p>
            <w:pPr>
              <w:jc w:val="right"/>
              <w:spacing w:after="0" w:line="132" w:lineRule="exact"/>
              <w:rPr>
                <w:sz w:val="20"/>
                <w:szCs w:val="20"/>
                <w:color w:val="auto"/>
              </w:rPr>
            </w:pPr>
            <w:r>
              <w:rPr>
                <w:rFonts w:ascii="Arial" w:cs="Arial" w:eastAsia="Arial" w:hAnsi="Arial"/>
                <w:sz w:val="14"/>
                <w:szCs w:val="14"/>
                <w:color w:val="auto"/>
              </w:rPr>
              <w:t>-15</w:t>
            </w:r>
          </w:p>
        </w:tc>
      </w:tr>
      <w:tr>
        <w:trPr>
          <w:trHeight w:val="154"/>
        </w:trPr>
        <w:tc>
          <w:tcPr>
            <w:tcW w:w="1480" w:type="dxa"/>
            <w:vAlign w:val="bottom"/>
            <w:tcBorders>
              <w:right w:val="single" w:sz="8" w:color="auto"/>
            </w:tcBorders>
          </w:tcPr>
          <w:p>
            <w:pPr>
              <w:spacing w:after="0"/>
              <w:rPr>
                <w:sz w:val="13"/>
                <w:szCs w:val="13"/>
                <w:color w:val="auto"/>
              </w:rPr>
            </w:pPr>
          </w:p>
        </w:tc>
        <w:tc>
          <w:tcPr>
            <w:tcW w:w="2760" w:type="dxa"/>
            <w:vAlign w:val="bottom"/>
            <w:tcBorders>
              <w:right w:val="single" w:sz="8" w:color="auto"/>
            </w:tcBorders>
          </w:tcPr>
          <w:p>
            <w:pPr>
              <w:ind w:left="20"/>
              <w:spacing w:after="0" w:line="155" w:lineRule="exact"/>
              <w:rPr>
                <w:sz w:val="20"/>
                <w:szCs w:val="20"/>
                <w:color w:val="auto"/>
              </w:rPr>
            </w:pPr>
            <w:r>
              <w:rPr>
                <w:rFonts w:ascii="Arial" w:cs="Arial" w:eastAsia="Arial" w:hAnsi="Arial"/>
                <w:sz w:val="14"/>
                <w:szCs w:val="14"/>
                <w:color w:val="auto"/>
              </w:rPr>
              <w:t>ATMs</w:t>
            </w:r>
          </w:p>
        </w:tc>
        <w:tc>
          <w:tcPr>
            <w:tcW w:w="1160" w:type="dxa"/>
            <w:vAlign w:val="bottom"/>
          </w:tcPr>
          <w:p>
            <w:pPr>
              <w:jc w:val="right"/>
              <w:ind w:right="71"/>
              <w:spacing w:after="0" w:line="155" w:lineRule="exact"/>
              <w:rPr>
                <w:sz w:val="20"/>
                <w:szCs w:val="20"/>
                <w:color w:val="auto"/>
              </w:rPr>
            </w:pPr>
            <w:r>
              <w:rPr>
                <w:rFonts w:ascii="Arial" w:cs="Arial" w:eastAsia="Arial" w:hAnsi="Arial"/>
                <w:sz w:val="14"/>
                <w:szCs w:val="14"/>
                <w:color w:val="auto"/>
              </w:rPr>
              <w:t>2,663</w:t>
            </w:r>
          </w:p>
        </w:tc>
        <w:tc>
          <w:tcPr>
            <w:tcW w:w="1020" w:type="dxa"/>
            <w:vAlign w:val="bottom"/>
          </w:tcPr>
          <w:p>
            <w:pPr>
              <w:jc w:val="right"/>
              <w:ind w:right="71"/>
              <w:spacing w:after="0" w:line="155" w:lineRule="exact"/>
              <w:rPr>
                <w:sz w:val="20"/>
                <w:szCs w:val="20"/>
                <w:color w:val="auto"/>
              </w:rPr>
            </w:pPr>
            <w:r>
              <w:rPr>
                <w:rFonts w:ascii="Arial" w:cs="Arial" w:eastAsia="Arial" w:hAnsi="Arial"/>
                <w:sz w:val="14"/>
                <w:szCs w:val="14"/>
                <w:color w:val="auto"/>
              </w:rPr>
              <w:t>2,737</w:t>
            </w:r>
          </w:p>
        </w:tc>
        <w:tc>
          <w:tcPr>
            <w:tcW w:w="90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2,745</w:t>
            </w:r>
          </w:p>
        </w:tc>
        <w:tc>
          <w:tcPr>
            <w:tcW w:w="1180" w:type="dxa"/>
            <w:vAlign w:val="bottom"/>
          </w:tcPr>
          <w:p>
            <w:pPr>
              <w:jc w:val="right"/>
              <w:ind w:right="111"/>
              <w:spacing w:after="0" w:line="155" w:lineRule="exact"/>
              <w:rPr>
                <w:sz w:val="20"/>
                <w:szCs w:val="20"/>
                <w:color w:val="auto"/>
              </w:rPr>
            </w:pPr>
            <w:r>
              <w:rPr>
                <w:rFonts w:ascii="Arial" w:cs="Arial" w:eastAsia="Arial" w:hAnsi="Arial"/>
                <w:sz w:val="14"/>
                <w:szCs w:val="14"/>
                <w:color w:val="auto"/>
              </w:rPr>
              <w:t>8</w:t>
            </w:r>
          </w:p>
        </w:tc>
        <w:tc>
          <w:tcPr>
            <w:tcW w:w="86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4"/>
                <w:szCs w:val="14"/>
                <w:color w:val="auto"/>
              </w:rPr>
              <w:t>82</w:t>
            </w:r>
          </w:p>
        </w:tc>
      </w:tr>
      <w:tr>
        <w:trPr>
          <w:trHeight w:val="167"/>
        </w:trPr>
        <w:tc>
          <w:tcPr>
            <w:tcW w:w="1480" w:type="dxa"/>
            <w:vAlign w:val="bottom"/>
            <w:tcBorders>
              <w:right w:val="single" w:sz="8" w:color="auto"/>
            </w:tcBorders>
          </w:tcPr>
          <w:p>
            <w:pPr>
              <w:spacing w:after="0"/>
              <w:rPr>
                <w:sz w:val="14"/>
                <w:szCs w:val="14"/>
                <w:color w:val="auto"/>
              </w:rPr>
            </w:pPr>
          </w:p>
        </w:tc>
        <w:tc>
          <w:tcPr>
            <w:tcW w:w="2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Agentes</w:t>
            </w:r>
          </w:p>
        </w:tc>
        <w:tc>
          <w:tcPr>
            <w:tcW w:w="11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11,944</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11,697</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11,861</w:t>
            </w:r>
          </w:p>
        </w:tc>
        <w:tc>
          <w:tcPr>
            <w:tcW w:w="11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164</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-83</w:t>
            </w:r>
          </w:p>
        </w:tc>
      </w:tr>
      <w:tr>
        <w:trPr>
          <w:trHeight w:val="145"/>
        </w:trPr>
        <w:tc>
          <w:tcPr>
            <w:tcW w:w="1480" w:type="dxa"/>
            <w:vAlign w:val="bottom"/>
            <w:tcBorders>
              <w:right w:val="single" w:sz="8" w:color="auto"/>
            </w:tcBorders>
          </w:tcPr>
          <w:p>
            <w:pPr>
              <w:spacing w:after="0"/>
              <w:rPr>
                <w:sz w:val="12"/>
                <w:szCs w:val="12"/>
                <w:color w:val="auto"/>
              </w:rPr>
            </w:pPr>
          </w:p>
        </w:tc>
        <w:tc>
          <w:tcPr>
            <w:tcW w:w="2760" w:type="dxa"/>
            <w:vAlign w:val="bottom"/>
            <w:tcBorders>
              <w:bottom w:val="single" w:sz="8" w:color="auto"/>
              <w:right w:val="single" w:sz="8" w:color="auto"/>
            </w:tcBorders>
          </w:tcPr>
          <w:p>
            <w:pPr>
              <w:ind w:left="20"/>
              <w:spacing w:after="0" w:line="145" w:lineRule="exact"/>
              <w:rPr>
                <w:sz w:val="20"/>
                <w:szCs w:val="20"/>
                <w:color w:val="auto"/>
              </w:rPr>
            </w:pPr>
            <w:r>
              <w:rPr>
                <w:rFonts w:ascii="Arial" w:cs="Arial" w:eastAsia="Arial" w:hAnsi="Arial"/>
                <w:sz w:val="14"/>
                <w:szCs w:val="14"/>
                <w:b w:val="1"/>
                <w:bCs w:val="1"/>
                <w:color w:val="auto"/>
              </w:rPr>
              <w:t>Total</w:t>
            </w:r>
          </w:p>
        </w:tc>
        <w:tc>
          <w:tcPr>
            <w:tcW w:w="1160" w:type="dxa"/>
            <w:vAlign w:val="bottom"/>
            <w:tcBorders>
              <w:bottom w:val="single" w:sz="8" w:color="auto"/>
            </w:tcBorders>
          </w:tcPr>
          <w:p>
            <w:pPr>
              <w:jc w:val="right"/>
              <w:ind w:right="71"/>
              <w:spacing w:after="0" w:line="145" w:lineRule="exact"/>
              <w:rPr>
                <w:sz w:val="20"/>
                <w:szCs w:val="20"/>
                <w:color w:val="auto"/>
              </w:rPr>
            </w:pPr>
            <w:r>
              <w:rPr>
                <w:rFonts w:ascii="Arial" w:cs="Arial" w:eastAsia="Arial" w:hAnsi="Arial"/>
                <w:sz w:val="14"/>
                <w:szCs w:val="14"/>
                <w:b w:val="1"/>
                <w:bCs w:val="1"/>
                <w:color w:val="auto"/>
              </w:rPr>
              <w:t>15,272</w:t>
            </w:r>
          </w:p>
        </w:tc>
        <w:tc>
          <w:tcPr>
            <w:tcW w:w="1020" w:type="dxa"/>
            <w:vAlign w:val="bottom"/>
            <w:tcBorders>
              <w:bottom w:val="single" w:sz="8" w:color="auto"/>
            </w:tcBorders>
          </w:tcPr>
          <w:p>
            <w:pPr>
              <w:jc w:val="right"/>
              <w:ind w:right="71"/>
              <w:spacing w:after="0" w:line="145" w:lineRule="exact"/>
              <w:rPr>
                <w:sz w:val="20"/>
                <w:szCs w:val="20"/>
                <w:color w:val="auto"/>
              </w:rPr>
            </w:pPr>
            <w:r>
              <w:rPr>
                <w:rFonts w:ascii="Arial" w:cs="Arial" w:eastAsia="Arial" w:hAnsi="Arial"/>
                <w:sz w:val="14"/>
                <w:szCs w:val="14"/>
                <w:b w:val="1"/>
                <w:bCs w:val="1"/>
                <w:color w:val="auto"/>
              </w:rPr>
              <w:t>15,089</w:t>
            </w:r>
          </w:p>
        </w:tc>
        <w:tc>
          <w:tcPr>
            <w:tcW w:w="900" w:type="dxa"/>
            <w:vAlign w:val="bottom"/>
            <w:tcBorders>
              <w:bottom w:val="single" w:sz="8" w:color="auto"/>
              <w:right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15,256</w:t>
            </w:r>
          </w:p>
        </w:tc>
        <w:tc>
          <w:tcPr>
            <w:tcW w:w="1180" w:type="dxa"/>
            <w:vAlign w:val="bottom"/>
            <w:tcBorders>
              <w:bottom w:val="single" w:sz="8" w:color="auto"/>
            </w:tcBorders>
          </w:tcPr>
          <w:p>
            <w:pPr>
              <w:jc w:val="right"/>
              <w:ind w:right="111"/>
              <w:spacing w:after="0" w:line="145" w:lineRule="exact"/>
              <w:rPr>
                <w:sz w:val="20"/>
                <w:szCs w:val="20"/>
                <w:color w:val="auto"/>
              </w:rPr>
            </w:pPr>
            <w:r>
              <w:rPr>
                <w:rFonts w:ascii="Arial" w:cs="Arial" w:eastAsia="Arial" w:hAnsi="Arial"/>
                <w:sz w:val="14"/>
                <w:szCs w:val="14"/>
                <w:b w:val="1"/>
                <w:bCs w:val="1"/>
                <w:color w:val="auto"/>
              </w:rPr>
              <w:t>167</w:t>
            </w:r>
          </w:p>
        </w:tc>
        <w:tc>
          <w:tcPr>
            <w:tcW w:w="860" w:type="dxa"/>
            <w:vAlign w:val="bottom"/>
            <w:tcBorders>
              <w:bottom w:val="single" w:sz="8" w:color="auto"/>
              <w:right w:val="single" w:sz="8" w:color="auto"/>
            </w:tcBorders>
          </w:tcPr>
          <w:p>
            <w:pPr>
              <w:jc w:val="right"/>
              <w:spacing w:after="0" w:line="145" w:lineRule="exact"/>
              <w:rPr>
                <w:sz w:val="20"/>
                <w:szCs w:val="20"/>
                <w:color w:val="auto"/>
              </w:rPr>
            </w:pPr>
            <w:r>
              <w:rPr>
                <w:rFonts w:ascii="Arial" w:cs="Arial" w:eastAsia="Arial" w:hAnsi="Arial"/>
                <w:sz w:val="14"/>
                <w:szCs w:val="14"/>
                <w:b w:val="1"/>
                <w:bCs w:val="1"/>
                <w:color w:val="auto"/>
              </w:rPr>
              <w:t>-16</w:t>
            </w:r>
          </w:p>
        </w:tc>
      </w:tr>
    </w:tbl>
    <w:p>
      <w:pPr>
        <w:spacing w:after="0" w:line="152" w:lineRule="exact"/>
        <w:rPr>
          <w:sz w:val="20"/>
          <w:szCs w:val="20"/>
          <w:color w:val="auto"/>
        </w:rPr>
      </w:pPr>
    </w:p>
    <w:p>
      <w:pPr>
        <w:ind w:left="2200" w:hanging="247"/>
        <w:spacing w:after="0"/>
        <w:tabs>
          <w:tab w:leader="none" w:pos="2200" w:val="left"/>
        </w:tabs>
        <w:numPr>
          <w:ilvl w:val="0"/>
          <w:numId w:val="49"/>
        </w:numPr>
        <w:rPr>
          <w:rFonts w:ascii="Arial" w:cs="Arial" w:eastAsia="Arial" w:hAnsi="Arial"/>
          <w:sz w:val="10"/>
          <w:szCs w:val="10"/>
          <w:color w:val="auto"/>
        </w:rPr>
      </w:pPr>
      <w:r>
        <w:rPr>
          <w:rFonts w:ascii="Arial" w:cs="Arial" w:eastAsia="Arial" w:hAnsi="Arial"/>
          <w:sz w:val="10"/>
          <w:szCs w:val="10"/>
          <w:color w:val="auto"/>
        </w:rPr>
        <w:t>Includes Banco de la Nacion branches, which in March 23 were 33, in December 23 were 36 and in March 24 were 36</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12.2.Loan Portfolio Quality</w:t>
      </w:r>
    </w:p>
    <w:p>
      <w:pPr>
        <w:spacing w:after="0" w:line="148" w:lineRule="exact"/>
        <w:rPr>
          <w:sz w:val="20"/>
          <w:szCs w:val="20"/>
          <w:color w:val="auto"/>
        </w:rPr>
      </w:pPr>
    </w:p>
    <w:p>
      <w:pPr>
        <w:jc w:val="center"/>
        <w:ind w:right="-579"/>
        <w:spacing w:after="0"/>
        <w:rPr>
          <w:sz w:val="20"/>
          <w:szCs w:val="20"/>
          <w:color w:val="auto"/>
        </w:rPr>
      </w:pPr>
      <w:r>
        <w:rPr>
          <w:rFonts w:ascii="Arial" w:cs="Arial" w:eastAsia="Arial" w:hAnsi="Arial"/>
          <w:sz w:val="14"/>
          <w:szCs w:val="14"/>
          <w:b w:val="1"/>
          <w:bCs w:val="1"/>
          <w:color w:val="auto"/>
        </w:rPr>
        <w:t>Portfolio Quality Ratios by Segment</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4"/>
          <w:szCs w:val="14"/>
          <w:b w:val="1"/>
          <w:bCs w:val="1"/>
          <w:color w:val="auto"/>
        </w:rPr>
        <w:t>Wholesale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1037590</wp:posOffset>
            </wp:positionH>
            <wp:positionV relativeFrom="paragraph">
              <wp:posOffset>93980</wp:posOffset>
            </wp:positionV>
            <wp:extent cx="4806950" cy="17176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806950" cy="1717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SME-Business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2689225</wp:posOffset>
            </wp:positionV>
            <wp:extent cx="7164705" cy="133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102870</wp:posOffset>
            </wp:positionV>
            <wp:extent cx="7164705" cy="23710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64705" cy="2371090"/>
                    </a:xfrm>
                    <a:prstGeom prst="rect">
                      <a:avLst/>
                    </a:prstGeom>
                    <a:noFill/>
                  </pic:spPr>
                </pic:pic>
              </a:graphicData>
            </a:graphic>
          </wp:anchor>
        </w:drawing>
      </w:r>
    </w:p>
    <w:p>
      <w:pPr>
        <w:sectPr>
          <w:pgSz w:w="11900" w:h="16838" w:orient="portrait"/>
          <w:cols w:equalWidth="0" w:num="1">
            <w:col w:w="10240"/>
          </w:cols>
          <w:pgMar w:left="540" w:top="298" w:right="1119" w:bottom="1440" w:gutter="0" w:footer="0" w:header="0"/>
        </w:sectPr>
      </w:pPr>
    </w:p>
    <w:bookmarkStart w:id="50" w:name="page51"/>
    <w:bookmarkEnd w:id="50"/>
    <w:p>
      <w:pPr>
        <w:jc w:val="both"/>
        <w:ind w:left="2480"/>
        <w:spacing w:after="0"/>
        <w:tabs>
          <w:tab w:leader="none" w:pos="2680" w:val="left"/>
          <w:tab w:leader="none" w:pos="7680"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10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64705" cy="581025"/>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12. Appendix</w:t>
      </w:r>
    </w:p>
    <w:p>
      <w:pPr>
        <w:spacing w:after="0" w:line="244"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SME-Pyme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102870</wp:posOffset>
            </wp:positionV>
            <wp:extent cx="5355590" cy="15544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355590" cy="1554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100"/>
        <w:spacing w:after="0"/>
        <w:rPr>
          <w:sz w:val="20"/>
          <w:szCs w:val="20"/>
          <w:color w:val="auto"/>
        </w:rPr>
      </w:pPr>
      <w:r>
        <w:rPr>
          <w:rFonts w:ascii="Arial" w:cs="Arial" w:eastAsia="Arial" w:hAnsi="Arial"/>
          <w:sz w:val="14"/>
          <w:szCs w:val="14"/>
          <w:b w:val="1"/>
          <w:bCs w:val="1"/>
          <w:color w:val="auto"/>
        </w:rPr>
        <w:t>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2376170</wp:posOffset>
            </wp:positionV>
            <wp:extent cx="7164705" cy="133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102870</wp:posOffset>
            </wp:positionV>
            <wp:extent cx="7164705" cy="2057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64705" cy="2057400"/>
                    </a:xfrm>
                    <a:prstGeom prst="rect">
                      <a:avLst/>
                    </a:prstGeom>
                    <a:noFill/>
                  </pic:spPr>
                </pic:pic>
              </a:graphicData>
            </a:graphic>
          </wp:anchor>
        </w:drawing>
      </w:r>
    </w:p>
    <w:p>
      <w:pPr>
        <w:sectPr>
          <w:pgSz w:w="11900" w:h="16838" w:orient="portrait"/>
          <w:cols w:equalWidth="0" w:num="1">
            <w:col w:w="10240"/>
          </w:cols>
          <w:pgMar w:left="540" w:top="300" w:right="1119" w:bottom="1440" w:gutter="0" w:footer="0" w:header="0"/>
        </w:sectPr>
      </w:pPr>
    </w:p>
    <w:bookmarkStart w:id="51" w:name="page52"/>
    <w:bookmarkEnd w:id="51"/>
    <w:p>
      <w:pPr>
        <w:jc w:val="both"/>
        <w:ind w:left="2480"/>
        <w:spacing w:after="0"/>
        <w:tabs>
          <w:tab w:leader="none" w:pos="2680" w:val="left"/>
          <w:tab w:leader="none" w:pos="7680"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10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64705" cy="581025"/>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12. Appendix</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874395</wp:posOffset>
            </wp:positionH>
            <wp:positionV relativeFrom="paragraph">
              <wp:posOffset>102870</wp:posOffset>
            </wp:positionV>
            <wp:extent cx="5120640" cy="15087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2064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Credit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2853055</wp:posOffset>
            </wp:positionV>
            <wp:extent cx="7164705" cy="133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102870</wp:posOffset>
            </wp:positionV>
            <wp:extent cx="7164705" cy="25342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64705" cy="2534285"/>
                    </a:xfrm>
                    <a:prstGeom prst="rect">
                      <a:avLst/>
                    </a:prstGeom>
                    <a:noFill/>
                  </pic:spPr>
                </pic:pic>
              </a:graphicData>
            </a:graphic>
          </wp:anchor>
        </w:drawing>
      </w:r>
    </w:p>
    <w:p>
      <w:pPr>
        <w:sectPr>
          <w:pgSz w:w="11900" w:h="16838" w:orient="portrait"/>
          <w:cols w:equalWidth="0" w:num="1">
            <w:col w:w="10240"/>
          </w:cols>
          <w:pgMar w:left="540" w:top="300" w:right="1119" w:bottom="1440" w:gutter="0" w:footer="0" w:header="0"/>
        </w:sectPr>
      </w:pPr>
    </w:p>
    <w:bookmarkStart w:id="52" w:name="page53"/>
    <w:bookmarkEnd w:id="52"/>
    <w:p>
      <w:pPr>
        <w:jc w:val="both"/>
        <w:ind w:left="2480"/>
        <w:spacing w:after="0"/>
        <w:tabs>
          <w:tab w:leader="none" w:pos="2680" w:val="left"/>
          <w:tab w:leader="none" w:pos="7680"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10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64705" cy="581025"/>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12. Appendix</w:t>
      </w:r>
    </w:p>
    <w:p>
      <w:pPr>
        <w:spacing w:after="0" w:line="244"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835025</wp:posOffset>
            </wp:positionH>
            <wp:positionV relativeFrom="paragraph">
              <wp:posOffset>102870</wp:posOffset>
            </wp:positionV>
            <wp:extent cx="5192395" cy="19202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9239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020"/>
        <w:spacing w:after="0"/>
        <w:rPr>
          <w:sz w:val="20"/>
          <w:szCs w:val="20"/>
          <w:color w:val="auto"/>
        </w:rPr>
      </w:pPr>
      <w:r>
        <w:rPr>
          <w:rFonts w:ascii="Arial" w:cs="Arial" w:eastAsia="Arial" w:hAnsi="Arial"/>
          <w:sz w:val="14"/>
          <w:szCs w:val="14"/>
          <w:b w:val="1"/>
          <w:bCs w:val="1"/>
          <w:color w:val="auto"/>
        </w:rPr>
        <w:t>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3146425</wp:posOffset>
            </wp:positionV>
            <wp:extent cx="7164705" cy="133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102870</wp:posOffset>
            </wp:positionV>
            <wp:extent cx="7164705" cy="28282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64705" cy="2828290"/>
                    </a:xfrm>
                    <a:prstGeom prst="rect">
                      <a:avLst/>
                    </a:prstGeom>
                    <a:noFill/>
                  </pic:spPr>
                </pic:pic>
              </a:graphicData>
            </a:graphic>
          </wp:anchor>
        </w:drawing>
      </w:r>
    </w:p>
    <w:p>
      <w:pPr>
        <w:sectPr>
          <w:pgSz w:w="11900" w:h="16838" w:orient="portrait"/>
          <w:cols w:equalWidth="0" w:num="1">
            <w:col w:w="10240"/>
          </w:cols>
          <w:pgMar w:left="540" w:top="300" w:right="1119" w:bottom="1440" w:gutter="0" w:footer="0" w:header="0"/>
        </w:sectPr>
      </w:pPr>
    </w:p>
    <w:bookmarkStart w:id="53" w:name="page54"/>
    <w:bookmarkEnd w:id="53"/>
    <w:p>
      <w:pPr>
        <w:ind w:left="2480"/>
        <w:spacing w:after="0"/>
        <w:tabs>
          <w:tab w:leader="none" w:pos="2680" w:val="left"/>
          <w:tab w:leader="none" w:pos="7680"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10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64705" cy="581025"/>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12. Appendix</w:t>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12.3. Net Interest Income (NII)</w:t>
      </w:r>
    </w:p>
    <w:p>
      <w:pPr>
        <w:spacing w:after="0" w:line="152" w:lineRule="exact"/>
        <w:rPr>
          <w:sz w:val="20"/>
          <w:szCs w:val="20"/>
          <w:color w:val="auto"/>
        </w:rPr>
      </w:pPr>
    </w:p>
    <w:p>
      <w:pPr>
        <w:jc w:val="center"/>
        <w:ind w:right="240"/>
        <w:spacing w:after="0"/>
        <w:rPr>
          <w:sz w:val="20"/>
          <w:szCs w:val="20"/>
          <w:color w:val="auto"/>
        </w:rPr>
      </w:pPr>
      <w:r>
        <w:rPr>
          <w:rFonts w:ascii="Arial" w:cs="Arial" w:eastAsia="Arial" w:hAnsi="Arial"/>
          <w:sz w:val="12"/>
          <w:szCs w:val="12"/>
          <w:b w:val="1"/>
          <w:bCs w:val="1"/>
          <w:color w:val="auto"/>
        </w:rPr>
        <w:t>NII Summary</w:t>
      </w:r>
    </w:p>
    <w:p>
      <w:pPr>
        <w:spacing w:after="0" w:line="151" w:lineRule="exact"/>
        <w:rPr>
          <w:sz w:val="20"/>
          <w:szCs w:val="20"/>
          <w:color w:val="auto"/>
        </w:rPr>
      </w:pPr>
    </w:p>
    <w:tbl>
      <w:tblPr>
        <w:tblLayout w:type="fixed"/>
        <w:tblInd w:w="50" w:type="dxa"/>
        <w:tblCellMar>
          <w:top w:w="0" w:type="dxa"/>
          <w:left w:w="0" w:type="dxa"/>
          <w:bottom w:w="0" w:type="dxa"/>
          <w:right w:w="0" w:type="dxa"/>
        </w:tblCellMar>
      </w:tblPr>
      <w:tr>
        <w:trPr>
          <w:trHeight w:val="92"/>
        </w:trPr>
        <w:tc>
          <w:tcPr>
            <w:tcW w:w="3700" w:type="dxa"/>
            <w:vAlign w:val="bottom"/>
            <w:tcBorders>
              <w:top w:val="single" w:sz="8" w:color="auto"/>
              <w:left w:val="single" w:sz="8" w:color="auto"/>
              <w:right w:val="single" w:sz="8" w:color="auto"/>
            </w:tcBorders>
            <w:gridSpan w:val="2"/>
            <w:shd w:val="clear" w:color="auto" w:fill="2AD2C9"/>
          </w:tcPr>
          <w:p>
            <w:pPr>
              <w:ind w:left="40"/>
              <w:spacing w:after="0"/>
              <w:rPr>
                <w:sz w:val="20"/>
                <w:szCs w:val="20"/>
                <w:color w:val="auto"/>
              </w:rPr>
            </w:pPr>
            <w:r>
              <w:rPr>
                <w:rFonts w:ascii="Arial" w:cs="Arial" w:eastAsia="Arial" w:hAnsi="Arial"/>
                <w:sz w:val="8"/>
                <w:szCs w:val="8"/>
                <w:b w:val="1"/>
                <w:bCs w:val="1"/>
                <w:color w:val="FFFFFF"/>
              </w:rPr>
              <w:t>Net interest income</w:t>
            </w:r>
          </w:p>
        </w:tc>
        <w:tc>
          <w:tcPr>
            <w:tcW w:w="1120" w:type="dxa"/>
            <w:vAlign w:val="bottom"/>
            <w:tcBorders>
              <w:top w:val="single" w:sz="8" w:color="auto"/>
            </w:tcBorders>
            <w:shd w:val="clear" w:color="auto" w:fill="2AD2C9"/>
          </w:tcPr>
          <w:p>
            <w:pPr>
              <w:spacing w:after="0"/>
              <w:rPr>
                <w:sz w:val="8"/>
                <w:szCs w:val="8"/>
                <w:color w:val="auto"/>
              </w:rPr>
            </w:pPr>
          </w:p>
        </w:tc>
        <w:tc>
          <w:tcPr>
            <w:tcW w:w="1200" w:type="dxa"/>
            <w:vAlign w:val="bottom"/>
            <w:tcBorders>
              <w:top w:val="single" w:sz="8" w:color="auto"/>
            </w:tcBorders>
            <w:shd w:val="clear" w:color="auto" w:fill="2AD2C9"/>
          </w:tcPr>
          <w:p>
            <w:pPr>
              <w:jc w:val="right"/>
              <w:ind w:right="674"/>
              <w:spacing w:after="0"/>
              <w:rPr>
                <w:sz w:val="20"/>
                <w:szCs w:val="20"/>
                <w:color w:val="auto"/>
              </w:rPr>
            </w:pPr>
            <w:r>
              <w:rPr>
                <w:rFonts w:ascii="Arial" w:cs="Arial" w:eastAsia="Arial" w:hAnsi="Arial"/>
                <w:sz w:val="8"/>
                <w:szCs w:val="8"/>
                <w:b w:val="1"/>
                <w:bCs w:val="1"/>
                <w:color w:val="FFFFFF"/>
              </w:rPr>
              <w:t>Quarter</w:t>
            </w:r>
          </w:p>
        </w:tc>
        <w:tc>
          <w:tcPr>
            <w:tcW w:w="620" w:type="dxa"/>
            <w:vAlign w:val="bottom"/>
            <w:tcBorders>
              <w:top w:val="single" w:sz="8" w:color="auto"/>
              <w:right w:val="single" w:sz="8" w:color="auto"/>
            </w:tcBorders>
            <w:shd w:val="clear" w:color="auto" w:fill="2AD2C9"/>
          </w:tcPr>
          <w:p>
            <w:pPr>
              <w:spacing w:after="0"/>
              <w:rPr>
                <w:sz w:val="8"/>
                <w:szCs w:val="8"/>
                <w:color w:val="auto"/>
              </w:rPr>
            </w:pPr>
          </w:p>
        </w:tc>
        <w:tc>
          <w:tcPr>
            <w:tcW w:w="540" w:type="dxa"/>
            <w:vAlign w:val="bottom"/>
            <w:tcBorders>
              <w:top w:val="single" w:sz="8" w:color="auto"/>
            </w:tcBorders>
            <w:shd w:val="clear" w:color="auto" w:fill="2AD2C9"/>
          </w:tcPr>
          <w:p>
            <w:pPr>
              <w:spacing w:after="0"/>
              <w:rPr>
                <w:sz w:val="8"/>
                <w:szCs w:val="8"/>
                <w:color w:val="auto"/>
              </w:rPr>
            </w:pPr>
          </w:p>
        </w:tc>
        <w:tc>
          <w:tcPr>
            <w:tcW w:w="980" w:type="dxa"/>
            <w:vAlign w:val="bottom"/>
            <w:tcBorders>
              <w:top w:val="single" w:sz="8" w:color="auto"/>
              <w:right w:val="single" w:sz="8" w:color="auto"/>
            </w:tcBorders>
            <w:shd w:val="clear" w:color="auto" w:fill="2AD2C9"/>
          </w:tcPr>
          <w:p>
            <w:pPr>
              <w:spacing w:after="0"/>
              <w:rPr>
                <w:sz w:val="20"/>
                <w:szCs w:val="20"/>
                <w:color w:val="auto"/>
              </w:rPr>
            </w:pPr>
            <w:r>
              <w:rPr>
                <w:rFonts w:ascii="Arial" w:cs="Arial" w:eastAsia="Arial" w:hAnsi="Arial"/>
                <w:sz w:val="8"/>
                <w:szCs w:val="8"/>
                <w:b w:val="1"/>
                <w:bCs w:val="1"/>
                <w:color w:val="FFFFFF"/>
              </w:rPr>
              <w:t>% change</w:t>
            </w:r>
          </w:p>
        </w:tc>
        <w:tc>
          <w:tcPr>
            <w:tcW w:w="280" w:type="dxa"/>
            <w:vAlign w:val="bottom"/>
            <w:tcBorders>
              <w:top w:val="single" w:sz="8" w:color="auto"/>
            </w:tcBorders>
            <w:shd w:val="clear" w:color="auto" w:fill="2AD2C9"/>
          </w:tcPr>
          <w:p>
            <w:pPr>
              <w:spacing w:after="0"/>
              <w:rPr>
                <w:sz w:val="8"/>
                <w:szCs w:val="8"/>
                <w:color w:val="auto"/>
              </w:rPr>
            </w:pPr>
          </w:p>
        </w:tc>
        <w:tc>
          <w:tcPr>
            <w:tcW w:w="120" w:type="dxa"/>
            <w:vAlign w:val="bottom"/>
            <w:tcBorders>
              <w:top w:val="single" w:sz="8" w:color="auto"/>
            </w:tcBorders>
            <w:shd w:val="clear" w:color="auto" w:fill="2AD2C9"/>
          </w:tcPr>
          <w:p>
            <w:pPr>
              <w:spacing w:after="0"/>
              <w:rPr>
                <w:sz w:val="8"/>
                <w:szCs w:val="8"/>
                <w:color w:val="auto"/>
              </w:rPr>
            </w:pPr>
          </w:p>
        </w:tc>
        <w:tc>
          <w:tcPr>
            <w:tcW w:w="1520" w:type="dxa"/>
            <w:vAlign w:val="bottom"/>
            <w:tcBorders>
              <w:top w:val="single" w:sz="8" w:color="auto"/>
              <w:right w:val="single" w:sz="8" w:color="auto"/>
            </w:tcBorders>
            <w:gridSpan w:val="4"/>
            <w:shd w:val="clear" w:color="auto" w:fill="2AD2C9"/>
          </w:tcPr>
          <w:p>
            <w:pPr>
              <w:jc w:val="right"/>
              <w:ind w:right="880"/>
              <w:spacing w:after="0"/>
              <w:rPr>
                <w:sz w:val="20"/>
                <w:szCs w:val="20"/>
                <w:color w:val="auto"/>
              </w:rPr>
            </w:pPr>
            <w:r>
              <w:rPr>
                <w:rFonts w:ascii="Arial" w:cs="Arial" w:eastAsia="Arial" w:hAnsi="Arial"/>
                <w:sz w:val="8"/>
                <w:szCs w:val="8"/>
                <w:b w:val="1"/>
                <w:bCs w:val="1"/>
                <w:color w:val="FFFFFF"/>
              </w:rPr>
              <w:t>Up to</w:t>
            </w:r>
          </w:p>
        </w:tc>
        <w:tc>
          <w:tcPr>
            <w:tcW w:w="760" w:type="dxa"/>
            <w:vAlign w:val="bottom"/>
            <w:tcBorders>
              <w:top w:val="single" w:sz="8" w:color="auto"/>
              <w:right w:val="single" w:sz="8" w:color="auto"/>
            </w:tcBorders>
            <w:shd w:val="clear" w:color="auto" w:fill="2AD2C9"/>
          </w:tcPr>
          <w:p>
            <w:pPr>
              <w:ind w:left="180"/>
              <w:spacing w:after="0"/>
              <w:rPr>
                <w:sz w:val="20"/>
                <w:szCs w:val="20"/>
                <w:color w:val="auto"/>
              </w:rPr>
            </w:pPr>
            <w:r>
              <w:rPr>
                <w:rFonts w:ascii="Arial" w:cs="Arial" w:eastAsia="Arial" w:hAnsi="Arial"/>
                <w:sz w:val="8"/>
                <w:szCs w:val="8"/>
                <w:b w:val="1"/>
                <w:bCs w:val="1"/>
                <w:color w:val="FFFFFF"/>
              </w:rPr>
              <w:t>% change</w:t>
            </w:r>
          </w:p>
        </w:tc>
        <w:tc>
          <w:tcPr>
            <w:tcW w:w="0" w:type="dxa"/>
            <w:vAlign w:val="bottom"/>
          </w:tcPr>
          <w:p>
            <w:pPr>
              <w:spacing w:after="0"/>
              <w:rPr>
                <w:sz w:val="1"/>
                <w:szCs w:val="1"/>
                <w:color w:val="auto"/>
              </w:rPr>
            </w:pPr>
          </w:p>
        </w:tc>
      </w:tr>
      <w:tr>
        <w:trPr>
          <w:trHeight w:val="103"/>
        </w:trPr>
        <w:tc>
          <w:tcPr>
            <w:tcW w:w="3700" w:type="dxa"/>
            <w:vAlign w:val="bottom"/>
            <w:tcBorders>
              <w:left w:val="single" w:sz="8" w:color="auto"/>
              <w:bottom w:val="single" w:sz="8" w:color="auto"/>
              <w:right w:val="single" w:sz="8" w:color="auto"/>
            </w:tcBorders>
            <w:gridSpan w:val="2"/>
            <w:shd w:val="clear" w:color="auto" w:fill="2AD2C9"/>
          </w:tcPr>
          <w:p>
            <w:pPr>
              <w:ind w:left="40"/>
              <w:spacing w:after="0"/>
              <w:rPr>
                <w:sz w:val="20"/>
                <w:szCs w:val="20"/>
                <w:color w:val="auto"/>
              </w:rPr>
            </w:pPr>
            <w:r>
              <w:rPr>
                <w:rFonts w:ascii="Arial" w:cs="Arial" w:eastAsia="Arial" w:hAnsi="Arial"/>
                <w:sz w:val="8"/>
                <w:szCs w:val="8"/>
                <w:b w:val="1"/>
                <w:bCs w:val="1"/>
                <w:color w:val="FFFFFF"/>
              </w:rPr>
              <w:t>S/ 000</w:t>
            </w:r>
          </w:p>
        </w:tc>
        <w:tc>
          <w:tcPr>
            <w:tcW w:w="1120" w:type="dxa"/>
            <w:vAlign w:val="bottom"/>
            <w:tcBorders>
              <w:bottom w:val="single" w:sz="8" w:color="auto"/>
            </w:tcBorders>
            <w:shd w:val="clear" w:color="auto" w:fill="2AD2C9"/>
          </w:tcPr>
          <w:p>
            <w:pPr>
              <w:jc w:val="right"/>
              <w:ind w:right="499"/>
              <w:spacing w:after="0"/>
              <w:rPr>
                <w:sz w:val="20"/>
                <w:szCs w:val="20"/>
                <w:color w:val="auto"/>
              </w:rPr>
            </w:pPr>
            <w:r>
              <w:rPr>
                <w:rFonts w:ascii="Arial" w:cs="Arial" w:eastAsia="Arial" w:hAnsi="Arial"/>
                <w:sz w:val="8"/>
                <w:szCs w:val="8"/>
                <w:b w:val="1"/>
                <w:bCs w:val="1"/>
                <w:color w:val="FFFFFF"/>
              </w:rPr>
              <w:t>2Q23</w:t>
            </w:r>
          </w:p>
        </w:tc>
        <w:tc>
          <w:tcPr>
            <w:tcW w:w="1200" w:type="dxa"/>
            <w:vAlign w:val="bottom"/>
            <w:tcBorders>
              <w:bottom w:val="single" w:sz="8" w:color="auto"/>
            </w:tcBorders>
            <w:shd w:val="clear" w:color="auto" w:fill="2AD2C9"/>
          </w:tcPr>
          <w:p>
            <w:pPr>
              <w:jc w:val="right"/>
              <w:ind w:right="734"/>
              <w:spacing w:after="0"/>
              <w:rPr>
                <w:sz w:val="20"/>
                <w:szCs w:val="20"/>
                <w:color w:val="auto"/>
              </w:rPr>
            </w:pPr>
            <w:r>
              <w:rPr>
                <w:rFonts w:ascii="Arial" w:cs="Arial" w:eastAsia="Arial" w:hAnsi="Arial"/>
                <w:sz w:val="8"/>
                <w:szCs w:val="8"/>
                <w:b w:val="1"/>
                <w:bCs w:val="1"/>
                <w:color w:val="FFFFFF"/>
              </w:rPr>
              <w:t>1Q24</w:t>
            </w:r>
          </w:p>
        </w:tc>
        <w:tc>
          <w:tcPr>
            <w:tcW w:w="620" w:type="dxa"/>
            <w:vAlign w:val="bottom"/>
            <w:tcBorders>
              <w:bottom w:val="single" w:sz="8" w:color="auto"/>
              <w:right w:val="single" w:sz="8" w:color="auto"/>
            </w:tcBorders>
            <w:shd w:val="clear" w:color="auto" w:fill="2AD2C9"/>
          </w:tcPr>
          <w:p>
            <w:pPr>
              <w:jc w:val="right"/>
              <w:ind w:right="379"/>
              <w:spacing w:after="0"/>
              <w:rPr>
                <w:sz w:val="20"/>
                <w:szCs w:val="20"/>
                <w:color w:val="auto"/>
              </w:rPr>
            </w:pPr>
            <w:r>
              <w:rPr>
                <w:rFonts w:ascii="Arial" w:cs="Arial" w:eastAsia="Arial" w:hAnsi="Arial"/>
                <w:sz w:val="8"/>
                <w:szCs w:val="8"/>
                <w:b w:val="1"/>
                <w:bCs w:val="1"/>
                <w:color w:val="FFFFFF"/>
                <w:w w:val="91"/>
              </w:rPr>
              <w:t>2Q24</w:t>
            </w:r>
          </w:p>
        </w:tc>
        <w:tc>
          <w:tcPr>
            <w:tcW w:w="540" w:type="dxa"/>
            <w:vAlign w:val="bottom"/>
            <w:tcBorders>
              <w:bottom w:val="single" w:sz="8" w:color="auto"/>
            </w:tcBorders>
            <w:shd w:val="clear" w:color="auto" w:fill="2AD2C9"/>
          </w:tcPr>
          <w:p>
            <w:pPr>
              <w:ind w:left="260"/>
              <w:spacing w:after="0"/>
              <w:rPr>
                <w:sz w:val="20"/>
                <w:szCs w:val="20"/>
                <w:color w:val="auto"/>
              </w:rPr>
            </w:pPr>
            <w:r>
              <w:rPr>
                <w:rFonts w:ascii="Arial" w:cs="Arial" w:eastAsia="Arial" w:hAnsi="Arial"/>
                <w:sz w:val="8"/>
                <w:szCs w:val="8"/>
                <w:b w:val="1"/>
                <w:bCs w:val="1"/>
                <w:color w:val="FFFFFF"/>
              </w:rPr>
              <w:t>QoQ</w:t>
            </w:r>
          </w:p>
        </w:tc>
        <w:tc>
          <w:tcPr>
            <w:tcW w:w="980" w:type="dxa"/>
            <w:vAlign w:val="bottom"/>
            <w:tcBorders>
              <w:bottom w:val="single" w:sz="8" w:color="auto"/>
              <w:right w:val="single" w:sz="8" w:color="auto"/>
            </w:tcBorders>
            <w:shd w:val="clear" w:color="auto" w:fill="2AD2C9"/>
          </w:tcPr>
          <w:p>
            <w:pPr>
              <w:ind w:left="500"/>
              <w:spacing w:after="0"/>
              <w:rPr>
                <w:sz w:val="20"/>
                <w:szCs w:val="20"/>
                <w:color w:val="auto"/>
              </w:rPr>
            </w:pPr>
            <w:r>
              <w:rPr>
                <w:rFonts w:ascii="Arial" w:cs="Arial" w:eastAsia="Arial" w:hAnsi="Arial"/>
                <w:sz w:val="8"/>
                <w:szCs w:val="8"/>
                <w:b w:val="1"/>
                <w:bCs w:val="1"/>
                <w:color w:val="FFFFFF"/>
              </w:rPr>
              <w:t>YoY</w:t>
            </w:r>
          </w:p>
        </w:tc>
        <w:tc>
          <w:tcPr>
            <w:tcW w:w="280" w:type="dxa"/>
            <w:vAlign w:val="bottom"/>
            <w:tcBorders>
              <w:bottom w:val="single" w:sz="8" w:color="auto"/>
            </w:tcBorders>
            <w:shd w:val="clear" w:color="auto" w:fill="2AD2C9"/>
          </w:tcPr>
          <w:p>
            <w:pPr>
              <w:spacing w:after="0"/>
              <w:rPr>
                <w:sz w:val="8"/>
                <w:szCs w:val="8"/>
                <w:color w:val="auto"/>
              </w:rPr>
            </w:pPr>
          </w:p>
        </w:tc>
        <w:tc>
          <w:tcPr>
            <w:tcW w:w="660" w:type="dxa"/>
            <w:vAlign w:val="bottom"/>
            <w:tcBorders>
              <w:bottom w:val="single" w:sz="8" w:color="auto"/>
            </w:tcBorders>
            <w:gridSpan w:val="2"/>
            <w:shd w:val="clear" w:color="auto" w:fill="2AD2C9"/>
          </w:tcPr>
          <w:p>
            <w:pPr>
              <w:jc w:val="right"/>
              <w:ind w:right="338"/>
              <w:spacing w:after="0"/>
              <w:rPr>
                <w:sz w:val="20"/>
                <w:szCs w:val="20"/>
                <w:color w:val="auto"/>
              </w:rPr>
            </w:pPr>
            <w:r>
              <w:rPr>
                <w:rFonts w:ascii="Arial" w:cs="Arial" w:eastAsia="Arial" w:hAnsi="Arial"/>
                <w:sz w:val="8"/>
                <w:szCs w:val="8"/>
                <w:b w:val="1"/>
                <w:bCs w:val="1"/>
                <w:color w:val="FFFFFF"/>
              </w:rPr>
              <w:t>1H23</w:t>
            </w:r>
          </w:p>
        </w:tc>
        <w:tc>
          <w:tcPr>
            <w:tcW w:w="980" w:type="dxa"/>
            <w:vAlign w:val="bottom"/>
            <w:tcBorders>
              <w:bottom w:val="single" w:sz="8" w:color="auto"/>
              <w:right w:val="single" w:sz="8" w:color="auto"/>
            </w:tcBorders>
            <w:gridSpan w:val="3"/>
            <w:shd w:val="clear" w:color="auto" w:fill="2AD2C9"/>
          </w:tcPr>
          <w:p>
            <w:pPr>
              <w:jc w:val="right"/>
              <w:ind w:right="400"/>
              <w:spacing w:after="0"/>
              <w:rPr>
                <w:sz w:val="20"/>
                <w:szCs w:val="20"/>
                <w:color w:val="auto"/>
              </w:rPr>
            </w:pPr>
            <w:r>
              <w:rPr>
                <w:rFonts w:ascii="Arial" w:cs="Arial" w:eastAsia="Arial" w:hAnsi="Arial"/>
                <w:sz w:val="8"/>
                <w:szCs w:val="8"/>
                <w:b w:val="1"/>
                <w:bCs w:val="1"/>
                <w:color w:val="FFFFFF"/>
              </w:rPr>
              <w:t>1H24</w:t>
            </w:r>
          </w:p>
        </w:tc>
        <w:tc>
          <w:tcPr>
            <w:tcW w:w="7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rPr>
              <w:t>1H24 / 1H23</w:t>
            </w:r>
          </w:p>
        </w:tc>
        <w:tc>
          <w:tcPr>
            <w:tcW w:w="0" w:type="dxa"/>
            <w:vAlign w:val="bottom"/>
          </w:tcPr>
          <w:p>
            <w:pPr>
              <w:spacing w:after="0"/>
              <w:rPr>
                <w:sz w:val="1"/>
                <w:szCs w:val="1"/>
                <w:color w:val="auto"/>
              </w:rPr>
            </w:pPr>
          </w:p>
        </w:tc>
      </w:tr>
      <w:tr>
        <w:trPr>
          <w:trHeight w:val="72"/>
        </w:trPr>
        <w:tc>
          <w:tcPr>
            <w:tcW w:w="3700" w:type="dxa"/>
            <w:vAlign w:val="bottom"/>
            <w:tcBorders>
              <w:left w:val="single" w:sz="8" w:color="auto"/>
              <w:right w:val="single" w:sz="8" w:color="auto"/>
            </w:tcBorders>
            <w:gridSpan w:val="2"/>
          </w:tcPr>
          <w:p>
            <w:pPr>
              <w:ind w:left="40"/>
              <w:spacing w:after="0" w:line="73" w:lineRule="exact"/>
              <w:rPr>
                <w:sz w:val="20"/>
                <w:szCs w:val="20"/>
                <w:color w:val="auto"/>
              </w:rPr>
            </w:pPr>
            <w:r>
              <w:rPr>
                <w:rFonts w:ascii="Arial" w:cs="Arial" w:eastAsia="Arial" w:hAnsi="Arial"/>
                <w:sz w:val="8"/>
                <w:szCs w:val="8"/>
                <w:b w:val="1"/>
                <w:bCs w:val="1"/>
                <w:color w:val="auto"/>
              </w:rPr>
              <w:t>Interest income</w:t>
            </w:r>
          </w:p>
        </w:tc>
        <w:tc>
          <w:tcPr>
            <w:tcW w:w="1120" w:type="dxa"/>
            <w:vAlign w:val="bottom"/>
          </w:tcPr>
          <w:p>
            <w:pPr>
              <w:jc w:val="right"/>
              <w:ind w:right="179"/>
              <w:spacing w:after="0" w:line="73" w:lineRule="exact"/>
              <w:rPr>
                <w:sz w:val="20"/>
                <w:szCs w:val="20"/>
                <w:color w:val="auto"/>
              </w:rPr>
            </w:pPr>
            <w:r>
              <w:rPr>
                <w:rFonts w:ascii="Arial" w:cs="Arial" w:eastAsia="Arial" w:hAnsi="Arial"/>
                <w:sz w:val="8"/>
                <w:szCs w:val="8"/>
                <w:b w:val="1"/>
                <w:bCs w:val="1"/>
                <w:color w:val="auto"/>
              </w:rPr>
              <w:t>4,653,246</w:t>
            </w:r>
          </w:p>
        </w:tc>
        <w:tc>
          <w:tcPr>
            <w:tcW w:w="1200" w:type="dxa"/>
            <w:vAlign w:val="bottom"/>
          </w:tcPr>
          <w:p>
            <w:pPr>
              <w:jc w:val="right"/>
              <w:ind w:right="394"/>
              <w:spacing w:after="0" w:line="73" w:lineRule="exact"/>
              <w:rPr>
                <w:sz w:val="20"/>
                <w:szCs w:val="20"/>
                <w:color w:val="auto"/>
              </w:rPr>
            </w:pPr>
            <w:r>
              <w:rPr>
                <w:rFonts w:ascii="Arial" w:cs="Arial" w:eastAsia="Arial" w:hAnsi="Arial"/>
                <w:sz w:val="8"/>
                <w:szCs w:val="8"/>
                <w:b w:val="1"/>
                <w:bCs w:val="1"/>
                <w:color w:val="auto"/>
              </w:rPr>
              <w:t>4,925,926</w:t>
            </w:r>
          </w:p>
        </w:tc>
        <w:tc>
          <w:tcPr>
            <w:tcW w:w="620" w:type="dxa"/>
            <w:vAlign w:val="bottom"/>
            <w:tcBorders>
              <w:right w:val="single" w:sz="8" w:color="auto"/>
            </w:tcBorders>
          </w:tcPr>
          <w:p>
            <w:pPr>
              <w:jc w:val="right"/>
              <w:ind w:right="39"/>
              <w:spacing w:after="0" w:line="73" w:lineRule="exact"/>
              <w:rPr>
                <w:sz w:val="20"/>
                <w:szCs w:val="20"/>
                <w:color w:val="auto"/>
              </w:rPr>
            </w:pPr>
            <w:r>
              <w:rPr>
                <w:rFonts w:ascii="Arial" w:cs="Arial" w:eastAsia="Arial" w:hAnsi="Arial"/>
                <w:sz w:val="8"/>
                <w:szCs w:val="8"/>
                <w:b w:val="1"/>
                <w:bCs w:val="1"/>
                <w:color w:val="auto"/>
              </w:rPr>
              <w:t>4,935,238</w:t>
            </w:r>
          </w:p>
        </w:tc>
        <w:tc>
          <w:tcPr>
            <w:tcW w:w="540" w:type="dxa"/>
            <w:vAlign w:val="bottom"/>
          </w:tcPr>
          <w:p>
            <w:pPr>
              <w:jc w:val="center"/>
              <w:ind w:left="115"/>
              <w:spacing w:after="0" w:line="73" w:lineRule="exact"/>
              <w:rPr>
                <w:sz w:val="20"/>
                <w:szCs w:val="20"/>
                <w:color w:val="auto"/>
              </w:rPr>
            </w:pPr>
            <w:r>
              <w:rPr>
                <w:rFonts w:ascii="Arial" w:cs="Arial" w:eastAsia="Arial" w:hAnsi="Arial"/>
                <w:sz w:val="8"/>
                <w:szCs w:val="8"/>
                <w:b w:val="1"/>
                <w:bCs w:val="1"/>
                <w:color w:val="auto"/>
                <w:w w:val="98"/>
              </w:rPr>
              <w:t>0.2%</w:t>
            </w:r>
          </w:p>
        </w:tc>
        <w:tc>
          <w:tcPr>
            <w:tcW w:w="980" w:type="dxa"/>
            <w:vAlign w:val="bottom"/>
            <w:tcBorders>
              <w:right w:val="single" w:sz="8" w:color="auto"/>
            </w:tcBorders>
          </w:tcPr>
          <w:p>
            <w:pPr>
              <w:jc w:val="center"/>
              <w:ind w:left="115"/>
              <w:spacing w:after="0" w:line="73" w:lineRule="exact"/>
              <w:rPr>
                <w:sz w:val="20"/>
                <w:szCs w:val="20"/>
                <w:color w:val="auto"/>
              </w:rPr>
            </w:pPr>
            <w:r>
              <w:rPr>
                <w:rFonts w:ascii="Arial" w:cs="Arial" w:eastAsia="Arial" w:hAnsi="Arial"/>
                <w:sz w:val="8"/>
                <w:szCs w:val="8"/>
                <w:b w:val="1"/>
                <w:bCs w:val="1"/>
                <w:color w:val="auto"/>
                <w:w w:val="98"/>
              </w:rPr>
              <w:t>6.1%</w:t>
            </w: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jc w:val="right"/>
              <w:ind w:right="18"/>
              <w:spacing w:after="0" w:line="73" w:lineRule="exact"/>
              <w:rPr>
                <w:sz w:val="20"/>
                <w:szCs w:val="20"/>
                <w:color w:val="auto"/>
              </w:rPr>
            </w:pPr>
            <w:r>
              <w:rPr>
                <w:rFonts w:ascii="Arial" w:cs="Arial" w:eastAsia="Arial" w:hAnsi="Arial"/>
                <w:sz w:val="8"/>
                <w:szCs w:val="8"/>
                <w:b w:val="1"/>
                <w:bCs w:val="1"/>
                <w:color w:val="auto"/>
              </w:rPr>
              <w:t>9,109,352</w:t>
            </w:r>
          </w:p>
        </w:tc>
        <w:tc>
          <w:tcPr>
            <w:tcW w:w="980" w:type="dxa"/>
            <w:vAlign w:val="bottom"/>
            <w:tcBorders>
              <w:right w:val="single" w:sz="8" w:color="auto"/>
            </w:tcBorders>
            <w:gridSpan w:val="3"/>
          </w:tcPr>
          <w:p>
            <w:pPr>
              <w:jc w:val="right"/>
              <w:ind w:right="60"/>
              <w:spacing w:after="0" w:line="73" w:lineRule="exact"/>
              <w:rPr>
                <w:sz w:val="20"/>
                <w:szCs w:val="20"/>
                <w:color w:val="auto"/>
              </w:rPr>
            </w:pPr>
            <w:r>
              <w:rPr>
                <w:rFonts w:ascii="Arial" w:cs="Arial" w:eastAsia="Arial" w:hAnsi="Arial"/>
                <w:sz w:val="8"/>
                <w:szCs w:val="8"/>
                <w:b w:val="1"/>
                <w:bCs w:val="1"/>
                <w:color w:val="auto"/>
              </w:rPr>
              <w:t>9,861,164</w:t>
            </w:r>
          </w:p>
        </w:tc>
        <w:tc>
          <w:tcPr>
            <w:tcW w:w="760" w:type="dxa"/>
            <w:vAlign w:val="bottom"/>
            <w:tcBorders>
              <w:right w:val="single" w:sz="8" w:color="auto"/>
            </w:tcBorders>
          </w:tcPr>
          <w:p>
            <w:pPr>
              <w:jc w:val="center"/>
              <w:spacing w:after="0" w:line="73" w:lineRule="exact"/>
              <w:rPr>
                <w:sz w:val="20"/>
                <w:szCs w:val="20"/>
                <w:color w:val="auto"/>
              </w:rPr>
            </w:pPr>
            <w:r>
              <w:rPr>
                <w:rFonts w:ascii="Arial" w:cs="Arial" w:eastAsia="Arial" w:hAnsi="Arial"/>
                <w:sz w:val="8"/>
                <w:szCs w:val="8"/>
                <w:b w:val="1"/>
                <w:bCs w:val="1"/>
                <w:color w:val="auto"/>
                <w:w w:val="98"/>
              </w:rPr>
              <w:t>8.3%</w:t>
            </w:r>
          </w:p>
        </w:tc>
        <w:tc>
          <w:tcPr>
            <w:tcW w:w="0" w:type="dxa"/>
            <w:vAlign w:val="bottom"/>
          </w:tcPr>
          <w:p>
            <w:pPr>
              <w:spacing w:after="0"/>
              <w:rPr>
                <w:sz w:val="1"/>
                <w:szCs w:val="1"/>
                <w:color w:val="auto"/>
              </w:rPr>
            </w:pPr>
          </w:p>
        </w:tc>
      </w:tr>
      <w:tr>
        <w:trPr>
          <w:trHeight w:val="93"/>
        </w:trPr>
        <w:tc>
          <w:tcPr>
            <w:tcW w:w="3700" w:type="dxa"/>
            <w:vAlign w:val="bottom"/>
            <w:tcBorders>
              <w:left w:val="single" w:sz="8" w:color="auto"/>
              <w:right w:val="single" w:sz="8" w:color="auto"/>
            </w:tcBorders>
            <w:gridSpan w:val="2"/>
          </w:tcPr>
          <w:p>
            <w:pPr>
              <w:ind w:left="140"/>
              <w:spacing w:after="0"/>
              <w:rPr>
                <w:sz w:val="20"/>
                <w:szCs w:val="20"/>
                <w:color w:val="auto"/>
              </w:rPr>
            </w:pPr>
            <w:r>
              <w:rPr>
                <w:rFonts w:ascii="Arial" w:cs="Arial" w:eastAsia="Arial" w:hAnsi="Arial"/>
                <w:sz w:val="8"/>
                <w:szCs w:val="8"/>
                <w:color w:val="auto"/>
              </w:rPr>
              <w:t>Interest on loans</w:t>
            </w:r>
          </w:p>
        </w:tc>
        <w:tc>
          <w:tcPr>
            <w:tcW w:w="1120" w:type="dxa"/>
            <w:vAlign w:val="bottom"/>
          </w:tcPr>
          <w:p>
            <w:pPr>
              <w:jc w:val="right"/>
              <w:ind w:right="179"/>
              <w:spacing w:after="0"/>
              <w:rPr>
                <w:sz w:val="20"/>
                <w:szCs w:val="20"/>
                <w:color w:val="auto"/>
              </w:rPr>
            </w:pPr>
            <w:r>
              <w:rPr>
                <w:rFonts w:ascii="Arial" w:cs="Arial" w:eastAsia="Arial" w:hAnsi="Arial"/>
                <w:sz w:val="8"/>
                <w:szCs w:val="8"/>
                <w:color w:val="auto"/>
              </w:rPr>
              <w:t>3,712,845</w:t>
            </w:r>
          </w:p>
        </w:tc>
        <w:tc>
          <w:tcPr>
            <w:tcW w:w="1200" w:type="dxa"/>
            <w:vAlign w:val="bottom"/>
          </w:tcPr>
          <w:p>
            <w:pPr>
              <w:jc w:val="right"/>
              <w:ind w:right="394"/>
              <w:spacing w:after="0"/>
              <w:rPr>
                <w:sz w:val="20"/>
                <w:szCs w:val="20"/>
                <w:color w:val="auto"/>
              </w:rPr>
            </w:pPr>
            <w:r>
              <w:rPr>
                <w:rFonts w:ascii="Arial" w:cs="Arial" w:eastAsia="Arial" w:hAnsi="Arial"/>
                <w:sz w:val="8"/>
                <w:szCs w:val="8"/>
                <w:color w:val="auto"/>
              </w:rPr>
              <w:t>3,868,792</w:t>
            </w:r>
          </w:p>
        </w:tc>
        <w:tc>
          <w:tcPr>
            <w:tcW w:w="62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3,921,374</w:t>
            </w:r>
          </w:p>
        </w:tc>
        <w:tc>
          <w:tcPr>
            <w:tcW w:w="540" w:type="dxa"/>
            <w:vAlign w:val="bottom"/>
          </w:tcPr>
          <w:p>
            <w:pPr>
              <w:jc w:val="center"/>
              <w:ind w:left="115"/>
              <w:spacing w:after="0"/>
              <w:rPr>
                <w:sz w:val="20"/>
                <w:szCs w:val="20"/>
                <w:color w:val="auto"/>
              </w:rPr>
            </w:pPr>
            <w:r>
              <w:rPr>
                <w:rFonts w:ascii="Arial" w:cs="Arial" w:eastAsia="Arial" w:hAnsi="Arial"/>
                <w:sz w:val="8"/>
                <w:szCs w:val="8"/>
                <w:color w:val="auto"/>
                <w:w w:val="98"/>
              </w:rPr>
              <w:t>1.4%</w:t>
            </w:r>
          </w:p>
        </w:tc>
        <w:tc>
          <w:tcPr>
            <w:tcW w:w="980" w:type="dxa"/>
            <w:vAlign w:val="bottom"/>
            <w:tcBorders>
              <w:right w:val="single" w:sz="8" w:color="auto"/>
            </w:tcBorders>
          </w:tcPr>
          <w:p>
            <w:pPr>
              <w:jc w:val="center"/>
              <w:ind w:left="115"/>
              <w:spacing w:after="0"/>
              <w:rPr>
                <w:sz w:val="20"/>
                <w:szCs w:val="20"/>
                <w:color w:val="auto"/>
              </w:rPr>
            </w:pPr>
            <w:r>
              <w:rPr>
                <w:rFonts w:ascii="Arial" w:cs="Arial" w:eastAsia="Arial" w:hAnsi="Arial"/>
                <w:sz w:val="8"/>
                <w:szCs w:val="8"/>
                <w:color w:val="auto"/>
                <w:w w:val="98"/>
              </w:rPr>
              <w:t>5.6%</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ind w:right="18"/>
              <w:spacing w:after="0"/>
              <w:rPr>
                <w:sz w:val="20"/>
                <w:szCs w:val="20"/>
                <w:color w:val="auto"/>
              </w:rPr>
            </w:pPr>
            <w:r>
              <w:rPr>
                <w:rFonts w:ascii="Arial" w:cs="Arial" w:eastAsia="Arial" w:hAnsi="Arial"/>
                <w:sz w:val="8"/>
                <w:szCs w:val="8"/>
                <w:color w:val="auto"/>
              </w:rPr>
              <w:t>7,283,797</w:t>
            </w:r>
          </w:p>
        </w:tc>
        <w:tc>
          <w:tcPr>
            <w:tcW w:w="98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8"/>
                <w:szCs w:val="8"/>
                <w:color w:val="auto"/>
              </w:rPr>
              <w:t>7,790,166</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7.0%</w:t>
            </w:r>
          </w:p>
        </w:tc>
        <w:tc>
          <w:tcPr>
            <w:tcW w:w="0" w:type="dxa"/>
            <w:vAlign w:val="bottom"/>
          </w:tcPr>
          <w:p>
            <w:pPr>
              <w:spacing w:after="0"/>
              <w:rPr>
                <w:sz w:val="1"/>
                <w:szCs w:val="1"/>
                <w:color w:val="auto"/>
              </w:rPr>
            </w:pPr>
          </w:p>
        </w:tc>
      </w:tr>
      <w:tr>
        <w:trPr>
          <w:trHeight w:val="93"/>
        </w:trPr>
        <w:tc>
          <w:tcPr>
            <w:tcW w:w="3700" w:type="dxa"/>
            <w:vAlign w:val="bottom"/>
            <w:tcBorders>
              <w:left w:val="single" w:sz="8" w:color="auto"/>
              <w:right w:val="single" w:sz="8" w:color="auto"/>
            </w:tcBorders>
            <w:gridSpan w:val="2"/>
          </w:tcPr>
          <w:p>
            <w:pPr>
              <w:ind w:left="140"/>
              <w:spacing w:after="0"/>
              <w:rPr>
                <w:sz w:val="20"/>
                <w:szCs w:val="20"/>
                <w:color w:val="auto"/>
              </w:rPr>
            </w:pPr>
            <w:r>
              <w:rPr>
                <w:rFonts w:ascii="Arial" w:cs="Arial" w:eastAsia="Arial" w:hAnsi="Arial"/>
                <w:sz w:val="8"/>
                <w:szCs w:val="8"/>
                <w:color w:val="auto"/>
              </w:rPr>
              <w:t>Dividends on investments</w:t>
            </w:r>
          </w:p>
        </w:tc>
        <w:tc>
          <w:tcPr>
            <w:tcW w:w="1120" w:type="dxa"/>
            <w:vAlign w:val="bottom"/>
          </w:tcPr>
          <w:p>
            <w:pPr>
              <w:jc w:val="right"/>
              <w:ind w:right="179"/>
              <w:spacing w:after="0"/>
              <w:rPr>
                <w:sz w:val="20"/>
                <w:szCs w:val="20"/>
                <w:color w:val="auto"/>
              </w:rPr>
            </w:pPr>
            <w:r>
              <w:rPr>
                <w:rFonts w:ascii="Arial" w:cs="Arial" w:eastAsia="Arial" w:hAnsi="Arial"/>
                <w:sz w:val="8"/>
                <w:szCs w:val="8"/>
                <w:color w:val="auto"/>
              </w:rPr>
              <w:t>17,492</w:t>
            </w:r>
          </w:p>
        </w:tc>
        <w:tc>
          <w:tcPr>
            <w:tcW w:w="1200" w:type="dxa"/>
            <w:vAlign w:val="bottom"/>
          </w:tcPr>
          <w:p>
            <w:pPr>
              <w:jc w:val="right"/>
              <w:ind w:right="394"/>
              <w:spacing w:after="0"/>
              <w:rPr>
                <w:sz w:val="20"/>
                <w:szCs w:val="20"/>
                <w:color w:val="auto"/>
              </w:rPr>
            </w:pPr>
            <w:r>
              <w:rPr>
                <w:rFonts w:ascii="Arial" w:cs="Arial" w:eastAsia="Arial" w:hAnsi="Arial"/>
                <w:sz w:val="8"/>
                <w:szCs w:val="8"/>
                <w:color w:val="auto"/>
              </w:rPr>
              <w:t>10,861</w:t>
            </w:r>
          </w:p>
        </w:tc>
        <w:tc>
          <w:tcPr>
            <w:tcW w:w="62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10,136</w:t>
            </w:r>
          </w:p>
        </w:tc>
        <w:tc>
          <w:tcPr>
            <w:tcW w:w="540" w:type="dxa"/>
            <w:vAlign w:val="bottom"/>
          </w:tcPr>
          <w:p>
            <w:pPr>
              <w:jc w:val="center"/>
              <w:ind w:left="115"/>
              <w:spacing w:after="0"/>
              <w:rPr>
                <w:sz w:val="20"/>
                <w:szCs w:val="20"/>
                <w:color w:val="auto"/>
              </w:rPr>
            </w:pPr>
            <w:r>
              <w:rPr>
                <w:rFonts w:ascii="Arial" w:cs="Arial" w:eastAsia="Arial" w:hAnsi="Arial"/>
                <w:sz w:val="8"/>
                <w:szCs w:val="8"/>
                <w:color w:val="auto"/>
              </w:rPr>
              <w:t>-6.7%</w:t>
            </w:r>
          </w:p>
        </w:tc>
        <w:tc>
          <w:tcPr>
            <w:tcW w:w="980" w:type="dxa"/>
            <w:vAlign w:val="bottom"/>
            <w:tcBorders>
              <w:right w:val="single" w:sz="8" w:color="auto"/>
            </w:tcBorders>
          </w:tcPr>
          <w:p>
            <w:pPr>
              <w:jc w:val="center"/>
              <w:ind w:left="115"/>
              <w:spacing w:after="0"/>
              <w:rPr>
                <w:sz w:val="20"/>
                <w:szCs w:val="20"/>
                <w:color w:val="auto"/>
              </w:rPr>
            </w:pPr>
            <w:r>
              <w:rPr>
                <w:rFonts w:ascii="Arial" w:cs="Arial" w:eastAsia="Arial" w:hAnsi="Arial"/>
                <w:sz w:val="8"/>
                <w:szCs w:val="8"/>
                <w:color w:val="auto"/>
              </w:rPr>
              <w:t>-42.1%</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ind w:right="18"/>
              <w:spacing w:after="0"/>
              <w:rPr>
                <w:sz w:val="20"/>
                <w:szCs w:val="20"/>
                <w:color w:val="auto"/>
              </w:rPr>
            </w:pPr>
            <w:r>
              <w:rPr>
                <w:rFonts w:ascii="Arial" w:cs="Arial" w:eastAsia="Arial" w:hAnsi="Arial"/>
                <w:sz w:val="8"/>
                <w:szCs w:val="8"/>
                <w:color w:val="auto"/>
              </w:rPr>
              <w:t>23,969</w:t>
            </w:r>
          </w:p>
        </w:tc>
        <w:tc>
          <w:tcPr>
            <w:tcW w:w="98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8"/>
                <w:szCs w:val="8"/>
                <w:color w:val="auto"/>
              </w:rPr>
              <w:t>20,997</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-12.4%</w:t>
            </w:r>
          </w:p>
        </w:tc>
        <w:tc>
          <w:tcPr>
            <w:tcW w:w="0" w:type="dxa"/>
            <w:vAlign w:val="bottom"/>
          </w:tcPr>
          <w:p>
            <w:pPr>
              <w:spacing w:after="0"/>
              <w:rPr>
                <w:sz w:val="1"/>
                <w:szCs w:val="1"/>
                <w:color w:val="auto"/>
              </w:rPr>
            </w:pPr>
          </w:p>
        </w:tc>
      </w:tr>
      <w:tr>
        <w:trPr>
          <w:trHeight w:val="93"/>
        </w:trPr>
        <w:tc>
          <w:tcPr>
            <w:tcW w:w="3700" w:type="dxa"/>
            <w:vAlign w:val="bottom"/>
            <w:tcBorders>
              <w:left w:val="single" w:sz="8" w:color="auto"/>
              <w:right w:val="single" w:sz="8" w:color="auto"/>
            </w:tcBorders>
            <w:gridSpan w:val="2"/>
          </w:tcPr>
          <w:p>
            <w:pPr>
              <w:ind w:left="140"/>
              <w:spacing w:after="0"/>
              <w:rPr>
                <w:sz w:val="20"/>
                <w:szCs w:val="20"/>
                <w:color w:val="auto"/>
              </w:rPr>
            </w:pPr>
            <w:r>
              <w:rPr>
                <w:rFonts w:ascii="Arial" w:cs="Arial" w:eastAsia="Arial" w:hAnsi="Arial"/>
                <w:sz w:val="8"/>
                <w:szCs w:val="8"/>
                <w:color w:val="auto"/>
              </w:rPr>
              <w:t>Interest on deposits with banks</w:t>
            </w:r>
          </w:p>
        </w:tc>
        <w:tc>
          <w:tcPr>
            <w:tcW w:w="1120" w:type="dxa"/>
            <w:vAlign w:val="bottom"/>
          </w:tcPr>
          <w:p>
            <w:pPr>
              <w:jc w:val="right"/>
              <w:ind w:right="179"/>
              <w:spacing w:after="0"/>
              <w:rPr>
                <w:sz w:val="20"/>
                <w:szCs w:val="20"/>
                <w:color w:val="auto"/>
              </w:rPr>
            </w:pPr>
            <w:r>
              <w:rPr>
                <w:rFonts w:ascii="Arial" w:cs="Arial" w:eastAsia="Arial" w:hAnsi="Arial"/>
                <w:sz w:val="8"/>
                <w:szCs w:val="8"/>
                <w:color w:val="auto"/>
              </w:rPr>
              <w:t>286,459</w:t>
            </w:r>
          </w:p>
        </w:tc>
        <w:tc>
          <w:tcPr>
            <w:tcW w:w="1200" w:type="dxa"/>
            <w:vAlign w:val="bottom"/>
          </w:tcPr>
          <w:p>
            <w:pPr>
              <w:jc w:val="right"/>
              <w:ind w:right="394"/>
              <w:spacing w:after="0"/>
              <w:rPr>
                <w:sz w:val="20"/>
                <w:szCs w:val="20"/>
                <w:color w:val="auto"/>
              </w:rPr>
            </w:pPr>
            <w:r>
              <w:rPr>
                <w:rFonts w:ascii="Arial" w:cs="Arial" w:eastAsia="Arial" w:hAnsi="Arial"/>
                <w:sz w:val="8"/>
                <w:szCs w:val="8"/>
                <w:color w:val="auto"/>
              </w:rPr>
              <w:t>334,459</w:t>
            </w:r>
          </w:p>
        </w:tc>
        <w:tc>
          <w:tcPr>
            <w:tcW w:w="62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319,829</w:t>
            </w:r>
          </w:p>
        </w:tc>
        <w:tc>
          <w:tcPr>
            <w:tcW w:w="540" w:type="dxa"/>
            <w:vAlign w:val="bottom"/>
          </w:tcPr>
          <w:p>
            <w:pPr>
              <w:jc w:val="center"/>
              <w:ind w:left="115"/>
              <w:spacing w:after="0"/>
              <w:rPr>
                <w:sz w:val="20"/>
                <w:szCs w:val="20"/>
                <w:color w:val="auto"/>
              </w:rPr>
            </w:pPr>
            <w:r>
              <w:rPr>
                <w:rFonts w:ascii="Arial" w:cs="Arial" w:eastAsia="Arial" w:hAnsi="Arial"/>
                <w:sz w:val="8"/>
                <w:szCs w:val="8"/>
                <w:color w:val="auto"/>
              </w:rPr>
              <w:t>-4.4%</w:t>
            </w:r>
          </w:p>
        </w:tc>
        <w:tc>
          <w:tcPr>
            <w:tcW w:w="980" w:type="dxa"/>
            <w:vAlign w:val="bottom"/>
            <w:tcBorders>
              <w:right w:val="single" w:sz="8" w:color="auto"/>
            </w:tcBorders>
          </w:tcPr>
          <w:p>
            <w:pPr>
              <w:jc w:val="center"/>
              <w:ind w:left="115"/>
              <w:spacing w:after="0"/>
              <w:rPr>
                <w:sz w:val="20"/>
                <w:szCs w:val="20"/>
                <w:color w:val="auto"/>
              </w:rPr>
            </w:pPr>
            <w:r>
              <w:rPr>
                <w:rFonts w:ascii="Arial" w:cs="Arial" w:eastAsia="Arial" w:hAnsi="Arial"/>
                <w:sz w:val="8"/>
                <w:szCs w:val="8"/>
                <w:color w:val="auto"/>
                <w:w w:val="96"/>
              </w:rPr>
              <w:t>11.6%</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ind w:right="18"/>
              <w:spacing w:after="0"/>
              <w:rPr>
                <w:sz w:val="20"/>
                <w:szCs w:val="20"/>
                <w:color w:val="auto"/>
              </w:rPr>
            </w:pPr>
            <w:r>
              <w:rPr>
                <w:rFonts w:ascii="Arial" w:cs="Arial" w:eastAsia="Arial" w:hAnsi="Arial"/>
                <w:sz w:val="8"/>
                <w:szCs w:val="8"/>
                <w:color w:val="auto"/>
              </w:rPr>
              <w:t>563,830</w:t>
            </w:r>
          </w:p>
        </w:tc>
        <w:tc>
          <w:tcPr>
            <w:tcW w:w="98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8"/>
                <w:szCs w:val="8"/>
                <w:color w:val="auto"/>
              </w:rPr>
              <w:t>654,288</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16.0%</w:t>
            </w:r>
          </w:p>
        </w:tc>
        <w:tc>
          <w:tcPr>
            <w:tcW w:w="0" w:type="dxa"/>
            <w:vAlign w:val="bottom"/>
          </w:tcPr>
          <w:p>
            <w:pPr>
              <w:spacing w:after="0"/>
              <w:rPr>
                <w:sz w:val="1"/>
                <w:szCs w:val="1"/>
                <w:color w:val="auto"/>
              </w:rPr>
            </w:pPr>
          </w:p>
        </w:tc>
      </w:tr>
      <w:tr>
        <w:trPr>
          <w:trHeight w:val="93"/>
        </w:trPr>
        <w:tc>
          <w:tcPr>
            <w:tcW w:w="3700" w:type="dxa"/>
            <w:vAlign w:val="bottom"/>
            <w:tcBorders>
              <w:left w:val="single" w:sz="8" w:color="auto"/>
              <w:right w:val="single" w:sz="8" w:color="auto"/>
            </w:tcBorders>
            <w:gridSpan w:val="2"/>
          </w:tcPr>
          <w:p>
            <w:pPr>
              <w:ind w:left="140"/>
              <w:spacing w:after="0"/>
              <w:rPr>
                <w:sz w:val="20"/>
                <w:szCs w:val="20"/>
                <w:color w:val="auto"/>
              </w:rPr>
            </w:pPr>
            <w:r>
              <w:rPr>
                <w:rFonts w:ascii="Arial" w:cs="Arial" w:eastAsia="Arial" w:hAnsi="Arial"/>
                <w:sz w:val="8"/>
                <w:szCs w:val="8"/>
                <w:color w:val="auto"/>
              </w:rPr>
              <w:t>Interest on securities</w:t>
            </w:r>
          </w:p>
        </w:tc>
        <w:tc>
          <w:tcPr>
            <w:tcW w:w="1120" w:type="dxa"/>
            <w:vAlign w:val="bottom"/>
          </w:tcPr>
          <w:p>
            <w:pPr>
              <w:jc w:val="right"/>
              <w:ind w:right="179"/>
              <w:spacing w:after="0"/>
              <w:rPr>
                <w:sz w:val="20"/>
                <w:szCs w:val="20"/>
                <w:color w:val="auto"/>
              </w:rPr>
            </w:pPr>
            <w:r>
              <w:rPr>
                <w:rFonts w:ascii="Arial" w:cs="Arial" w:eastAsia="Arial" w:hAnsi="Arial"/>
                <w:sz w:val="8"/>
                <w:szCs w:val="8"/>
                <w:color w:val="auto"/>
              </w:rPr>
              <w:t>618,952</w:t>
            </w:r>
          </w:p>
        </w:tc>
        <w:tc>
          <w:tcPr>
            <w:tcW w:w="1200" w:type="dxa"/>
            <w:vAlign w:val="bottom"/>
          </w:tcPr>
          <w:p>
            <w:pPr>
              <w:jc w:val="right"/>
              <w:ind w:right="394"/>
              <w:spacing w:after="0"/>
              <w:rPr>
                <w:sz w:val="20"/>
                <w:szCs w:val="20"/>
                <w:color w:val="auto"/>
              </w:rPr>
            </w:pPr>
            <w:r>
              <w:rPr>
                <w:rFonts w:ascii="Arial" w:cs="Arial" w:eastAsia="Arial" w:hAnsi="Arial"/>
                <w:sz w:val="8"/>
                <w:szCs w:val="8"/>
                <w:color w:val="auto"/>
              </w:rPr>
              <w:t>683,075</w:t>
            </w:r>
          </w:p>
        </w:tc>
        <w:tc>
          <w:tcPr>
            <w:tcW w:w="62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657,897</w:t>
            </w:r>
          </w:p>
        </w:tc>
        <w:tc>
          <w:tcPr>
            <w:tcW w:w="540" w:type="dxa"/>
            <w:vAlign w:val="bottom"/>
          </w:tcPr>
          <w:p>
            <w:pPr>
              <w:jc w:val="center"/>
              <w:ind w:left="115"/>
              <w:spacing w:after="0"/>
              <w:rPr>
                <w:sz w:val="20"/>
                <w:szCs w:val="20"/>
                <w:color w:val="auto"/>
              </w:rPr>
            </w:pPr>
            <w:r>
              <w:rPr>
                <w:rFonts w:ascii="Arial" w:cs="Arial" w:eastAsia="Arial" w:hAnsi="Arial"/>
                <w:sz w:val="8"/>
                <w:szCs w:val="8"/>
                <w:color w:val="auto"/>
              </w:rPr>
              <w:t>-3.7%</w:t>
            </w:r>
          </w:p>
        </w:tc>
        <w:tc>
          <w:tcPr>
            <w:tcW w:w="980" w:type="dxa"/>
            <w:vAlign w:val="bottom"/>
            <w:tcBorders>
              <w:right w:val="single" w:sz="8" w:color="auto"/>
            </w:tcBorders>
          </w:tcPr>
          <w:p>
            <w:pPr>
              <w:jc w:val="center"/>
              <w:ind w:left="115"/>
              <w:spacing w:after="0"/>
              <w:rPr>
                <w:sz w:val="20"/>
                <w:szCs w:val="20"/>
                <w:color w:val="auto"/>
              </w:rPr>
            </w:pPr>
            <w:r>
              <w:rPr>
                <w:rFonts w:ascii="Arial" w:cs="Arial" w:eastAsia="Arial" w:hAnsi="Arial"/>
                <w:sz w:val="8"/>
                <w:szCs w:val="8"/>
                <w:color w:val="auto"/>
                <w:w w:val="98"/>
              </w:rPr>
              <w:t>6.3%</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ind w:right="18"/>
              <w:spacing w:after="0"/>
              <w:rPr>
                <w:sz w:val="20"/>
                <w:szCs w:val="20"/>
                <w:color w:val="auto"/>
              </w:rPr>
            </w:pPr>
            <w:r>
              <w:rPr>
                <w:rFonts w:ascii="Arial" w:cs="Arial" w:eastAsia="Arial" w:hAnsi="Arial"/>
                <w:sz w:val="8"/>
                <w:szCs w:val="8"/>
                <w:color w:val="auto"/>
              </w:rPr>
              <w:t>1,204,220</w:t>
            </w:r>
          </w:p>
        </w:tc>
        <w:tc>
          <w:tcPr>
            <w:tcW w:w="98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8"/>
                <w:szCs w:val="8"/>
                <w:color w:val="auto"/>
              </w:rPr>
              <w:t>1,340,972</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11.4%</w:t>
            </w:r>
          </w:p>
        </w:tc>
        <w:tc>
          <w:tcPr>
            <w:tcW w:w="0" w:type="dxa"/>
            <w:vAlign w:val="bottom"/>
          </w:tcPr>
          <w:p>
            <w:pPr>
              <w:spacing w:after="0"/>
              <w:rPr>
                <w:sz w:val="1"/>
                <w:szCs w:val="1"/>
                <w:color w:val="auto"/>
              </w:rPr>
            </w:pPr>
          </w:p>
        </w:tc>
      </w:tr>
      <w:tr>
        <w:trPr>
          <w:trHeight w:val="93"/>
        </w:trPr>
        <w:tc>
          <w:tcPr>
            <w:tcW w:w="3700" w:type="dxa"/>
            <w:vAlign w:val="bottom"/>
            <w:tcBorders>
              <w:left w:val="single" w:sz="8" w:color="auto"/>
              <w:right w:val="single" w:sz="8" w:color="auto"/>
            </w:tcBorders>
            <w:gridSpan w:val="2"/>
          </w:tcPr>
          <w:p>
            <w:pPr>
              <w:ind w:left="140"/>
              <w:spacing w:after="0"/>
              <w:rPr>
                <w:sz w:val="20"/>
                <w:szCs w:val="20"/>
                <w:color w:val="auto"/>
              </w:rPr>
            </w:pPr>
            <w:r>
              <w:rPr>
                <w:rFonts w:ascii="Arial" w:cs="Arial" w:eastAsia="Arial" w:hAnsi="Arial"/>
                <w:sz w:val="8"/>
                <w:szCs w:val="8"/>
                <w:color w:val="auto"/>
              </w:rPr>
              <w:t>Other interest income</w:t>
            </w:r>
          </w:p>
        </w:tc>
        <w:tc>
          <w:tcPr>
            <w:tcW w:w="1120" w:type="dxa"/>
            <w:vAlign w:val="bottom"/>
          </w:tcPr>
          <w:p>
            <w:pPr>
              <w:jc w:val="right"/>
              <w:ind w:right="179"/>
              <w:spacing w:after="0"/>
              <w:rPr>
                <w:sz w:val="20"/>
                <w:szCs w:val="20"/>
                <w:color w:val="auto"/>
              </w:rPr>
            </w:pPr>
            <w:r>
              <w:rPr>
                <w:rFonts w:ascii="Arial" w:cs="Arial" w:eastAsia="Arial" w:hAnsi="Arial"/>
                <w:sz w:val="8"/>
                <w:szCs w:val="8"/>
                <w:color w:val="auto"/>
              </w:rPr>
              <w:t>17,498</w:t>
            </w:r>
          </w:p>
        </w:tc>
        <w:tc>
          <w:tcPr>
            <w:tcW w:w="1200" w:type="dxa"/>
            <w:vAlign w:val="bottom"/>
          </w:tcPr>
          <w:p>
            <w:pPr>
              <w:jc w:val="right"/>
              <w:ind w:right="394"/>
              <w:spacing w:after="0"/>
              <w:rPr>
                <w:sz w:val="20"/>
                <w:szCs w:val="20"/>
                <w:color w:val="auto"/>
              </w:rPr>
            </w:pPr>
            <w:r>
              <w:rPr>
                <w:rFonts w:ascii="Arial" w:cs="Arial" w:eastAsia="Arial" w:hAnsi="Arial"/>
                <w:sz w:val="8"/>
                <w:szCs w:val="8"/>
                <w:color w:val="auto"/>
              </w:rPr>
              <w:t>28,739</w:t>
            </w:r>
          </w:p>
        </w:tc>
        <w:tc>
          <w:tcPr>
            <w:tcW w:w="62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26,002</w:t>
            </w:r>
          </w:p>
        </w:tc>
        <w:tc>
          <w:tcPr>
            <w:tcW w:w="540" w:type="dxa"/>
            <w:vAlign w:val="bottom"/>
          </w:tcPr>
          <w:p>
            <w:pPr>
              <w:jc w:val="center"/>
              <w:ind w:left="115"/>
              <w:spacing w:after="0"/>
              <w:rPr>
                <w:sz w:val="20"/>
                <w:szCs w:val="20"/>
                <w:color w:val="auto"/>
              </w:rPr>
            </w:pPr>
            <w:r>
              <w:rPr>
                <w:rFonts w:ascii="Arial" w:cs="Arial" w:eastAsia="Arial" w:hAnsi="Arial"/>
                <w:sz w:val="8"/>
                <w:szCs w:val="8"/>
                <w:color w:val="auto"/>
              </w:rPr>
              <w:t>-9.5%</w:t>
            </w:r>
          </w:p>
        </w:tc>
        <w:tc>
          <w:tcPr>
            <w:tcW w:w="980" w:type="dxa"/>
            <w:vAlign w:val="bottom"/>
            <w:tcBorders>
              <w:right w:val="single" w:sz="8" w:color="auto"/>
            </w:tcBorders>
          </w:tcPr>
          <w:p>
            <w:pPr>
              <w:jc w:val="center"/>
              <w:ind w:left="115"/>
              <w:spacing w:after="0"/>
              <w:rPr>
                <w:sz w:val="20"/>
                <w:szCs w:val="20"/>
                <w:color w:val="auto"/>
              </w:rPr>
            </w:pPr>
            <w:r>
              <w:rPr>
                <w:rFonts w:ascii="Arial" w:cs="Arial" w:eastAsia="Arial" w:hAnsi="Arial"/>
                <w:sz w:val="8"/>
                <w:szCs w:val="8"/>
                <w:color w:val="auto"/>
                <w:w w:val="96"/>
              </w:rPr>
              <w:t>48.6%</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ind w:right="18"/>
              <w:spacing w:after="0"/>
              <w:rPr>
                <w:sz w:val="20"/>
                <w:szCs w:val="20"/>
                <w:color w:val="auto"/>
              </w:rPr>
            </w:pPr>
            <w:r>
              <w:rPr>
                <w:rFonts w:ascii="Arial" w:cs="Arial" w:eastAsia="Arial" w:hAnsi="Arial"/>
                <w:sz w:val="8"/>
                <w:szCs w:val="8"/>
                <w:color w:val="auto"/>
              </w:rPr>
              <w:t>33,536</w:t>
            </w:r>
          </w:p>
        </w:tc>
        <w:tc>
          <w:tcPr>
            <w:tcW w:w="98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8"/>
                <w:szCs w:val="8"/>
                <w:color w:val="auto"/>
              </w:rPr>
              <w:t>54,741</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63.2%</w:t>
            </w:r>
          </w:p>
        </w:tc>
        <w:tc>
          <w:tcPr>
            <w:tcW w:w="0" w:type="dxa"/>
            <w:vAlign w:val="bottom"/>
          </w:tcPr>
          <w:p>
            <w:pPr>
              <w:spacing w:after="0"/>
              <w:rPr>
                <w:sz w:val="1"/>
                <w:szCs w:val="1"/>
                <w:color w:val="auto"/>
              </w:rPr>
            </w:pPr>
          </w:p>
        </w:tc>
      </w:tr>
      <w:tr>
        <w:trPr>
          <w:trHeight w:val="93"/>
        </w:trPr>
        <w:tc>
          <w:tcPr>
            <w:tcW w:w="370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b w:val="1"/>
                <w:bCs w:val="1"/>
                <w:color w:val="auto"/>
              </w:rPr>
              <w:t>Interest expense</w:t>
            </w:r>
          </w:p>
        </w:tc>
        <w:tc>
          <w:tcPr>
            <w:tcW w:w="1120" w:type="dxa"/>
            <w:vAlign w:val="bottom"/>
          </w:tcPr>
          <w:p>
            <w:pPr>
              <w:jc w:val="right"/>
              <w:ind w:right="159"/>
              <w:spacing w:after="0"/>
              <w:rPr>
                <w:sz w:val="20"/>
                <w:szCs w:val="20"/>
                <w:color w:val="auto"/>
              </w:rPr>
            </w:pPr>
            <w:r>
              <w:rPr>
                <w:rFonts w:ascii="Arial" w:cs="Arial" w:eastAsia="Arial" w:hAnsi="Arial"/>
                <w:sz w:val="8"/>
                <w:szCs w:val="8"/>
                <w:b w:val="1"/>
                <w:bCs w:val="1"/>
                <w:color w:val="auto"/>
              </w:rPr>
              <w:t>(1,449,090)</w:t>
            </w:r>
          </w:p>
        </w:tc>
        <w:tc>
          <w:tcPr>
            <w:tcW w:w="1200" w:type="dxa"/>
            <w:vAlign w:val="bottom"/>
          </w:tcPr>
          <w:p>
            <w:pPr>
              <w:jc w:val="right"/>
              <w:ind w:right="374"/>
              <w:spacing w:after="0"/>
              <w:rPr>
                <w:sz w:val="20"/>
                <w:szCs w:val="20"/>
                <w:color w:val="auto"/>
              </w:rPr>
            </w:pPr>
            <w:r>
              <w:rPr>
                <w:rFonts w:ascii="Arial" w:cs="Arial" w:eastAsia="Arial" w:hAnsi="Arial"/>
                <w:sz w:val="8"/>
                <w:szCs w:val="8"/>
                <w:b w:val="1"/>
                <w:bCs w:val="1"/>
                <w:color w:val="auto"/>
              </w:rPr>
              <w:t>(1,499,803)</w:t>
            </w:r>
          </w:p>
        </w:tc>
        <w:tc>
          <w:tcPr>
            <w:tcW w:w="62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b w:val="1"/>
                <w:bCs w:val="1"/>
                <w:color w:val="auto"/>
              </w:rPr>
              <w:t>(1,466,774)</w:t>
            </w:r>
          </w:p>
        </w:tc>
        <w:tc>
          <w:tcPr>
            <w:tcW w:w="540" w:type="dxa"/>
            <w:vAlign w:val="bottom"/>
          </w:tcPr>
          <w:p>
            <w:pPr>
              <w:jc w:val="center"/>
              <w:ind w:left="115"/>
              <w:spacing w:after="0"/>
              <w:rPr>
                <w:sz w:val="20"/>
                <w:szCs w:val="20"/>
                <w:color w:val="auto"/>
              </w:rPr>
            </w:pPr>
            <w:r>
              <w:rPr>
                <w:rFonts w:ascii="Arial" w:cs="Arial" w:eastAsia="Arial" w:hAnsi="Arial"/>
                <w:sz w:val="8"/>
                <w:szCs w:val="8"/>
                <w:color w:val="auto"/>
              </w:rPr>
              <w:t>-2.2%</w:t>
            </w:r>
          </w:p>
        </w:tc>
        <w:tc>
          <w:tcPr>
            <w:tcW w:w="980" w:type="dxa"/>
            <w:vAlign w:val="bottom"/>
            <w:tcBorders>
              <w:right w:val="single" w:sz="8" w:color="auto"/>
            </w:tcBorders>
          </w:tcPr>
          <w:p>
            <w:pPr>
              <w:jc w:val="center"/>
              <w:ind w:left="115"/>
              <w:spacing w:after="0"/>
              <w:rPr>
                <w:sz w:val="20"/>
                <w:szCs w:val="20"/>
                <w:color w:val="auto"/>
              </w:rPr>
            </w:pPr>
            <w:r>
              <w:rPr>
                <w:rFonts w:ascii="Arial" w:cs="Arial" w:eastAsia="Arial" w:hAnsi="Arial"/>
                <w:sz w:val="8"/>
                <w:szCs w:val="8"/>
                <w:color w:val="auto"/>
                <w:w w:val="98"/>
              </w:rPr>
              <w:t>1.2%</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b w:val="1"/>
                <w:bCs w:val="1"/>
                <w:color w:val="auto"/>
              </w:rPr>
              <w:t>(2,773,107)</w:t>
            </w:r>
          </w:p>
        </w:tc>
        <w:tc>
          <w:tcPr>
            <w:tcW w:w="98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8"/>
                <w:szCs w:val="8"/>
                <w:b w:val="1"/>
                <w:bCs w:val="1"/>
                <w:color w:val="auto"/>
              </w:rPr>
              <w:t>(2,966,577)</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7.0%</w:t>
            </w:r>
          </w:p>
        </w:tc>
        <w:tc>
          <w:tcPr>
            <w:tcW w:w="0" w:type="dxa"/>
            <w:vAlign w:val="bottom"/>
          </w:tcPr>
          <w:p>
            <w:pPr>
              <w:spacing w:after="0"/>
              <w:rPr>
                <w:sz w:val="1"/>
                <w:szCs w:val="1"/>
                <w:color w:val="auto"/>
              </w:rPr>
            </w:pPr>
          </w:p>
        </w:tc>
      </w:tr>
      <w:tr>
        <w:trPr>
          <w:trHeight w:val="93"/>
        </w:trPr>
        <w:tc>
          <w:tcPr>
            <w:tcW w:w="3700" w:type="dxa"/>
            <w:vAlign w:val="bottom"/>
            <w:tcBorders>
              <w:left w:val="single" w:sz="8" w:color="auto"/>
              <w:right w:val="single" w:sz="8" w:color="auto"/>
            </w:tcBorders>
            <w:gridSpan w:val="2"/>
          </w:tcPr>
          <w:p>
            <w:pPr>
              <w:ind w:left="140"/>
              <w:spacing w:after="0"/>
              <w:rPr>
                <w:sz w:val="20"/>
                <w:szCs w:val="20"/>
                <w:color w:val="auto"/>
              </w:rPr>
            </w:pPr>
            <w:r>
              <w:rPr>
                <w:rFonts w:ascii="Arial" w:cs="Arial" w:eastAsia="Arial" w:hAnsi="Arial"/>
                <w:sz w:val="8"/>
                <w:szCs w:val="8"/>
                <w:b w:val="1"/>
                <w:bCs w:val="1"/>
                <w:color w:val="auto"/>
              </w:rPr>
              <w:t>Interest expense (excluding Net Insurance Financial Expenses)</w:t>
            </w:r>
          </w:p>
        </w:tc>
        <w:tc>
          <w:tcPr>
            <w:tcW w:w="1120" w:type="dxa"/>
            <w:vAlign w:val="bottom"/>
          </w:tcPr>
          <w:p>
            <w:pPr>
              <w:jc w:val="right"/>
              <w:ind w:right="159"/>
              <w:spacing w:after="0"/>
              <w:rPr>
                <w:sz w:val="20"/>
                <w:szCs w:val="20"/>
                <w:color w:val="auto"/>
              </w:rPr>
            </w:pPr>
            <w:r>
              <w:rPr>
                <w:rFonts w:ascii="Arial" w:cs="Arial" w:eastAsia="Arial" w:hAnsi="Arial"/>
                <w:sz w:val="8"/>
                <w:szCs w:val="8"/>
                <w:b w:val="1"/>
                <w:bCs w:val="1"/>
                <w:color w:val="auto"/>
              </w:rPr>
              <w:t>(1,333,924)</w:t>
            </w:r>
          </w:p>
        </w:tc>
        <w:tc>
          <w:tcPr>
            <w:tcW w:w="1200" w:type="dxa"/>
            <w:vAlign w:val="bottom"/>
          </w:tcPr>
          <w:p>
            <w:pPr>
              <w:jc w:val="right"/>
              <w:ind w:right="374"/>
              <w:spacing w:after="0"/>
              <w:rPr>
                <w:sz w:val="20"/>
                <w:szCs w:val="20"/>
                <w:color w:val="auto"/>
              </w:rPr>
            </w:pPr>
            <w:r>
              <w:rPr>
                <w:rFonts w:ascii="Arial" w:cs="Arial" w:eastAsia="Arial" w:hAnsi="Arial"/>
                <w:sz w:val="8"/>
                <w:szCs w:val="8"/>
                <w:b w:val="1"/>
                <w:bCs w:val="1"/>
                <w:color w:val="auto"/>
              </w:rPr>
              <w:t>(1,377,799)</w:t>
            </w:r>
          </w:p>
        </w:tc>
        <w:tc>
          <w:tcPr>
            <w:tcW w:w="62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b w:val="1"/>
                <w:bCs w:val="1"/>
                <w:color w:val="auto"/>
              </w:rPr>
              <w:t>(1,342,088)</w:t>
            </w:r>
          </w:p>
        </w:tc>
        <w:tc>
          <w:tcPr>
            <w:tcW w:w="540" w:type="dxa"/>
            <w:vAlign w:val="bottom"/>
          </w:tcPr>
          <w:p>
            <w:pPr>
              <w:jc w:val="center"/>
              <w:ind w:left="115"/>
              <w:spacing w:after="0"/>
              <w:rPr>
                <w:sz w:val="20"/>
                <w:szCs w:val="20"/>
                <w:color w:val="auto"/>
              </w:rPr>
            </w:pPr>
            <w:r>
              <w:rPr>
                <w:rFonts w:ascii="Arial" w:cs="Arial" w:eastAsia="Arial" w:hAnsi="Arial"/>
                <w:sz w:val="8"/>
                <w:szCs w:val="8"/>
                <w:b w:val="1"/>
                <w:bCs w:val="1"/>
                <w:color w:val="auto"/>
              </w:rPr>
              <w:t>-2.6%</w:t>
            </w:r>
          </w:p>
        </w:tc>
        <w:tc>
          <w:tcPr>
            <w:tcW w:w="980" w:type="dxa"/>
            <w:vAlign w:val="bottom"/>
            <w:tcBorders>
              <w:right w:val="single" w:sz="8" w:color="auto"/>
            </w:tcBorders>
          </w:tcPr>
          <w:p>
            <w:pPr>
              <w:jc w:val="center"/>
              <w:ind w:left="115"/>
              <w:spacing w:after="0"/>
              <w:rPr>
                <w:sz w:val="20"/>
                <w:szCs w:val="20"/>
                <w:color w:val="auto"/>
              </w:rPr>
            </w:pPr>
            <w:r>
              <w:rPr>
                <w:rFonts w:ascii="Arial" w:cs="Arial" w:eastAsia="Arial" w:hAnsi="Arial"/>
                <w:sz w:val="8"/>
                <w:szCs w:val="8"/>
                <w:b w:val="1"/>
                <w:bCs w:val="1"/>
                <w:color w:val="auto"/>
                <w:w w:val="98"/>
              </w:rPr>
              <w:t>0.6%</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b w:val="1"/>
                <w:bCs w:val="1"/>
                <w:color w:val="auto"/>
              </w:rPr>
              <w:t>(2,542,191)</w:t>
            </w:r>
          </w:p>
        </w:tc>
        <w:tc>
          <w:tcPr>
            <w:tcW w:w="98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8"/>
                <w:szCs w:val="8"/>
                <w:b w:val="1"/>
                <w:bCs w:val="1"/>
                <w:color w:val="auto"/>
              </w:rPr>
              <w:t>(2,719,887)</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7.0%</w:t>
            </w:r>
          </w:p>
        </w:tc>
        <w:tc>
          <w:tcPr>
            <w:tcW w:w="0" w:type="dxa"/>
            <w:vAlign w:val="bottom"/>
          </w:tcPr>
          <w:p>
            <w:pPr>
              <w:spacing w:after="0"/>
              <w:rPr>
                <w:sz w:val="1"/>
                <w:szCs w:val="1"/>
                <w:color w:val="auto"/>
              </w:rPr>
            </w:pPr>
          </w:p>
        </w:tc>
      </w:tr>
      <w:tr>
        <w:trPr>
          <w:trHeight w:val="93"/>
        </w:trPr>
        <w:tc>
          <w:tcPr>
            <w:tcW w:w="3700" w:type="dxa"/>
            <w:vAlign w:val="bottom"/>
            <w:tcBorders>
              <w:left w:val="single" w:sz="8" w:color="auto"/>
              <w:right w:val="single" w:sz="8" w:color="auto"/>
            </w:tcBorders>
            <w:gridSpan w:val="2"/>
          </w:tcPr>
          <w:p>
            <w:pPr>
              <w:ind w:left="280"/>
              <w:spacing w:after="0"/>
              <w:rPr>
                <w:sz w:val="20"/>
                <w:szCs w:val="20"/>
                <w:color w:val="auto"/>
              </w:rPr>
            </w:pPr>
            <w:r>
              <w:rPr>
                <w:rFonts w:ascii="Arial" w:cs="Arial" w:eastAsia="Arial" w:hAnsi="Arial"/>
                <w:sz w:val="8"/>
                <w:szCs w:val="8"/>
                <w:color w:val="auto"/>
              </w:rPr>
              <w:t>Interest on deposits</w:t>
            </w:r>
          </w:p>
        </w:tc>
        <w:tc>
          <w:tcPr>
            <w:tcW w:w="1120" w:type="dxa"/>
            <w:vAlign w:val="bottom"/>
          </w:tcPr>
          <w:p>
            <w:pPr>
              <w:jc w:val="right"/>
              <w:ind w:right="179"/>
              <w:spacing w:after="0"/>
              <w:rPr>
                <w:sz w:val="20"/>
                <w:szCs w:val="20"/>
                <w:color w:val="auto"/>
              </w:rPr>
            </w:pPr>
            <w:r>
              <w:rPr>
                <w:rFonts w:ascii="Arial" w:cs="Arial" w:eastAsia="Arial" w:hAnsi="Arial"/>
                <w:sz w:val="8"/>
                <w:szCs w:val="8"/>
                <w:color w:val="auto"/>
              </w:rPr>
              <w:t>777,436</w:t>
            </w:r>
          </w:p>
        </w:tc>
        <w:tc>
          <w:tcPr>
            <w:tcW w:w="1200" w:type="dxa"/>
            <w:vAlign w:val="bottom"/>
          </w:tcPr>
          <w:p>
            <w:pPr>
              <w:jc w:val="right"/>
              <w:ind w:right="394"/>
              <w:spacing w:after="0"/>
              <w:rPr>
                <w:sz w:val="20"/>
                <w:szCs w:val="20"/>
                <w:color w:val="auto"/>
              </w:rPr>
            </w:pPr>
            <w:r>
              <w:rPr>
                <w:rFonts w:ascii="Arial" w:cs="Arial" w:eastAsia="Arial" w:hAnsi="Arial"/>
                <w:sz w:val="8"/>
                <w:szCs w:val="8"/>
                <w:color w:val="auto"/>
              </w:rPr>
              <w:t>779,526</w:t>
            </w:r>
          </w:p>
        </w:tc>
        <w:tc>
          <w:tcPr>
            <w:tcW w:w="62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738,010</w:t>
            </w:r>
          </w:p>
        </w:tc>
        <w:tc>
          <w:tcPr>
            <w:tcW w:w="540" w:type="dxa"/>
            <w:vAlign w:val="bottom"/>
          </w:tcPr>
          <w:p>
            <w:pPr>
              <w:jc w:val="center"/>
              <w:ind w:left="115"/>
              <w:spacing w:after="0"/>
              <w:rPr>
                <w:sz w:val="20"/>
                <w:szCs w:val="20"/>
                <w:color w:val="auto"/>
              </w:rPr>
            </w:pPr>
            <w:r>
              <w:rPr>
                <w:rFonts w:ascii="Arial" w:cs="Arial" w:eastAsia="Arial" w:hAnsi="Arial"/>
                <w:sz w:val="8"/>
                <w:szCs w:val="8"/>
                <w:color w:val="auto"/>
              </w:rPr>
              <w:t>-5.3%</w:t>
            </w:r>
          </w:p>
        </w:tc>
        <w:tc>
          <w:tcPr>
            <w:tcW w:w="980" w:type="dxa"/>
            <w:vAlign w:val="bottom"/>
            <w:tcBorders>
              <w:right w:val="single" w:sz="8" w:color="auto"/>
            </w:tcBorders>
          </w:tcPr>
          <w:p>
            <w:pPr>
              <w:jc w:val="center"/>
              <w:ind w:left="115"/>
              <w:spacing w:after="0"/>
              <w:rPr>
                <w:sz w:val="20"/>
                <w:szCs w:val="20"/>
                <w:color w:val="auto"/>
              </w:rPr>
            </w:pPr>
            <w:r>
              <w:rPr>
                <w:rFonts w:ascii="Arial" w:cs="Arial" w:eastAsia="Arial" w:hAnsi="Arial"/>
                <w:sz w:val="8"/>
                <w:szCs w:val="8"/>
                <w:color w:val="auto"/>
              </w:rPr>
              <w:t>-5.1%</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ind w:right="18"/>
              <w:spacing w:after="0"/>
              <w:rPr>
                <w:sz w:val="20"/>
                <w:szCs w:val="20"/>
                <w:color w:val="auto"/>
              </w:rPr>
            </w:pPr>
            <w:r>
              <w:rPr>
                <w:rFonts w:ascii="Arial" w:cs="Arial" w:eastAsia="Arial" w:hAnsi="Arial"/>
                <w:sz w:val="8"/>
                <w:szCs w:val="8"/>
                <w:color w:val="auto"/>
              </w:rPr>
              <w:t>1,454,524</w:t>
            </w:r>
          </w:p>
        </w:tc>
        <w:tc>
          <w:tcPr>
            <w:tcW w:w="98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8"/>
                <w:szCs w:val="8"/>
                <w:color w:val="auto"/>
              </w:rPr>
              <w:t>1,517,536</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4.3%</w:t>
            </w:r>
          </w:p>
        </w:tc>
        <w:tc>
          <w:tcPr>
            <w:tcW w:w="0" w:type="dxa"/>
            <w:vAlign w:val="bottom"/>
          </w:tcPr>
          <w:p>
            <w:pPr>
              <w:spacing w:after="0"/>
              <w:rPr>
                <w:sz w:val="1"/>
                <w:szCs w:val="1"/>
                <w:color w:val="auto"/>
              </w:rPr>
            </w:pPr>
          </w:p>
        </w:tc>
      </w:tr>
      <w:tr>
        <w:trPr>
          <w:trHeight w:val="93"/>
        </w:trPr>
        <w:tc>
          <w:tcPr>
            <w:tcW w:w="3700" w:type="dxa"/>
            <w:vAlign w:val="bottom"/>
            <w:tcBorders>
              <w:left w:val="single" w:sz="8" w:color="auto"/>
              <w:right w:val="single" w:sz="8" w:color="auto"/>
            </w:tcBorders>
            <w:gridSpan w:val="2"/>
          </w:tcPr>
          <w:p>
            <w:pPr>
              <w:ind w:left="280"/>
              <w:spacing w:after="0"/>
              <w:rPr>
                <w:sz w:val="20"/>
                <w:szCs w:val="20"/>
                <w:color w:val="auto"/>
              </w:rPr>
            </w:pPr>
            <w:r>
              <w:rPr>
                <w:rFonts w:ascii="Arial" w:cs="Arial" w:eastAsia="Arial" w:hAnsi="Arial"/>
                <w:sz w:val="8"/>
                <w:szCs w:val="8"/>
                <w:color w:val="auto"/>
              </w:rPr>
              <w:t>Interest on borrowed funds</w:t>
            </w:r>
          </w:p>
        </w:tc>
        <w:tc>
          <w:tcPr>
            <w:tcW w:w="1120" w:type="dxa"/>
            <w:vAlign w:val="bottom"/>
          </w:tcPr>
          <w:p>
            <w:pPr>
              <w:jc w:val="right"/>
              <w:ind w:right="179"/>
              <w:spacing w:after="0"/>
              <w:rPr>
                <w:sz w:val="20"/>
                <w:szCs w:val="20"/>
                <w:color w:val="auto"/>
              </w:rPr>
            </w:pPr>
            <w:r>
              <w:rPr>
                <w:rFonts w:ascii="Arial" w:cs="Arial" w:eastAsia="Arial" w:hAnsi="Arial"/>
                <w:sz w:val="8"/>
                <w:szCs w:val="8"/>
                <w:color w:val="auto"/>
              </w:rPr>
              <w:t>296,854</w:t>
            </w:r>
          </w:p>
        </w:tc>
        <w:tc>
          <w:tcPr>
            <w:tcW w:w="1200" w:type="dxa"/>
            <w:vAlign w:val="bottom"/>
          </w:tcPr>
          <w:p>
            <w:pPr>
              <w:jc w:val="right"/>
              <w:ind w:right="394"/>
              <w:spacing w:after="0"/>
              <w:rPr>
                <w:sz w:val="20"/>
                <w:szCs w:val="20"/>
                <w:color w:val="auto"/>
              </w:rPr>
            </w:pPr>
            <w:r>
              <w:rPr>
                <w:rFonts w:ascii="Arial" w:cs="Arial" w:eastAsia="Arial" w:hAnsi="Arial"/>
                <w:sz w:val="8"/>
                <w:szCs w:val="8"/>
                <w:color w:val="auto"/>
              </w:rPr>
              <w:t>264,884</w:t>
            </w:r>
          </w:p>
        </w:tc>
        <w:tc>
          <w:tcPr>
            <w:tcW w:w="62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267,285</w:t>
            </w:r>
          </w:p>
        </w:tc>
        <w:tc>
          <w:tcPr>
            <w:tcW w:w="540" w:type="dxa"/>
            <w:vAlign w:val="bottom"/>
          </w:tcPr>
          <w:p>
            <w:pPr>
              <w:jc w:val="center"/>
              <w:ind w:left="115"/>
              <w:spacing w:after="0"/>
              <w:rPr>
                <w:sz w:val="20"/>
                <w:szCs w:val="20"/>
                <w:color w:val="auto"/>
              </w:rPr>
            </w:pPr>
            <w:r>
              <w:rPr>
                <w:rFonts w:ascii="Arial" w:cs="Arial" w:eastAsia="Arial" w:hAnsi="Arial"/>
                <w:sz w:val="8"/>
                <w:szCs w:val="8"/>
                <w:color w:val="auto"/>
                <w:w w:val="98"/>
              </w:rPr>
              <w:t>0.9%</w:t>
            </w:r>
          </w:p>
        </w:tc>
        <w:tc>
          <w:tcPr>
            <w:tcW w:w="980" w:type="dxa"/>
            <w:vAlign w:val="bottom"/>
            <w:tcBorders>
              <w:right w:val="single" w:sz="8" w:color="auto"/>
            </w:tcBorders>
          </w:tcPr>
          <w:p>
            <w:pPr>
              <w:jc w:val="center"/>
              <w:ind w:left="115"/>
              <w:spacing w:after="0"/>
              <w:rPr>
                <w:sz w:val="20"/>
                <w:szCs w:val="20"/>
                <w:color w:val="auto"/>
              </w:rPr>
            </w:pPr>
            <w:r>
              <w:rPr>
                <w:rFonts w:ascii="Arial" w:cs="Arial" w:eastAsia="Arial" w:hAnsi="Arial"/>
                <w:sz w:val="8"/>
                <w:szCs w:val="8"/>
                <w:color w:val="auto"/>
              </w:rPr>
              <w:t>-10.0%</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ind w:right="18"/>
              <w:spacing w:after="0"/>
              <w:rPr>
                <w:sz w:val="20"/>
                <w:szCs w:val="20"/>
                <w:color w:val="auto"/>
              </w:rPr>
            </w:pPr>
            <w:r>
              <w:rPr>
                <w:rFonts w:ascii="Arial" w:cs="Arial" w:eastAsia="Arial" w:hAnsi="Arial"/>
                <w:sz w:val="8"/>
                <w:szCs w:val="8"/>
                <w:color w:val="auto"/>
              </w:rPr>
              <w:t>535,787</w:t>
            </w:r>
          </w:p>
        </w:tc>
        <w:tc>
          <w:tcPr>
            <w:tcW w:w="98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8"/>
                <w:szCs w:val="8"/>
                <w:color w:val="auto"/>
              </w:rPr>
              <w:t>532,169</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-0.7%</w:t>
            </w:r>
          </w:p>
        </w:tc>
        <w:tc>
          <w:tcPr>
            <w:tcW w:w="0" w:type="dxa"/>
            <w:vAlign w:val="bottom"/>
          </w:tcPr>
          <w:p>
            <w:pPr>
              <w:spacing w:after="0"/>
              <w:rPr>
                <w:sz w:val="1"/>
                <w:szCs w:val="1"/>
                <w:color w:val="auto"/>
              </w:rPr>
            </w:pPr>
          </w:p>
        </w:tc>
      </w:tr>
      <w:tr>
        <w:trPr>
          <w:trHeight w:val="93"/>
        </w:trPr>
        <w:tc>
          <w:tcPr>
            <w:tcW w:w="3700" w:type="dxa"/>
            <w:vAlign w:val="bottom"/>
            <w:tcBorders>
              <w:left w:val="single" w:sz="8" w:color="auto"/>
              <w:right w:val="single" w:sz="8" w:color="auto"/>
            </w:tcBorders>
            <w:gridSpan w:val="2"/>
          </w:tcPr>
          <w:p>
            <w:pPr>
              <w:ind w:left="280"/>
              <w:spacing w:after="0"/>
              <w:rPr>
                <w:sz w:val="20"/>
                <w:szCs w:val="20"/>
                <w:color w:val="auto"/>
              </w:rPr>
            </w:pPr>
            <w:r>
              <w:rPr>
                <w:rFonts w:ascii="Arial" w:cs="Arial" w:eastAsia="Arial" w:hAnsi="Arial"/>
                <w:sz w:val="8"/>
                <w:szCs w:val="8"/>
                <w:color w:val="auto"/>
              </w:rPr>
              <w:t>Interest on bonds and subordinated notes</w:t>
            </w:r>
          </w:p>
        </w:tc>
        <w:tc>
          <w:tcPr>
            <w:tcW w:w="1120" w:type="dxa"/>
            <w:vAlign w:val="bottom"/>
          </w:tcPr>
          <w:p>
            <w:pPr>
              <w:jc w:val="right"/>
              <w:ind w:right="179"/>
              <w:spacing w:after="0"/>
              <w:rPr>
                <w:sz w:val="20"/>
                <w:szCs w:val="20"/>
                <w:color w:val="auto"/>
              </w:rPr>
            </w:pPr>
            <w:r>
              <w:rPr>
                <w:rFonts w:ascii="Arial" w:cs="Arial" w:eastAsia="Arial" w:hAnsi="Arial"/>
                <w:sz w:val="8"/>
                <w:szCs w:val="8"/>
                <w:color w:val="auto"/>
              </w:rPr>
              <w:t>148,992</w:t>
            </w:r>
          </w:p>
        </w:tc>
        <w:tc>
          <w:tcPr>
            <w:tcW w:w="1200" w:type="dxa"/>
            <w:vAlign w:val="bottom"/>
          </w:tcPr>
          <w:p>
            <w:pPr>
              <w:jc w:val="right"/>
              <w:ind w:right="394"/>
              <w:spacing w:after="0"/>
              <w:rPr>
                <w:sz w:val="20"/>
                <w:szCs w:val="20"/>
                <w:color w:val="auto"/>
              </w:rPr>
            </w:pPr>
            <w:r>
              <w:rPr>
                <w:rFonts w:ascii="Arial" w:cs="Arial" w:eastAsia="Arial" w:hAnsi="Arial"/>
                <w:sz w:val="8"/>
                <w:szCs w:val="8"/>
                <w:color w:val="auto"/>
              </w:rPr>
              <w:t>196,630</w:t>
            </w:r>
          </w:p>
        </w:tc>
        <w:tc>
          <w:tcPr>
            <w:tcW w:w="62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200,739</w:t>
            </w:r>
          </w:p>
        </w:tc>
        <w:tc>
          <w:tcPr>
            <w:tcW w:w="540" w:type="dxa"/>
            <w:vAlign w:val="bottom"/>
          </w:tcPr>
          <w:p>
            <w:pPr>
              <w:jc w:val="center"/>
              <w:ind w:left="115"/>
              <w:spacing w:after="0"/>
              <w:rPr>
                <w:sz w:val="20"/>
                <w:szCs w:val="20"/>
                <w:color w:val="auto"/>
              </w:rPr>
            </w:pPr>
            <w:r>
              <w:rPr>
                <w:rFonts w:ascii="Arial" w:cs="Arial" w:eastAsia="Arial" w:hAnsi="Arial"/>
                <w:sz w:val="8"/>
                <w:szCs w:val="8"/>
                <w:color w:val="auto"/>
                <w:w w:val="98"/>
              </w:rPr>
              <w:t>2.1%</w:t>
            </w:r>
          </w:p>
        </w:tc>
        <w:tc>
          <w:tcPr>
            <w:tcW w:w="980" w:type="dxa"/>
            <w:vAlign w:val="bottom"/>
            <w:tcBorders>
              <w:right w:val="single" w:sz="8" w:color="auto"/>
            </w:tcBorders>
          </w:tcPr>
          <w:p>
            <w:pPr>
              <w:jc w:val="center"/>
              <w:ind w:left="115"/>
              <w:spacing w:after="0"/>
              <w:rPr>
                <w:sz w:val="20"/>
                <w:szCs w:val="20"/>
                <w:color w:val="auto"/>
              </w:rPr>
            </w:pPr>
            <w:r>
              <w:rPr>
                <w:rFonts w:ascii="Arial" w:cs="Arial" w:eastAsia="Arial" w:hAnsi="Arial"/>
                <w:sz w:val="8"/>
                <w:szCs w:val="8"/>
                <w:color w:val="auto"/>
                <w:w w:val="96"/>
              </w:rPr>
              <w:t>34.7%</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ind w:right="18"/>
              <w:spacing w:after="0"/>
              <w:rPr>
                <w:sz w:val="20"/>
                <w:szCs w:val="20"/>
                <w:color w:val="auto"/>
              </w:rPr>
            </w:pPr>
            <w:r>
              <w:rPr>
                <w:rFonts w:ascii="Arial" w:cs="Arial" w:eastAsia="Arial" w:hAnsi="Arial"/>
                <w:sz w:val="8"/>
                <w:szCs w:val="8"/>
                <w:color w:val="auto"/>
              </w:rPr>
              <w:t>331,890</w:t>
            </w:r>
          </w:p>
        </w:tc>
        <w:tc>
          <w:tcPr>
            <w:tcW w:w="98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8"/>
                <w:szCs w:val="8"/>
                <w:color w:val="auto"/>
              </w:rPr>
              <w:t>397,369</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19.7%</w:t>
            </w:r>
          </w:p>
        </w:tc>
        <w:tc>
          <w:tcPr>
            <w:tcW w:w="0" w:type="dxa"/>
            <w:vAlign w:val="bottom"/>
          </w:tcPr>
          <w:p>
            <w:pPr>
              <w:spacing w:after="0"/>
              <w:rPr>
                <w:sz w:val="1"/>
                <w:szCs w:val="1"/>
                <w:color w:val="auto"/>
              </w:rPr>
            </w:pPr>
          </w:p>
        </w:tc>
      </w:tr>
      <w:tr>
        <w:trPr>
          <w:trHeight w:val="93"/>
        </w:trPr>
        <w:tc>
          <w:tcPr>
            <w:tcW w:w="3700" w:type="dxa"/>
            <w:vAlign w:val="bottom"/>
            <w:tcBorders>
              <w:left w:val="single" w:sz="8" w:color="auto"/>
              <w:right w:val="single" w:sz="8" w:color="auto"/>
            </w:tcBorders>
            <w:gridSpan w:val="2"/>
          </w:tcPr>
          <w:p>
            <w:pPr>
              <w:ind w:left="280"/>
              <w:spacing w:after="0"/>
              <w:rPr>
                <w:sz w:val="20"/>
                <w:szCs w:val="20"/>
                <w:color w:val="auto"/>
              </w:rPr>
            </w:pPr>
            <w:r>
              <w:rPr>
                <w:rFonts w:ascii="Arial" w:cs="Arial" w:eastAsia="Arial" w:hAnsi="Arial"/>
                <w:sz w:val="8"/>
                <w:szCs w:val="8"/>
                <w:color w:val="auto"/>
              </w:rPr>
              <w:t>Other interest expense</w:t>
            </w:r>
          </w:p>
        </w:tc>
        <w:tc>
          <w:tcPr>
            <w:tcW w:w="1120" w:type="dxa"/>
            <w:vAlign w:val="bottom"/>
          </w:tcPr>
          <w:p>
            <w:pPr>
              <w:jc w:val="right"/>
              <w:ind w:right="179"/>
              <w:spacing w:after="0"/>
              <w:rPr>
                <w:sz w:val="20"/>
                <w:szCs w:val="20"/>
                <w:color w:val="auto"/>
              </w:rPr>
            </w:pPr>
            <w:r>
              <w:rPr>
                <w:rFonts w:ascii="Arial" w:cs="Arial" w:eastAsia="Arial" w:hAnsi="Arial"/>
                <w:sz w:val="8"/>
                <w:szCs w:val="8"/>
                <w:color w:val="auto"/>
              </w:rPr>
              <w:t>110,642</w:t>
            </w:r>
          </w:p>
        </w:tc>
        <w:tc>
          <w:tcPr>
            <w:tcW w:w="1200" w:type="dxa"/>
            <w:vAlign w:val="bottom"/>
          </w:tcPr>
          <w:p>
            <w:pPr>
              <w:jc w:val="right"/>
              <w:ind w:right="394"/>
              <w:spacing w:after="0"/>
              <w:rPr>
                <w:sz w:val="20"/>
                <w:szCs w:val="20"/>
                <w:color w:val="auto"/>
              </w:rPr>
            </w:pPr>
            <w:r>
              <w:rPr>
                <w:rFonts w:ascii="Arial" w:cs="Arial" w:eastAsia="Arial" w:hAnsi="Arial"/>
                <w:sz w:val="8"/>
                <w:szCs w:val="8"/>
                <w:color w:val="auto"/>
              </w:rPr>
              <w:t>136,759</w:t>
            </w:r>
          </w:p>
        </w:tc>
        <w:tc>
          <w:tcPr>
            <w:tcW w:w="62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136,054</w:t>
            </w:r>
          </w:p>
        </w:tc>
        <w:tc>
          <w:tcPr>
            <w:tcW w:w="540" w:type="dxa"/>
            <w:vAlign w:val="bottom"/>
          </w:tcPr>
          <w:p>
            <w:pPr>
              <w:jc w:val="center"/>
              <w:ind w:left="115"/>
              <w:spacing w:after="0"/>
              <w:rPr>
                <w:sz w:val="20"/>
                <w:szCs w:val="20"/>
                <w:color w:val="auto"/>
              </w:rPr>
            </w:pPr>
            <w:r>
              <w:rPr>
                <w:rFonts w:ascii="Arial" w:cs="Arial" w:eastAsia="Arial" w:hAnsi="Arial"/>
                <w:sz w:val="8"/>
                <w:szCs w:val="8"/>
                <w:color w:val="auto"/>
              </w:rPr>
              <w:t>-0.5%</w:t>
            </w:r>
          </w:p>
        </w:tc>
        <w:tc>
          <w:tcPr>
            <w:tcW w:w="980" w:type="dxa"/>
            <w:vAlign w:val="bottom"/>
            <w:tcBorders>
              <w:right w:val="single" w:sz="8" w:color="auto"/>
            </w:tcBorders>
          </w:tcPr>
          <w:p>
            <w:pPr>
              <w:jc w:val="center"/>
              <w:ind w:left="115"/>
              <w:spacing w:after="0"/>
              <w:rPr>
                <w:sz w:val="20"/>
                <w:szCs w:val="20"/>
                <w:color w:val="auto"/>
              </w:rPr>
            </w:pPr>
            <w:r>
              <w:rPr>
                <w:rFonts w:ascii="Arial" w:cs="Arial" w:eastAsia="Arial" w:hAnsi="Arial"/>
                <w:sz w:val="8"/>
                <w:szCs w:val="8"/>
                <w:color w:val="auto"/>
                <w:w w:val="96"/>
              </w:rPr>
              <w:t>23.0%</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ind w:right="18"/>
              <w:spacing w:after="0"/>
              <w:rPr>
                <w:sz w:val="20"/>
                <w:szCs w:val="20"/>
                <w:color w:val="auto"/>
              </w:rPr>
            </w:pPr>
            <w:r>
              <w:rPr>
                <w:rFonts w:ascii="Arial" w:cs="Arial" w:eastAsia="Arial" w:hAnsi="Arial"/>
                <w:sz w:val="8"/>
                <w:szCs w:val="8"/>
                <w:color w:val="auto"/>
              </w:rPr>
              <w:t>219,990</w:t>
            </w:r>
          </w:p>
        </w:tc>
        <w:tc>
          <w:tcPr>
            <w:tcW w:w="98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8"/>
                <w:szCs w:val="8"/>
                <w:color w:val="auto"/>
              </w:rPr>
              <w:t>272,813</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24.0%</w:t>
            </w:r>
          </w:p>
        </w:tc>
        <w:tc>
          <w:tcPr>
            <w:tcW w:w="0" w:type="dxa"/>
            <w:vAlign w:val="bottom"/>
          </w:tcPr>
          <w:p>
            <w:pPr>
              <w:spacing w:after="0"/>
              <w:rPr>
                <w:sz w:val="1"/>
                <w:szCs w:val="1"/>
                <w:color w:val="auto"/>
              </w:rPr>
            </w:pPr>
          </w:p>
        </w:tc>
      </w:tr>
      <w:tr>
        <w:trPr>
          <w:trHeight w:val="93"/>
        </w:trPr>
        <w:tc>
          <w:tcPr>
            <w:tcW w:w="3700" w:type="dxa"/>
            <w:vAlign w:val="bottom"/>
            <w:tcBorders>
              <w:left w:val="single" w:sz="8" w:color="auto"/>
              <w:right w:val="single" w:sz="8" w:color="auto"/>
            </w:tcBorders>
            <w:gridSpan w:val="2"/>
          </w:tcPr>
          <w:p>
            <w:pPr>
              <w:ind w:left="140"/>
              <w:spacing w:after="0"/>
              <w:rPr>
                <w:sz w:val="20"/>
                <w:szCs w:val="20"/>
                <w:color w:val="auto"/>
              </w:rPr>
            </w:pPr>
            <w:r>
              <w:rPr>
                <w:rFonts w:ascii="Arial" w:cs="Arial" w:eastAsia="Arial" w:hAnsi="Arial"/>
                <w:sz w:val="8"/>
                <w:szCs w:val="8"/>
                <w:b w:val="1"/>
                <w:bCs w:val="1"/>
                <w:color w:val="auto"/>
              </w:rPr>
              <w:t>Net Insurance Financial Expenses</w:t>
            </w:r>
          </w:p>
        </w:tc>
        <w:tc>
          <w:tcPr>
            <w:tcW w:w="1120" w:type="dxa"/>
            <w:vAlign w:val="bottom"/>
          </w:tcPr>
          <w:p>
            <w:pPr>
              <w:jc w:val="right"/>
              <w:ind w:right="159"/>
              <w:spacing w:after="0"/>
              <w:rPr>
                <w:sz w:val="20"/>
                <w:szCs w:val="20"/>
                <w:color w:val="auto"/>
              </w:rPr>
            </w:pPr>
            <w:r>
              <w:rPr>
                <w:rFonts w:ascii="Arial" w:cs="Arial" w:eastAsia="Arial" w:hAnsi="Arial"/>
                <w:sz w:val="8"/>
                <w:szCs w:val="8"/>
                <w:b w:val="1"/>
                <w:bCs w:val="1"/>
                <w:color w:val="auto"/>
              </w:rPr>
              <w:t>(115,166)</w:t>
            </w:r>
          </w:p>
        </w:tc>
        <w:tc>
          <w:tcPr>
            <w:tcW w:w="1200" w:type="dxa"/>
            <w:vAlign w:val="bottom"/>
          </w:tcPr>
          <w:p>
            <w:pPr>
              <w:jc w:val="right"/>
              <w:ind w:right="374"/>
              <w:spacing w:after="0"/>
              <w:rPr>
                <w:sz w:val="20"/>
                <w:szCs w:val="20"/>
                <w:color w:val="auto"/>
              </w:rPr>
            </w:pPr>
            <w:r>
              <w:rPr>
                <w:rFonts w:ascii="Arial" w:cs="Arial" w:eastAsia="Arial" w:hAnsi="Arial"/>
                <w:sz w:val="8"/>
                <w:szCs w:val="8"/>
                <w:b w:val="1"/>
                <w:bCs w:val="1"/>
                <w:color w:val="auto"/>
              </w:rPr>
              <w:t>(122,004)</w:t>
            </w:r>
          </w:p>
        </w:tc>
        <w:tc>
          <w:tcPr>
            <w:tcW w:w="62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b w:val="1"/>
                <w:bCs w:val="1"/>
                <w:color w:val="auto"/>
              </w:rPr>
              <w:t>(124,686)</w:t>
            </w:r>
          </w:p>
        </w:tc>
        <w:tc>
          <w:tcPr>
            <w:tcW w:w="540" w:type="dxa"/>
            <w:vAlign w:val="bottom"/>
          </w:tcPr>
          <w:p>
            <w:pPr>
              <w:jc w:val="center"/>
              <w:ind w:left="115"/>
              <w:spacing w:after="0"/>
              <w:rPr>
                <w:sz w:val="20"/>
                <w:szCs w:val="20"/>
                <w:color w:val="auto"/>
              </w:rPr>
            </w:pPr>
            <w:r>
              <w:rPr>
                <w:rFonts w:ascii="Arial" w:cs="Arial" w:eastAsia="Arial" w:hAnsi="Arial"/>
                <w:sz w:val="8"/>
                <w:szCs w:val="8"/>
                <w:b w:val="1"/>
                <w:bCs w:val="1"/>
                <w:color w:val="auto"/>
                <w:w w:val="98"/>
              </w:rPr>
              <w:t>2.2%</w:t>
            </w:r>
          </w:p>
        </w:tc>
        <w:tc>
          <w:tcPr>
            <w:tcW w:w="980" w:type="dxa"/>
            <w:vAlign w:val="bottom"/>
            <w:tcBorders>
              <w:right w:val="single" w:sz="8" w:color="auto"/>
            </w:tcBorders>
          </w:tcPr>
          <w:p>
            <w:pPr>
              <w:jc w:val="center"/>
              <w:ind w:left="115"/>
              <w:spacing w:after="0"/>
              <w:rPr>
                <w:sz w:val="20"/>
                <w:szCs w:val="20"/>
                <w:color w:val="auto"/>
              </w:rPr>
            </w:pPr>
            <w:r>
              <w:rPr>
                <w:rFonts w:ascii="Arial" w:cs="Arial" w:eastAsia="Arial" w:hAnsi="Arial"/>
                <w:sz w:val="8"/>
                <w:szCs w:val="8"/>
                <w:b w:val="1"/>
                <w:bCs w:val="1"/>
                <w:color w:val="auto"/>
                <w:w w:val="98"/>
              </w:rPr>
              <w:t>8.3%</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b w:val="1"/>
                <w:bCs w:val="1"/>
                <w:color w:val="auto"/>
              </w:rPr>
              <w:t>(230,916)</w:t>
            </w:r>
          </w:p>
        </w:tc>
        <w:tc>
          <w:tcPr>
            <w:tcW w:w="98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8"/>
                <w:szCs w:val="8"/>
                <w:b w:val="1"/>
                <w:bCs w:val="1"/>
                <w:color w:val="auto"/>
              </w:rPr>
              <w:t>(246,690)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6.8%</w:t>
            </w:r>
          </w:p>
        </w:tc>
        <w:tc>
          <w:tcPr>
            <w:tcW w:w="0" w:type="dxa"/>
            <w:vAlign w:val="bottom"/>
          </w:tcPr>
          <w:p>
            <w:pPr>
              <w:spacing w:after="0"/>
              <w:rPr>
                <w:sz w:val="1"/>
                <w:szCs w:val="1"/>
                <w:color w:val="auto"/>
              </w:rPr>
            </w:pPr>
          </w:p>
        </w:tc>
      </w:tr>
      <w:tr>
        <w:trPr>
          <w:trHeight w:val="103"/>
        </w:trPr>
        <w:tc>
          <w:tcPr>
            <w:tcW w:w="37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8"/>
                <w:szCs w:val="8"/>
                <w:b w:val="1"/>
                <w:bCs w:val="1"/>
                <w:color w:val="auto"/>
              </w:rPr>
              <w:t>Net interest income</w:t>
            </w:r>
          </w:p>
        </w:tc>
        <w:tc>
          <w:tcPr>
            <w:tcW w:w="1120" w:type="dxa"/>
            <w:vAlign w:val="bottom"/>
            <w:tcBorders>
              <w:bottom w:val="single" w:sz="8" w:color="auto"/>
            </w:tcBorders>
          </w:tcPr>
          <w:p>
            <w:pPr>
              <w:jc w:val="right"/>
              <w:ind w:right="179"/>
              <w:spacing w:after="0"/>
              <w:rPr>
                <w:sz w:val="20"/>
                <w:szCs w:val="20"/>
                <w:color w:val="auto"/>
              </w:rPr>
            </w:pPr>
            <w:r>
              <w:rPr>
                <w:rFonts w:ascii="Arial" w:cs="Arial" w:eastAsia="Arial" w:hAnsi="Arial"/>
                <w:sz w:val="8"/>
                <w:szCs w:val="8"/>
                <w:b w:val="1"/>
                <w:bCs w:val="1"/>
                <w:color w:val="auto"/>
              </w:rPr>
              <w:t>3,204,156</w:t>
            </w:r>
          </w:p>
        </w:tc>
        <w:tc>
          <w:tcPr>
            <w:tcW w:w="1200" w:type="dxa"/>
            <w:vAlign w:val="bottom"/>
            <w:tcBorders>
              <w:bottom w:val="single" w:sz="8" w:color="auto"/>
            </w:tcBorders>
          </w:tcPr>
          <w:p>
            <w:pPr>
              <w:jc w:val="right"/>
              <w:ind w:right="394"/>
              <w:spacing w:after="0"/>
              <w:rPr>
                <w:sz w:val="20"/>
                <w:szCs w:val="20"/>
                <w:color w:val="auto"/>
              </w:rPr>
            </w:pPr>
            <w:r>
              <w:rPr>
                <w:rFonts w:ascii="Arial" w:cs="Arial" w:eastAsia="Arial" w:hAnsi="Arial"/>
                <w:sz w:val="8"/>
                <w:szCs w:val="8"/>
                <w:b w:val="1"/>
                <w:bCs w:val="1"/>
                <w:color w:val="auto"/>
              </w:rPr>
              <w:t>3,426,123</w:t>
            </w:r>
          </w:p>
        </w:tc>
        <w:tc>
          <w:tcPr>
            <w:tcW w:w="62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8"/>
                <w:szCs w:val="8"/>
                <w:b w:val="1"/>
                <w:bCs w:val="1"/>
                <w:color w:val="auto"/>
              </w:rPr>
              <w:t>3,468,464</w:t>
            </w:r>
          </w:p>
        </w:tc>
        <w:tc>
          <w:tcPr>
            <w:tcW w:w="540" w:type="dxa"/>
            <w:vAlign w:val="bottom"/>
            <w:tcBorders>
              <w:bottom w:val="single" w:sz="8" w:color="auto"/>
            </w:tcBorders>
          </w:tcPr>
          <w:p>
            <w:pPr>
              <w:jc w:val="center"/>
              <w:ind w:left="115"/>
              <w:spacing w:after="0"/>
              <w:rPr>
                <w:sz w:val="20"/>
                <w:szCs w:val="20"/>
                <w:color w:val="auto"/>
              </w:rPr>
            </w:pPr>
            <w:r>
              <w:rPr>
                <w:rFonts w:ascii="Arial" w:cs="Arial" w:eastAsia="Arial" w:hAnsi="Arial"/>
                <w:sz w:val="8"/>
                <w:szCs w:val="8"/>
                <w:b w:val="1"/>
                <w:bCs w:val="1"/>
                <w:color w:val="auto"/>
                <w:w w:val="98"/>
              </w:rPr>
              <w:t>1.2%</w:t>
            </w:r>
          </w:p>
        </w:tc>
        <w:tc>
          <w:tcPr>
            <w:tcW w:w="980" w:type="dxa"/>
            <w:vAlign w:val="bottom"/>
            <w:tcBorders>
              <w:bottom w:val="single" w:sz="8" w:color="auto"/>
              <w:right w:val="single" w:sz="8" w:color="auto"/>
            </w:tcBorders>
          </w:tcPr>
          <w:p>
            <w:pPr>
              <w:jc w:val="center"/>
              <w:ind w:left="115"/>
              <w:spacing w:after="0"/>
              <w:rPr>
                <w:sz w:val="20"/>
                <w:szCs w:val="20"/>
                <w:color w:val="auto"/>
              </w:rPr>
            </w:pPr>
            <w:r>
              <w:rPr>
                <w:rFonts w:ascii="Arial" w:cs="Arial" w:eastAsia="Arial" w:hAnsi="Arial"/>
                <w:sz w:val="8"/>
                <w:szCs w:val="8"/>
                <w:b w:val="1"/>
                <w:bCs w:val="1"/>
                <w:color w:val="auto"/>
                <w:w w:val="98"/>
              </w:rPr>
              <w:t>8.2%</w:t>
            </w: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rPr>
              <w:t>6,336,245</w:t>
            </w:r>
          </w:p>
        </w:tc>
        <w:tc>
          <w:tcPr>
            <w:tcW w:w="980" w:type="dxa"/>
            <w:vAlign w:val="bottom"/>
            <w:tcBorders>
              <w:bottom w:val="single" w:sz="8" w:color="auto"/>
              <w:right w:val="single" w:sz="8" w:color="auto"/>
            </w:tcBorders>
            <w:gridSpan w:val="3"/>
          </w:tcPr>
          <w:p>
            <w:pPr>
              <w:jc w:val="right"/>
              <w:ind w:right="60"/>
              <w:spacing w:after="0"/>
              <w:rPr>
                <w:sz w:val="20"/>
                <w:szCs w:val="20"/>
                <w:color w:val="auto"/>
              </w:rPr>
            </w:pPr>
            <w:r>
              <w:rPr>
                <w:rFonts w:ascii="Arial" w:cs="Arial" w:eastAsia="Arial" w:hAnsi="Arial"/>
                <w:sz w:val="8"/>
                <w:szCs w:val="8"/>
                <w:b w:val="1"/>
                <w:bCs w:val="1"/>
                <w:color w:val="auto"/>
              </w:rPr>
              <w:t>6,894,587</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8.8%</w:t>
            </w:r>
          </w:p>
        </w:tc>
        <w:tc>
          <w:tcPr>
            <w:tcW w:w="0" w:type="dxa"/>
            <w:vAlign w:val="bottom"/>
          </w:tcPr>
          <w:p>
            <w:pPr>
              <w:spacing w:after="0"/>
              <w:rPr>
                <w:sz w:val="1"/>
                <w:szCs w:val="1"/>
                <w:color w:val="auto"/>
              </w:rPr>
            </w:pPr>
          </w:p>
        </w:tc>
      </w:tr>
      <w:tr>
        <w:trPr>
          <w:trHeight w:val="83"/>
        </w:trPr>
        <w:tc>
          <w:tcPr>
            <w:tcW w:w="3700" w:type="dxa"/>
            <w:vAlign w:val="bottom"/>
            <w:tcBorders>
              <w:left w:val="single" w:sz="8" w:color="auto"/>
              <w:bottom w:val="single" w:sz="8" w:color="auto"/>
              <w:right w:val="single" w:sz="8" w:color="auto"/>
            </w:tcBorders>
            <w:gridSpan w:val="2"/>
          </w:tcPr>
          <w:p>
            <w:pPr>
              <w:ind w:left="40"/>
              <w:spacing w:after="0" w:line="83" w:lineRule="exact"/>
              <w:rPr>
                <w:sz w:val="20"/>
                <w:szCs w:val="20"/>
                <w:color w:val="auto"/>
              </w:rPr>
            </w:pPr>
            <w:r>
              <w:rPr>
                <w:rFonts w:ascii="Arial" w:cs="Arial" w:eastAsia="Arial" w:hAnsi="Arial"/>
                <w:sz w:val="8"/>
                <w:szCs w:val="8"/>
                <w:b w:val="1"/>
                <w:bCs w:val="1"/>
                <w:color w:val="auto"/>
              </w:rPr>
              <w:t>Risk-adjusted Net interest income</w:t>
            </w:r>
          </w:p>
        </w:tc>
        <w:tc>
          <w:tcPr>
            <w:tcW w:w="1120" w:type="dxa"/>
            <w:vAlign w:val="bottom"/>
            <w:tcBorders>
              <w:bottom w:val="single" w:sz="8" w:color="auto"/>
            </w:tcBorders>
          </w:tcPr>
          <w:p>
            <w:pPr>
              <w:jc w:val="right"/>
              <w:ind w:right="179"/>
              <w:spacing w:after="0" w:line="83" w:lineRule="exact"/>
              <w:rPr>
                <w:sz w:val="20"/>
                <w:szCs w:val="20"/>
                <w:color w:val="auto"/>
              </w:rPr>
            </w:pPr>
            <w:r>
              <w:rPr>
                <w:rFonts w:ascii="Arial" w:cs="Arial" w:eastAsia="Arial" w:hAnsi="Arial"/>
                <w:sz w:val="8"/>
                <w:szCs w:val="8"/>
                <w:b w:val="1"/>
                <w:bCs w:val="1"/>
                <w:color w:val="auto"/>
              </w:rPr>
              <w:t>2,399,905</w:t>
            </w:r>
          </w:p>
        </w:tc>
        <w:tc>
          <w:tcPr>
            <w:tcW w:w="1200" w:type="dxa"/>
            <w:vAlign w:val="bottom"/>
            <w:tcBorders>
              <w:bottom w:val="single" w:sz="8" w:color="auto"/>
            </w:tcBorders>
          </w:tcPr>
          <w:p>
            <w:pPr>
              <w:jc w:val="right"/>
              <w:ind w:right="394"/>
              <w:spacing w:after="0" w:line="83" w:lineRule="exact"/>
              <w:rPr>
                <w:sz w:val="20"/>
                <w:szCs w:val="20"/>
                <w:color w:val="auto"/>
              </w:rPr>
            </w:pPr>
            <w:r>
              <w:rPr>
                <w:rFonts w:ascii="Arial" w:cs="Arial" w:eastAsia="Arial" w:hAnsi="Arial"/>
                <w:sz w:val="8"/>
                <w:szCs w:val="8"/>
                <w:b w:val="1"/>
                <w:bCs w:val="1"/>
                <w:color w:val="auto"/>
              </w:rPr>
              <w:t>2,611,424</w:t>
            </w:r>
          </w:p>
        </w:tc>
        <w:tc>
          <w:tcPr>
            <w:tcW w:w="620" w:type="dxa"/>
            <w:vAlign w:val="bottom"/>
            <w:tcBorders>
              <w:bottom w:val="single" w:sz="8" w:color="auto"/>
              <w:right w:val="single" w:sz="8" w:color="auto"/>
            </w:tcBorders>
          </w:tcPr>
          <w:p>
            <w:pPr>
              <w:jc w:val="right"/>
              <w:ind w:right="39"/>
              <w:spacing w:after="0" w:line="83" w:lineRule="exact"/>
              <w:rPr>
                <w:sz w:val="20"/>
                <w:szCs w:val="20"/>
                <w:color w:val="auto"/>
              </w:rPr>
            </w:pPr>
            <w:r>
              <w:rPr>
                <w:rFonts w:ascii="Arial" w:cs="Arial" w:eastAsia="Arial" w:hAnsi="Arial"/>
                <w:sz w:val="8"/>
                <w:szCs w:val="8"/>
                <w:b w:val="1"/>
                <w:bCs w:val="1"/>
                <w:color w:val="auto"/>
              </w:rPr>
              <w:t>2,375,093</w:t>
            </w:r>
          </w:p>
        </w:tc>
        <w:tc>
          <w:tcPr>
            <w:tcW w:w="540" w:type="dxa"/>
            <w:vAlign w:val="bottom"/>
            <w:tcBorders>
              <w:bottom w:val="single" w:sz="8" w:color="auto"/>
            </w:tcBorders>
          </w:tcPr>
          <w:p>
            <w:pPr>
              <w:jc w:val="center"/>
              <w:ind w:left="115"/>
              <w:spacing w:after="0" w:line="83" w:lineRule="exact"/>
              <w:rPr>
                <w:sz w:val="20"/>
                <w:szCs w:val="20"/>
                <w:color w:val="auto"/>
              </w:rPr>
            </w:pPr>
            <w:r>
              <w:rPr>
                <w:rFonts w:ascii="Arial" w:cs="Arial" w:eastAsia="Arial" w:hAnsi="Arial"/>
                <w:sz w:val="8"/>
                <w:szCs w:val="8"/>
                <w:b w:val="1"/>
                <w:bCs w:val="1"/>
                <w:color w:val="auto"/>
              </w:rPr>
              <w:t>-9.0%</w:t>
            </w:r>
          </w:p>
        </w:tc>
        <w:tc>
          <w:tcPr>
            <w:tcW w:w="980" w:type="dxa"/>
            <w:vAlign w:val="bottom"/>
            <w:tcBorders>
              <w:bottom w:val="single" w:sz="8" w:color="auto"/>
              <w:right w:val="single" w:sz="8" w:color="auto"/>
            </w:tcBorders>
          </w:tcPr>
          <w:p>
            <w:pPr>
              <w:jc w:val="center"/>
              <w:ind w:left="115"/>
              <w:spacing w:after="0" w:line="83" w:lineRule="exact"/>
              <w:rPr>
                <w:sz w:val="20"/>
                <w:szCs w:val="20"/>
                <w:color w:val="auto"/>
              </w:rPr>
            </w:pPr>
            <w:r>
              <w:rPr>
                <w:rFonts w:ascii="Arial" w:cs="Arial" w:eastAsia="Arial" w:hAnsi="Arial"/>
                <w:sz w:val="8"/>
                <w:szCs w:val="8"/>
                <w:b w:val="1"/>
                <w:bCs w:val="1"/>
                <w:color w:val="auto"/>
              </w:rPr>
              <w:t>-1.0%</w:t>
            </w:r>
          </w:p>
        </w:tc>
        <w:tc>
          <w:tcPr>
            <w:tcW w:w="2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ind w:right="18"/>
              <w:spacing w:after="0" w:line="83" w:lineRule="exact"/>
              <w:rPr>
                <w:sz w:val="20"/>
                <w:szCs w:val="20"/>
                <w:color w:val="auto"/>
              </w:rPr>
            </w:pPr>
            <w:r>
              <w:rPr>
                <w:rFonts w:ascii="Arial" w:cs="Arial" w:eastAsia="Arial" w:hAnsi="Arial"/>
                <w:sz w:val="8"/>
                <w:szCs w:val="8"/>
                <w:b w:val="1"/>
                <w:bCs w:val="1"/>
                <w:color w:val="auto"/>
              </w:rPr>
              <w:t>4,804,996</w:t>
            </w:r>
          </w:p>
        </w:tc>
        <w:tc>
          <w:tcPr>
            <w:tcW w:w="980" w:type="dxa"/>
            <w:vAlign w:val="bottom"/>
            <w:tcBorders>
              <w:bottom w:val="single" w:sz="8" w:color="auto"/>
              <w:right w:val="single" w:sz="8" w:color="auto"/>
            </w:tcBorders>
            <w:gridSpan w:val="3"/>
          </w:tcPr>
          <w:p>
            <w:pPr>
              <w:jc w:val="right"/>
              <w:ind w:right="60"/>
              <w:spacing w:after="0" w:line="83" w:lineRule="exact"/>
              <w:rPr>
                <w:sz w:val="20"/>
                <w:szCs w:val="20"/>
                <w:color w:val="auto"/>
              </w:rPr>
            </w:pPr>
            <w:r>
              <w:rPr>
                <w:rFonts w:ascii="Arial" w:cs="Arial" w:eastAsia="Arial" w:hAnsi="Arial"/>
                <w:sz w:val="8"/>
                <w:szCs w:val="8"/>
                <w:b w:val="1"/>
                <w:bCs w:val="1"/>
                <w:color w:val="auto"/>
              </w:rPr>
              <w:t>4,986,517</w:t>
            </w:r>
          </w:p>
        </w:tc>
        <w:tc>
          <w:tcPr>
            <w:tcW w:w="760" w:type="dxa"/>
            <w:vAlign w:val="bottom"/>
            <w:tcBorders>
              <w:bottom w:val="single" w:sz="8" w:color="auto"/>
              <w:right w:val="single" w:sz="8" w:color="auto"/>
            </w:tcBorders>
          </w:tcPr>
          <w:p>
            <w:pPr>
              <w:jc w:val="center"/>
              <w:spacing w:after="0" w:line="83" w:lineRule="exact"/>
              <w:rPr>
                <w:sz w:val="20"/>
                <w:szCs w:val="20"/>
                <w:color w:val="auto"/>
              </w:rPr>
            </w:pPr>
            <w:r>
              <w:rPr>
                <w:rFonts w:ascii="Arial" w:cs="Arial" w:eastAsia="Arial" w:hAnsi="Arial"/>
                <w:sz w:val="8"/>
                <w:szCs w:val="8"/>
                <w:b w:val="1"/>
                <w:bCs w:val="1"/>
                <w:color w:val="auto"/>
                <w:w w:val="98"/>
              </w:rPr>
              <w:t>3.8%</w:t>
            </w:r>
          </w:p>
        </w:tc>
        <w:tc>
          <w:tcPr>
            <w:tcW w:w="0" w:type="dxa"/>
            <w:vAlign w:val="bottom"/>
          </w:tcPr>
          <w:p>
            <w:pPr>
              <w:spacing w:after="0"/>
              <w:rPr>
                <w:sz w:val="1"/>
                <w:szCs w:val="1"/>
                <w:color w:val="auto"/>
              </w:rPr>
            </w:pPr>
          </w:p>
        </w:tc>
      </w:tr>
      <w:tr>
        <w:trPr>
          <w:trHeight w:val="83"/>
        </w:trPr>
        <w:tc>
          <w:tcPr>
            <w:tcW w:w="3700" w:type="dxa"/>
            <w:vAlign w:val="bottom"/>
            <w:tcBorders>
              <w:left w:val="single" w:sz="8" w:color="auto"/>
              <w:bottom w:val="single" w:sz="8" w:color="auto"/>
              <w:right w:val="single" w:sz="8" w:color="auto"/>
            </w:tcBorders>
            <w:gridSpan w:val="2"/>
          </w:tcPr>
          <w:p>
            <w:pPr>
              <w:ind w:left="40"/>
              <w:spacing w:after="0" w:line="83" w:lineRule="exact"/>
              <w:rPr>
                <w:sz w:val="20"/>
                <w:szCs w:val="20"/>
                <w:color w:val="auto"/>
              </w:rPr>
            </w:pPr>
            <w:r>
              <w:rPr>
                <w:rFonts w:ascii="Arial" w:cs="Arial" w:eastAsia="Arial" w:hAnsi="Arial"/>
                <w:sz w:val="8"/>
                <w:szCs w:val="8"/>
                <w:color w:val="auto"/>
              </w:rPr>
              <w:t>Average interest earning assets</w:t>
            </w:r>
          </w:p>
        </w:tc>
        <w:tc>
          <w:tcPr>
            <w:tcW w:w="1120" w:type="dxa"/>
            <w:vAlign w:val="bottom"/>
            <w:tcBorders>
              <w:bottom w:val="single" w:sz="8" w:color="auto"/>
            </w:tcBorders>
          </w:tcPr>
          <w:p>
            <w:pPr>
              <w:jc w:val="right"/>
              <w:ind w:right="179"/>
              <w:spacing w:after="0" w:line="83" w:lineRule="exact"/>
              <w:rPr>
                <w:sz w:val="20"/>
                <w:szCs w:val="20"/>
                <w:color w:val="auto"/>
              </w:rPr>
            </w:pPr>
            <w:r>
              <w:rPr>
                <w:rFonts w:ascii="Arial" w:cs="Arial" w:eastAsia="Arial" w:hAnsi="Arial"/>
                <w:sz w:val="8"/>
                <w:szCs w:val="8"/>
                <w:color w:val="auto"/>
              </w:rPr>
              <w:t>220,651,688</w:t>
            </w:r>
          </w:p>
        </w:tc>
        <w:tc>
          <w:tcPr>
            <w:tcW w:w="1200" w:type="dxa"/>
            <w:vAlign w:val="bottom"/>
            <w:tcBorders>
              <w:bottom w:val="single" w:sz="8" w:color="auto"/>
            </w:tcBorders>
          </w:tcPr>
          <w:p>
            <w:pPr>
              <w:jc w:val="right"/>
              <w:ind w:right="394"/>
              <w:spacing w:after="0" w:line="83" w:lineRule="exact"/>
              <w:rPr>
                <w:sz w:val="20"/>
                <w:szCs w:val="20"/>
                <w:color w:val="auto"/>
              </w:rPr>
            </w:pPr>
            <w:r>
              <w:rPr>
                <w:rFonts w:ascii="Arial" w:cs="Arial" w:eastAsia="Arial" w:hAnsi="Arial"/>
                <w:sz w:val="8"/>
                <w:szCs w:val="8"/>
                <w:color w:val="auto"/>
              </w:rPr>
              <w:t>225,297,538</w:t>
            </w:r>
          </w:p>
        </w:tc>
        <w:tc>
          <w:tcPr>
            <w:tcW w:w="620" w:type="dxa"/>
            <w:vAlign w:val="bottom"/>
            <w:tcBorders>
              <w:bottom w:val="single" w:sz="8" w:color="auto"/>
              <w:right w:val="single" w:sz="8" w:color="auto"/>
            </w:tcBorders>
          </w:tcPr>
          <w:p>
            <w:pPr>
              <w:jc w:val="right"/>
              <w:ind w:right="39"/>
              <w:spacing w:after="0" w:line="83" w:lineRule="exact"/>
              <w:rPr>
                <w:sz w:val="20"/>
                <w:szCs w:val="20"/>
                <w:color w:val="auto"/>
              </w:rPr>
            </w:pPr>
            <w:r>
              <w:rPr>
                <w:rFonts w:ascii="Arial" w:cs="Arial" w:eastAsia="Arial" w:hAnsi="Arial"/>
                <w:sz w:val="8"/>
                <w:szCs w:val="8"/>
                <w:color w:val="auto"/>
              </w:rPr>
              <w:t>227,161,179</w:t>
            </w:r>
          </w:p>
        </w:tc>
        <w:tc>
          <w:tcPr>
            <w:tcW w:w="540" w:type="dxa"/>
            <w:vAlign w:val="bottom"/>
            <w:tcBorders>
              <w:bottom w:val="single" w:sz="8" w:color="auto"/>
            </w:tcBorders>
          </w:tcPr>
          <w:p>
            <w:pPr>
              <w:jc w:val="center"/>
              <w:ind w:left="115"/>
              <w:spacing w:after="0" w:line="83" w:lineRule="exact"/>
              <w:rPr>
                <w:sz w:val="20"/>
                <w:szCs w:val="20"/>
                <w:color w:val="auto"/>
              </w:rPr>
            </w:pPr>
            <w:r>
              <w:rPr>
                <w:rFonts w:ascii="Arial" w:cs="Arial" w:eastAsia="Arial" w:hAnsi="Arial"/>
                <w:sz w:val="8"/>
                <w:szCs w:val="8"/>
                <w:color w:val="auto"/>
                <w:w w:val="98"/>
              </w:rPr>
              <w:t>0.8%</w:t>
            </w:r>
          </w:p>
        </w:tc>
        <w:tc>
          <w:tcPr>
            <w:tcW w:w="980" w:type="dxa"/>
            <w:vAlign w:val="bottom"/>
            <w:tcBorders>
              <w:bottom w:val="single" w:sz="8" w:color="auto"/>
              <w:right w:val="single" w:sz="8" w:color="auto"/>
            </w:tcBorders>
          </w:tcPr>
          <w:p>
            <w:pPr>
              <w:jc w:val="center"/>
              <w:ind w:left="115"/>
              <w:spacing w:after="0" w:line="83" w:lineRule="exact"/>
              <w:rPr>
                <w:sz w:val="20"/>
                <w:szCs w:val="20"/>
                <w:color w:val="auto"/>
              </w:rPr>
            </w:pPr>
            <w:r>
              <w:rPr>
                <w:rFonts w:ascii="Arial" w:cs="Arial" w:eastAsia="Arial" w:hAnsi="Arial"/>
                <w:sz w:val="8"/>
                <w:szCs w:val="8"/>
                <w:color w:val="auto"/>
                <w:w w:val="98"/>
              </w:rPr>
              <w:t>3.0%</w:t>
            </w:r>
          </w:p>
        </w:tc>
        <w:tc>
          <w:tcPr>
            <w:tcW w:w="2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ind w:right="18"/>
              <w:spacing w:after="0" w:line="83" w:lineRule="exact"/>
              <w:rPr>
                <w:sz w:val="20"/>
                <w:szCs w:val="20"/>
                <w:color w:val="auto"/>
              </w:rPr>
            </w:pPr>
            <w:r>
              <w:rPr>
                <w:rFonts w:ascii="Arial" w:cs="Arial" w:eastAsia="Arial" w:hAnsi="Arial"/>
                <w:sz w:val="8"/>
                <w:szCs w:val="8"/>
                <w:color w:val="auto"/>
              </w:rPr>
              <w:t>220,418,854</w:t>
            </w:r>
          </w:p>
        </w:tc>
        <w:tc>
          <w:tcPr>
            <w:tcW w:w="980" w:type="dxa"/>
            <w:vAlign w:val="bottom"/>
            <w:tcBorders>
              <w:bottom w:val="single" w:sz="8" w:color="auto"/>
              <w:right w:val="single" w:sz="8" w:color="auto"/>
            </w:tcBorders>
            <w:gridSpan w:val="3"/>
          </w:tcPr>
          <w:p>
            <w:pPr>
              <w:jc w:val="right"/>
              <w:ind w:right="60"/>
              <w:spacing w:after="0" w:line="83" w:lineRule="exact"/>
              <w:rPr>
                <w:sz w:val="20"/>
                <w:szCs w:val="20"/>
                <w:color w:val="auto"/>
              </w:rPr>
            </w:pPr>
            <w:r>
              <w:rPr>
                <w:rFonts w:ascii="Arial" w:cs="Arial" w:eastAsia="Arial" w:hAnsi="Arial"/>
                <w:sz w:val="8"/>
                <w:szCs w:val="8"/>
                <w:color w:val="auto"/>
              </w:rPr>
              <w:t>226,444,444</w:t>
            </w:r>
          </w:p>
        </w:tc>
        <w:tc>
          <w:tcPr>
            <w:tcW w:w="760" w:type="dxa"/>
            <w:vAlign w:val="bottom"/>
            <w:tcBorders>
              <w:bottom w:val="single" w:sz="8" w:color="auto"/>
              <w:right w:val="single" w:sz="8" w:color="auto"/>
            </w:tcBorders>
          </w:tcPr>
          <w:p>
            <w:pPr>
              <w:jc w:val="center"/>
              <w:spacing w:after="0" w:line="83" w:lineRule="exact"/>
              <w:rPr>
                <w:sz w:val="20"/>
                <w:szCs w:val="20"/>
                <w:color w:val="auto"/>
              </w:rPr>
            </w:pPr>
            <w:r>
              <w:rPr>
                <w:rFonts w:ascii="Arial" w:cs="Arial" w:eastAsia="Arial" w:hAnsi="Arial"/>
                <w:sz w:val="8"/>
                <w:szCs w:val="8"/>
                <w:color w:val="auto"/>
                <w:w w:val="98"/>
              </w:rPr>
              <w:t>2.7%</w:t>
            </w:r>
          </w:p>
        </w:tc>
        <w:tc>
          <w:tcPr>
            <w:tcW w:w="0" w:type="dxa"/>
            <w:vAlign w:val="bottom"/>
          </w:tcPr>
          <w:p>
            <w:pPr>
              <w:spacing w:after="0"/>
              <w:rPr>
                <w:sz w:val="1"/>
                <w:szCs w:val="1"/>
                <w:color w:val="auto"/>
              </w:rPr>
            </w:pPr>
          </w:p>
        </w:tc>
      </w:tr>
      <w:tr>
        <w:trPr>
          <w:trHeight w:val="66"/>
        </w:trPr>
        <w:tc>
          <w:tcPr>
            <w:tcW w:w="3700" w:type="dxa"/>
            <w:vAlign w:val="bottom"/>
            <w:tcBorders>
              <w:left w:val="single" w:sz="8" w:color="auto"/>
              <w:right w:val="single" w:sz="8" w:color="auto"/>
            </w:tcBorders>
            <w:gridSpan w:val="2"/>
          </w:tcPr>
          <w:p>
            <w:pPr>
              <w:ind w:left="40"/>
              <w:spacing w:after="0" w:line="67" w:lineRule="exact"/>
              <w:rPr>
                <w:sz w:val="20"/>
                <w:szCs w:val="20"/>
                <w:color w:val="auto"/>
              </w:rPr>
            </w:pPr>
            <w:r>
              <w:rPr>
                <w:rFonts w:ascii="Arial" w:cs="Arial" w:eastAsia="Arial" w:hAnsi="Arial"/>
                <w:sz w:val="5"/>
                <w:szCs w:val="5"/>
                <w:b w:val="1"/>
                <w:bCs w:val="1"/>
                <w:color w:val="auto"/>
              </w:rPr>
              <w:t xml:space="preserve">Net interest margin </w:t>
            </w:r>
            <w:r>
              <w:rPr>
                <w:rFonts w:ascii="Arial" w:cs="Arial" w:eastAsia="Arial" w:hAnsi="Arial"/>
                <w:sz w:val="7"/>
                <w:szCs w:val="7"/>
                <w:b w:val="1"/>
                <w:bCs w:val="1"/>
                <w:color w:val="auto"/>
                <w:vertAlign w:val="superscript"/>
              </w:rPr>
              <w:t>(1)</w:t>
            </w:r>
          </w:p>
        </w:tc>
        <w:tc>
          <w:tcPr>
            <w:tcW w:w="1120" w:type="dxa"/>
            <w:vAlign w:val="bottom"/>
          </w:tcPr>
          <w:p>
            <w:pPr>
              <w:jc w:val="right"/>
              <w:ind w:right="159"/>
              <w:spacing w:after="0" w:line="67" w:lineRule="exact"/>
              <w:rPr>
                <w:sz w:val="20"/>
                <w:szCs w:val="20"/>
                <w:color w:val="auto"/>
              </w:rPr>
            </w:pPr>
            <w:r>
              <w:rPr>
                <w:rFonts w:ascii="Arial" w:cs="Arial" w:eastAsia="Arial" w:hAnsi="Arial"/>
                <w:sz w:val="7"/>
                <w:szCs w:val="7"/>
                <w:b w:val="1"/>
                <w:bCs w:val="1"/>
                <w:color w:val="auto"/>
              </w:rPr>
              <w:t>6.02%</w:t>
            </w:r>
          </w:p>
        </w:tc>
        <w:tc>
          <w:tcPr>
            <w:tcW w:w="1200" w:type="dxa"/>
            <w:vAlign w:val="bottom"/>
          </w:tcPr>
          <w:p>
            <w:pPr>
              <w:jc w:val="right"/>
              <w:ind w:right="374"/>
              <w:spacing w:after="0" w:line="67" w:lineRule="exact"/>
              <w:rPr>
                <w:sz w:val="20"/>
                <w:szCs w:val="20"/>
                <w:color w:val="auto"/>
              </w:rPr>
            </w:pPr>
            <w:r>
              <w:rPr>
                <w:rFonts w:ascii="Arial" w:cs="Arial" w:eastAsia="Arial" w:hAnsi="Arial"/>
                <w:sz w:val="7"/>
                <w:szCs w:val="7"/>
                <w:b w:val="1"/>
                <w:bCs w:val="1"/>
                <w:color w:val="auto"/>
              </w:rPr>
              <w:t>6.30%</w:t>
            </w:r>
          </w:p>
        </w:tc>
        <w:tc>
          <w:tcPr>
            <w:tcW w:w="620" w:type="dxa"/>
            <w:vAlign w:val="bottom"/>
            <w:tcBorders>
              <w:right w:val="single" w:sz="8" w:color="auto"/>
            </w:tcBorders>
          </w:tcPr>
          <w:p>
            <w:pPr>
              <w:jc w:val="right"/>
              <w:ind w:right="19"/>
              <w:spacing w:after="0" w:line="67" w:lineRule="exact"/>
              <w:rPr>
                <w:sz w:val="20"/>
                <w:szCs w:val="20"/>
                <w:color w:val="auto"/>
              </w:rPr>
            </w:pPr>
            <w:r>
              <w:rPr>
                <w:rFonts w:ascii="Arial" w:cs="Arial" w:eastAsia="Arial" w:hAnsi="Arial"/>
                <w:sz w:val="7"/>
                <w:szCs w:val="7"/>
                <w:b w:val="1"/>
                <w:bCs w:val="1"/>
                <w:color w:val="auto"/>
              </w:rPr>
              <w:t>6.33%</w:t>
            </w:r>
          </w:p>
        </w:tc>
        <w:tc>
          <w:tcPr>
            <w:tcW w:w="540" w:type="dxa"/>
            <w:vAlign w:val="bottom"/>
          </w:tcPr>
          <w:p>
            <w:pPr>
              <w:jc w:val="center"/>
              <w:ind w:left="135"/>
              <w:spacing w:after="0" w:line="67" w:lineRule="exact"/>
              <w:rPr>
                <w:sz w:val="20"/>
                <w:szCs w:val="20"/>
                <w:color w:val="auto"/>
              </w:rPr>
            </w:pPr>
            <w:r>
              <w:rPr>
                <w:rFonts w:ascii="Arial" w:cs="Arial" w:eastAsia="Arial" w:hAnsi="Arial"/>
                <w:sz w:val="7"/>
                <w:szCs w:val="7"/>
                <w:b w:val="1"/>
                <w:bCs w:val="1"/>
                <w:color w:val="auto"/>
              </w:rPr>
              <w:t>3bps</w:t>
            </w:r>
          </w:p>
        </w:tc>
        <w:tc>
          <w:tcPr>
            <w:tcW w:w="980" w:type="dxa"/>
            <w:vAlign w:val="bottom"/>
            <w:tcBorders>
              <w:right w:val="single" w:sz="8" w:color="auto"/>
            </w:tcBorders>
          </w:tcPr>
          <w:p>
            <w:pPr>
              <w:jc w:val="center"/>
              <w:ind w:left="135"/>
              <w:spacing w:after="0" w:line="67" w:lineRule="exact"/>
              <w:rPr>
                <w:sz w:val="20"/>
                <w:szCs w:val="20"/>
                <w:color w:val="auto"/>
              </w:rPr>
            </w:pPr>
            <w:r>
              <w:rPr>
                <w:rFonts w:ascii="Arial" w:cs="Arial" w:eastAsia="Arial" w:hAnsi="Arial"/>
                <w:sz w:val="7"/>
                <w:szCs w:val="7"/>
                <w:b w:val="1"/>
                <w:bCs w:val="1"/>
                <w:color w:val="auto"/>
              </w:rPr>
              <w:t>31bps</w:t>
            </w: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jc w:val="right"/>
              <w:spacing w:after="0" w:line="67" w:lineRule="exact"/>
              <w:rPr>
                <w:sz w:val="20"/>
                <w:szCs w:val="20"/>
                <w:color w:val="auto"/>
              </w:rPr>
            </w:pPr>
            <w:r>
              <w:rPr>
                <w:rFonts w:ascii="Arial" w:cs="Arial" w:eastAsia="Arial" w:hAnsi="Arial"/>
                <w:sz w:val="7"/>
                <w:szCs w:val="7"/>
                <w:b w:val="1"/>
                <w:bCs w:val="1"/>
                <w:color w:val="auto"/>
              </w:rPr>
              <w:t>5.96%</w:t>
            </w:r>
          </w:p>
        </w:tc>
        <w:tc>
          <w:tcPr>
            <w:tcW w:w="980" w:type="dxa"/>
            <w:vAlign w:val="bottom"/>
            <w:tcBorders>
              <w:right w:val="single" w:sz="8" w:color="auto"/>
            </w:tcBorders>
            <w:gridSpan w:val="3"/>
          </w:tcPr>
          <w:p>
            <w:pPr>
              <w:jc w:val="right"/>
              <w:ind w:right="40"/>
              <w:spacing w:after="0" w:line="67" w:lineRule="exact"/>
              <w:rPr>
                <w:sz w:val="20"/>
                <w:szCs w:val="20"/>
                <w:color w:val="auto"/>
              </w:rPr>
            </w:pPr>
            <w:r>
              <w:rPr>
                <w:rFonts w:ascii="Arial" w:cs="Arial" w:eastAsia="Arial" w:hAnsi="Arial"/>
                <w:sz w:val="7"/>
                <w:szCs w:val="7"/>
                <w:b w:val="1"/>
                <w:bCs w:val="1"/>
                <w:color w:val="auto"/>
              </w:rPr>
              <w:t>6.31%</w:t>
            </w:r>
          </w:p>
        </w:tc>
        <w:tc>
          <w:tcPr>
            <w:tcW w:w="760" w:type="dxa"/>
            <w:vAlign w:val="bottom"/>
            <w:tcBorders>
              <w:right w:val="single" w:sz="8" w:color="auto"/>
            </w:tcBorders>
          </w:tcPr>
          <w:p>
            <w:pPr>
              <w:jc w:val="center"/>
              <w:spacing w:after="0" w:line="67" w:lineRule="exact"/>
              <w:rPr>
                <w:sz w:val="20"/>
                <w:szCs w:val="20"/>
                <w:color w:val="auto"/>
              </w:rPr>
            </w:pPr>
            <w:r>
              <w:rPr>
                <w:rFonts w:ascii="Arial" w:cs="Arial" w:eastAsia="Arial" w:hAnsi="Arial"/>
                <w:sz w:val="7"/>
                <w:szCs w:val="7"/>
                <w:b w:val="1"/>
                <w:bCs w:val="1"/>
                <w:color w:val="auto"/>
              </w:rPr>
              <w:t>35bps</w:t>
            </w:r>
          </w:p>
        </w:tc>
        <w:tc>
          <w:tcPr>
            <w:tcW w:w="0" w:type="dxa"/>
            <w:vAlign w:val="bottom"/>
          </w:tcPr>
          <w:p>
            <w:pPr>
              <w:spacing w:after="0"/>
              <w:rPr>
                <w:sz w:val="1"/>
                <w:szCs w:val="1"/>
                <w:color w:val="auto"/>
              </w:rPr>
            </w:pPr>
          </w:p>
        </w:tc>
      </w:tr>
      <w:tr>
        <w:trPr>
          <w:trHeight w:val="99"/>
        </w:trPr>
        <w:tc>
          <w:tcPr>
            <w:tcW w:w="3700" w:type="dxa"/>
            <w:vAlign w:val="bottom"/>
            <w:tcBorders>
              <w:left w:val="single" w:sz="8" w:color="auto"/>
              <w:right w:val="single" w:sz="8" w:color="auto"/>
            </w:tcBorders>
            <w:gridSpan w:val="2"/>
          </w:tcPr>
          <w:p>
            <w:pPr>
              <w:ind w:left="40"/>
              <w:spacing w:after="0" w:line="99" w:lineRule="exact"/>
              <w:rPr>
                <w:sz w:val="20"/>
                <w:szCs w:val="20"/>
                <w:color w:val="auto"/>
              </w:rPr>
            </w:pPr>
            <w:r>
              <w:rPr>
                <w:rFonts w:ascii="Arial" w:cs="Arial" w:eastAsia="Arial" w:hAnsi="Arial"/>
                <w:sz w:val="7"/>
                <w:szCs w:val="7"/>
                <w:b w:val="1"/>
                <w:bCs w:val="1"/>
                <w:color w:val="auto"/>
              </w:rPr>
              <w:t xml:space="preserve">Risk-adjusted Net interest margin </w:t>
            </w:r>
            <w:r>
              <w:rPr>
                <w:rFonts w:ascii="Arial" w:cs="Arial" w:eastAsia="Arial" w:hAnsi="Arial"/>
                <w:sz w:val="11"/>
                <w:szCs w:val="11"/>
                <w:b w:val="1"/>
                <w:bCs w:val="1"/>
                <w:color w:val="auto"/>
                <w:vertAlign w:val="superscript"/>
              </w:rPr>
              <w:t>(1)</w:t>
            </w:r>
          </w:p>
        </w:tc>
        <w:tc>
          <w:tcPr>
            <w:tcW w:w="1120" w:type="dxa"/>
            <w:vAlign w:val="bottom"/>
          </w:tcPr>
          <w:p>
            <w:pPr>
              <w:jc w:val="right"/>
              <w:ind w:right="159"/>
              <w:spacing w:after="0"/>
              <w:rPr>
                <w:sz w:val="20"/>
                <w:szCs w:val="20"/>
                <w:color w:val="auto"/>
              </w:rPr>
            </w:pPr>
            <w:r>
              <w:rPr>
                <w:rFonts w:ascii="Arial" w:cs="Arial" w:eastAsia="Arial" w:hAnsi="Arial"/>
                <w:sz w:val="8"/>
                <w:szCs w:val="8"/>
                <w:b w:val="1"/>
                <w:bCs w:val="1"/>
                <w:color w:val="auto"/>
              </w:rPr>
              <w:t>4.56%</w:t>
            </w:r>
          </w:p>
        </w:tc>
        <w:tc>
          <w:tcPr>
            <w:tcW w:w="1200" w:type="dxa"/>
            <w:vAlign w:val="bottom"/>
          </w:tcPr>
          <w:p>
            <w:pPr>
              <w:jc w:val="right"/>
              <w:ind w:right="374"/>
              <w:spacing w:after="0"/>
              <w:rPr>
                <w:sz w:val="20"/>
                <w:szCs w:val="20"/>
                <w:color w:val="auto"/>
              </w:rPr>
            </w:pPr>
            <w:r>
              <w:rPr>
                <w:rFonts w:ascii="Arial" w:cs="Arial" w:eastAsia="Arial" w:hAnsi="Arial"/>
                <w:sz w:val="8"/>
                <w:szCs w:val="8"/>
                <w:b w:val="1"/>
                <w:bCs w:val="1"/>
                <w:color w:val="auto"/>
              </w:rPr>
              <w:t>4.85%</w:t>
            </w:r>
          </w:p>
        </w:tc>
        <w:tc>
          <w:tcPr>
            <w:tcW w:w="62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b w:val="1"/>
                <w:bCs w:val="1"/>
                <w:color w:val="auto"/>
              </w:rPr>
              <w:t>4.40%</w:t>
            </w:r>
          </w:p>
        </w:tc>
        <w:tc>
          <w:tcPr>
            <w:tcW w:w="540" w:type="dxa"/>
            <w:vAlign w:val="bottom"/>
          </w:tcPr>
          <w:p>
            <w:pPr>
              <w:jc w:val="center"/>
              <w:ind w:left="115"/>
              <w:spacing w:after="0"/>
              <w:rPr>
                <w:sz w:val="20"/>
                <w:szCs w:val="20"/>
                <w:color w:val="auto"/>
              </w:rPr>
            </w:pPr>
            <w:r>
              <w:rPr>
                <w:rFonts w:ascii="Arial" w:cs="Arial" w:eastAsia="Arial" w:hAnsi="Arial"/>
                <w:sz w:val="8"/>
                <w:szCs w:val="8"/>
                <w:b w:val="1"/>
                <w:bCs w:val="1"/>
                <w:color w:val="auto"/>
              </w:rPr>
              <w:t>-45bps</w:t>
            </w:r>
          </w:p>
        </w:tc>
        <w:tc>
          <w:tcPr>
            <w:tcW w:w="980" w:type="dxa"/>
            <w:vAlign w:val="bottom"/>
            <w:tcBorders>
              <w:right w:val="single" w:sz="8" w:color="auto"/>
            </w:tcBorders>
          </w:tcPr>
          <w:p>
            <w:pPr>
              <w:jc w:val="center"/>
              <w:ind w:left="115"/>
              <w:spacing w:after="0"/>
              <w:rPr>
                <w:sz w:val="20"/>
                <w:szCs w:val="20"/>
                <w:color w:val="auto"/>
              </w:rPr>
            </w:pPr>
            <w:r>
              <w:rPr>
                <w:rFonts w:ascii="Arial" w:cs="Arial" w:eastAsia="Arial" w:hAnsi="Arial"/>
                <w:sz w:val="8"/>
                <w:szCs w:val="8"/>
                <w:b w:val="1"/>
                <w:bCs w:val="1"/>
                <w:color w:val="auto"/>
              </w:rPr>
              <w:t>-16bps</w:t>
            </w: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8"/>
                <w:szCs w:val="8"/>
                <w:b w:val="1"/>
                <w:bCs w:val="1"/>
                <w:color w:val="auto"/>
              </w:rPr>
              <w:t>4.57%</w:t>
            </w:r>
          </w:p>
        </w:tc>
        <w:tc>
          <w:tcPr>
            <w:tcW w:w="98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8"/>
                <w:szCs w:val="8"/>
                <w:b w:val="1"/>
                <w:bCs w:val="1"/>
                <w:color w:val="auto"/>
              </w:rPr>
              <w:t>4.62%</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6"/>
              </w:rPr>
              <w:t>5bps</w:t>
            </w:r>
          </w:p>
        </w:tc>
        <w:tc>
          <w:tcPr>
            <w:tcW w:w="0" w:type="dxa"/>
            <w:vAlign w:val="bottom"/>
          </w:tcPr>
          <w:p>
            <w:pPr>
              <w:spacing w:after="0"/>
              <w:rPr>
                <w:sz w:val="1"/>
                <w:szCs w:val="1"/>
                <w:color w:val="auto"/>
              </w:rPr>
            </w:pPr>
          </w:p>
        </w:tc>
      </w:tr>
      <w:tr>
        <w:trPr>
          <w:trHeight w:val="103"/>
        </w:trPr>
        <w:tc>
          <w:tcPr>
            <w:tcW w:w="370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8"/>
                <w:szCs w:val="8"/>
                <w:b w:val="1"/>
                <w:bCs w:val="1"/>
                <w:color w:val="auto"/>
              </w:rPr>
              <w:t>Net provisions for loan losses / Net interest income</w:t>
            </w: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8"/>
                <w:szCs w:val="8"/>
                <w:b w:val="1"/>
                <w:bCs w:val="1"/>
                <w:color w:val="auto"/>
              </w:rPr>
              <w:t>25.10%</w:t>
            </w: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8"/>
                <w:szCs w:val="8"/>
                <w:b w:val="1"/>
                <w:bCs w:val="1"/>
                <w:color w:val="auto"/>
              </w:rPr>
              <w:t>23.78%</w:t>
            </w:r>
          </w:p>
        </w:tc>
        <w:tc>
          <w:tcPr>
            <w:tcW w:w="62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8"/>
                <w:szCs w:val="8"/>
                <w:b w:val="1"/>
                <w:bCs w:val="1"/>
                <w:color w:val="auto"/>
              </w:rPr>
              <w:t>31.52%</w:t>
            </w:r>
          </w:p>
        </w:tc>
        <w:tc>
          <w:tcPr>
            <w:tcW w:w="540" w:type="dxa"/>
            <w:vAlign w:val="bottom"/>
            <w:tcBorders>
              <w:bottom w:val="single" w:sz="8" w:color="auto"/>
            </w:tcBorders>
          </w:tcPr>
          <w:p>
            <w:pPr>
              <w:jc w:val="center"/>
              <w:ind w:left="135"/>
              <w:spacing w:after="0"/>
              <w:rPr>
                <w:sz w:val="20"/>
                <w:szCs w:val="20"/>
                <w:color w:val="auto"/>
              </w:rPr>
            </w:pPr>
            <w:r>
              <w:rPr>
                <w:rFonts w:ascii="Arial" w:cs="Arial" w:eastAsia="Arial" w:hAnsi="Arial"/>
                <w:sz w:val="8"/>
                <w:szCs w:val="8"/>
                <w:b w:val="1"/>
                <w:bCs w:val="1"/>
                <w:color w:val="auto"/>
              </w:rPr>
              <w:t>774bps</w:t>
            </w:r>
          </w:p>
        </w:tc>
        <w:tc>
          <w:tcPr>
            <w:tcW w:w="980" w:type="dxa"/>
            <w:vAlign w:val="bottom"/>
            <w:tcBorders>
              <w:bottom w:val="single" w:sz="8" w:color="auto"/>
              <w:right w:val="single" w:sz="8" w:color="auto"/>
            </w:tcBorders>
          </w:tcPr>
          <w:p>
            <w:pPr>
              <w:jc w:val="center"/>
              <w:ind w:left="135"/>
              <w:spacing w:after="0"/>
              <w:rPr>
                <w:sz w:val="20"/>
                <w:szCs w:val="20"/>
                <w:color w:val="auto"/>
              </w:rPr>
            </w:pPr>
            <w:r>
              <w:rPr>
                <w:rFonts w:ascii="Arial" w:cs="Arial" w:eastAsia="Arial" w:hAnsi="Arial"/>
                <w:sz w:val="8"/>
                <w:szCs w:val="8"/>
                <w:b w:val="1"/>
                <w:bCs w:val="1"/>
                <w:color w:val="auto"/>
              </w:rPr>
              <w:t>642bps</w:t>
            </w: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24.17%</w:t>
            </w:r>
          </w:p>
        </w:tc>
        <w:tc>
          <w:tcPr>
            <w:tcW w:w="980" w:type="dxa"/>
            <w:vAlign w:val="bottom"/>
            <w:tcBorders>
              <w:bottom w:val="single" w:sz="8" w:color="auto"/>
              <w:right w:val="single" w:sz="8" w:color="auto"/>
            </w:tcBorders>
            <w:gridSpan w:val="3"/>
          </w:tcPr>
          <w:p>
            <w:pPr>
              <w:jc w:val="right"/>
              <w:ind w:right="40"/>
              <w:spacing w:after="0"/>
              <w:rPr>
                <w:sz w:val="20"/>
                <w:szCs w:val="20"/>
                <w:color w:val="auto"/>
              </w:rPr>
            </w:pPr>
            <w:r>
              <w:rPr>
                <w:rFonts w:ascii="Arial" w:cs="Arial" w:eastAsia="Arial" w:hAnsi="Arial"/>
                <w:sz w:val="8"/>
                <w:szCs w:val="8"/>
                <w:b w:val="1"/>
                <w:bCs w:val="1"/>
                <w:color w:val="auto"/>
              </w:rPr>
              <w:t>27.67%</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rPr>
              <w:t>350bps</w:t>
            </w:r>
          </w:p>
        </w:tc>
        <w:tc>
          <w:tcPr>
            <w:tcW w:w="0" w:type="dxa"/>
            <w:vAlign w:val="bottom"/>
          </w:tcPr>
          <w:p>
            <w:pPr>
              <w:spacing w:after="0"/>
              <w:rPr>
                <w:sz w:val="1"/>
                <w:szCs w:val="1"/>
                <w:color w:val="auto"/>
              </w:rPr>
            </w:pPr>
          </w:p>
        </w:tc>
      </w:tr>
      <w:tr>
        <w:trPr>
          <w:trHeight w:val="257"/>
        </w:trPr>
        <w:tc>
          <w:tcPr>
            <w:tcW w:w="4820" w:type="dxa"/>
            <w:vAlign w:val="bottom"/>
            <w:gridSpan w:val="3"/>
          </w:tcPr>
          <w:p>
            <w:pPr>
              <w:spacing w:after="0"/>
              <w:rPr>
                <w:sz w:val="20"/>
                <w:szCs w:val="20"/>
                <w:color w:val="auto"/>
              </w:rPr>
            </w:pPr>
            <w:r>
              <w:rPr>
                <w:rFonts w:ascii="Arial" w:cs="Arial" w:eastAsia="Arial" w:hAnsi="Arial"/>
                <w:sz w:val="10"/>
                <w:szCs w:val="10"/>
                <w:color w:val="auto"/>
              </w:rPr>
              <w:t>(1) Annualized. For further detail on the new NIM calculation due to IFRS17, please refer to Annex 12.1.7</w:t>
            </w:r>
          </w:p>
        </w:tc>
        <w:tc>
          <w:tcPr>
            <w:tcW w:w="1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4820" w:type="dxa"/>
            <w:vAlign w:val="bottom"/>
            <w:gridSpan w:val="3"/>
          </w:tcPr>
          <w:p>
            <w:pPr>
              <w:spacing w:after="0"/>
              <w:rPr>
                <w:sz w:val="20"/>
                <w:szCs w:val="20"/>
                <w:color w:val="auto"/>
              </w:rPr>
            </w:pPr>
            <w:r>
              <w:rPr>
                <w:rFonts w:ascii="Arial" w:cs="Arial" w:eastAsia="Arial" w:hAnsi="Arial"/>
                <w:sz w:val="14"/>
                <w:szCs w:val="14"/>
                <w:b w:val="1"/>
                <w:bCs w:val="1"/>
                <w:color w:val="auto"/>
              </w:rPr>
              <w:t>12.4. Net Interest Margin (NIM) and Risk Adjusted NIM by Subsidiary</w:t>
            </w: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28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rPr>
                <w:sz w:val="11"/>
                <w:szCs w:val="11"/>
                <w:color w:val="auto"/>
              </w:rPr>
            </w:pPr>
          </w:p>
        </w:tc>
        <w:tc>
          <w:tcPr>
            <w:tcW w:w="2840" w:type="dxa"/>
            <w:vAlign w:val="bottom"/>
            <w:tcBorders>
              <w:right w:val="single" w:sz="8" w:color="2AD2C9"/>
            </w:tcBorders>
            <w:vMerge w:val="restart"/>
            <w:shd w:val="clear" w:color="auto" w:fill="2AD2C9"/>
          </w:tcPr>
          <w:p>
            <w:pPr>
              <w:jc w:val="center"/>
              <w:ind w:left="1231"/>
              <w:spacing w:after="0"/>
              <w:rPr>
                <w:sz w:val="20"/>
                <w:szCs w:val="20"/>
                <w:color w:val="auto"/>
              </w:rPr>
            </w:pPr>
            <w:r>
              <w:rPr>
                <w:rFonts w:ascii="Arial" w:cs="Arial" w:eastAsia="Arial" w:hAnsi="Arial"/>
                <w:sz w:val="14"/>
                <w:szCs w:val="14"/>
                <w:b w:val="1"/>
                <w:bCs w:val="1"/>
                <w:color w:val="FFFFFF"/>
                <w:w w:val="97"/>
              </w:rPr>
              <w:t>NIM Breakdown</w:t>
            </w:r>
          </w:p>
        </w:tc>
        <w:tc>
          <w:tcPr>
            <w:tcW w:w="1120" w:type="dxa"/>
            <w:vAlign w:val="bottom"/>
            <w:shd w:val="clear" w:color="auto" w:fill="2AD2C9"/>
          </w:tcPr>
          <w:p>
            <w:pPr>
              <w:spacing w:after="0"/>
              <w:rPr>
                <w:sz w:val="11"/>
                <w:szCs w:val="11"/>
                <w:color w:val="auto"/>
              </w:rPr>
            </w:pPr>
          </w:p>
        </w:tc>
        <w:tc>
          <w:tcPr>
            <w:tcW w:w="1200" w:type="dxa"/>
            <w:vAlign w:val="bottom"/>
            <w:shd w:val="clear" w:color="auto" w:fill="2AD2C9"/>
          </w:tcPr>
          <w:p>
            <w:pPr>
              <w:jc w:val="center"/>
              <w:ind w:left="394"/>
              <w:spacing w:after="0" w:line="130" w:lineRule="exact"/>
              <w:rPr>
                <w:sz w:val="20"/>
                <w:szCs w:val="20"/>
                <w:color w:val="auto"/>
              </w:rPr>
            </w:pPr>
            <w:r>
              <w:rPr>
                <w:rFonts w:ascii="Arial" w:cs="Arial" w:eastAsia="Arial" w:hAnsi="Arial"/>
                <w:sz w:val="14"/>
                <w:szCs w:val="14"/>
                <w:b w:val="1"/>
                <w:bCs w:val="1"/>
                <w:color w:val="FFFFFF"/>
                <w:w w:val="98"/>
              </w:rPr>
              <w:t>BCP Stand-</w:t>
            </w:r>
          </w:p>
        </w:tc>
        <w:tc>
          <w:tcPr>
            <w:tcW w:w="620" w:type="dxa"/>
            <w:vAlign w:val="bottom"/>
            <w:tcBorders>
              <w:right w:val="single" w:sz="8" w:color="2AD2C9"/>
            </w:tcBorders>
            <w:shd w:val="clear" w:color="auto" w:fill="2AD2C9"/>
          </w:tcPr>
          <w:p>
            <w:pPr>
              <w:spacing w:after="0"/>
              <w:rPr>
                <w:sz w:val="11"/>
                <w:szCs w:val="11"/>
                <w:color w:val="auto"/>
              </w:rPr>
            </w:pPr>
          </w:p>
        </w:tc>
        <w:tc>
          <w:tcPr>
            <w:tcW w:w="540" w:type="dxa"/>
            <w:vAlign w:val="bottom"/>
            <w:vMerge w:val="restart"/>
            <w:shd w:val="clear" w:color="auto" w:fill="2AD2C9"/>
          </w:tcPr>
          <w:p>
            <w:pPr>
              <w:jc w:val="center"/>
              <w:spacing w:after="0"/>
              <w:rPr>
                <w:sz w:val="20"/>
                <w:szCs w:val="20"/>
                <w:color w:val="auto"/>
              </w:rPr>
            </w:pPr>
            <w:r>
              <w:rPr>
                <w:rFonts w:ascii="Arial" w:cs="Arial" w:eastAsia="Arial" w:hAnsi="Arial"/>
                <w:sz w:val="14"/>
                <w:szCs w:val="14"/>
                <w:b w:val="1"/>
                <w:bCs w:val="1"/>
                <w:color w:val="FFFFFF"/>
                <w:w w:val="95"/>
              </w:rPr>
              <w:t>Mibanco</w:t>
            </w:r>
          </w:p>
        </w:tc>
        <w:tc>
          <w:tcPr>
            <w:tcW w:w="1380" w:type="dxa"/>
            <w:vAlign w:val="bottom"/>
            <w:gridSpan w:val="3"/>
            <w:vMerge w:val="restart"/>
            <w:shd w:val="clear" w:color="auto" w:fill="2AD2C9"/>
          </w:tcPr>
          <w:p>
            <w:pPr>
              <w:jc w:val="center"/>
              <w:ind w:left="515"/>
              <w:spacing w:after="0"/>
              <w:rPr>
                <w:sz w:val="20"/>
                <w:szCs w:val="20"/>
                <w:color w:val="auto"/>
              </w:rPr>
            </w:pPr>
            <w:r>
              <w:rPr>
                <w:rFonts w:ascii="Arial" w:cs="Arial" w:eastAsia="Arial" w:hAnsi="Arial"/>
                <w:sz w:val="14"/>
                <w:szCs w:val="14"/>
                <w:b w:val="1"/>
                <w:bCs w:val="1"/>
                <w:color w:val="FFFFFF"/>
                <w:w w:val="98"/>
              </w:rPr>
              <w:t>BCP Bolivia</w:t>
            </w:r>
          </w:p>
        </w:tc>
        <w:tc>
          <w:tcPr>
            <w:tcW w:w="1300" w:type="dxa"/>
            <w:vAlign w:val="bottom"/>
            <w:gridSpan w:val="2"/>
            <w:vMerge w:val="restart"/>
            <w:shd w:val="clear" w:color="auto" w:fill="2AD2C9"/>
          </w:tcPr>
          <w:p>
            <w:pPr>
              <w:jc w:val="center"/>
              <w:ind w:left="198"/>
              <w:spacing w:after="0"/>
              <w:rPr>
                <w:sz w:val="20"/>
                <w:szCs w:val="20"/>
                <w:color w:val="auto"/>
              </w:rPr>
            </w:pPr>
            <w:r>
              <w:rPr>
                <w:rFonts w:ascii="Arial" w:cs="Arial" w:eastAsia="Arial" w:hAnsi="Arial"/>
                <w:sz w:val="14"/>
                <w:szCs w:val="14"/>
                <w:b w:val="1"/>
                <w:bCs w:val="1"/>
                <w:color w:val="FFFFFF"/>
                <w:w w:val="99"/>
              </w:rPr>
              <w:t>Credicorp</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860" w:type="dxa"/>
            <w:vAlign w:val="bottom"/>
          </w:tcPr>
          <w:p>
            <w:pPr>
              <w:spacing w:after="0"/>
              <w:rPr>
                <w:sz w:val="9"/>
                <w:szCs w:val="9"/>
                <w:color w:val="auto"/>
              </w:rPr>
            </w:pPr>
          </w:p>
        </w:tc>
        <w:tc>
          <w:tcPr>
            <w:tcW w:w="2840" w:type="dxa"/>
            <w:vAlign w:val="bottom"/>
            <w:tcBorders>
              <w:right w:val="single" w:sz="8" w:color="2AD2C9"/>
            </w:tcBorders>
            <w:vMerge w:val="continue"/>
            <w:shd w:val="clear" w:color="auto" w:fill="2AD2C9"/>
          </w:tcPr>
          <w:p>
            <w:pPr>
              <w:spacing w:after="0"/>
              <w:rPr>
                <w:sz w:val="9"/>
                <w:szCs w:val="9"/>
                <w:color w:val="auto"/>
              </w:rPr>
            </w:pPr>
          </w:p>
        </w:tc>
        <w:tc>
          <w:tcPr>
            <w:tcW w:w="1120" w:type="dxa"/>
            <w:vAlign w:val="bottom"/>
            <w:shd w:val="clear" w:color="auto" w:fill="2AD2C9"/>
          </w:tcPr>
          <w:p>
            <w:pPr>
              <w:spacing w:after="0"/>
              <w:rPr>
                <w:sz w:val="9"/>
                <w:szCs w:val="9"/>
                <w:color w:val="auto"/>
              </w:rPr>
            </w:pPr>
          </w:p>
        </w:tc>
        <w:tc>
          <w:tcPr>
            <w:tcW w:w="1200" w:type="dxa"/>
            <w:vAlign w:val="bottom"/>
            <w:vMerge w:val="restart"/>
            <w:shd w:val="clear" w:color="auto" w:fill="2AD2C9"/>
          </w:tcPr>
          <w:p>
            <w:pPr>
              <w:jc w:val="center"/>
              <w:ind w:left="394"/>
              <w:spacing w:after="0"/>
              <w:rPr>
                <w:sz w:val="20"/>
                <w:szCs w:val="20"/>
                <w:color w:val="auto"/>
              </w:rPr>
            </w:pPr>
            <w:r>
              <w:rPr>
                <w:rFonts w:ascii="Arial" w:cs="Arial" w:eastAsia="Arial" w:hAnsi="Arial"/>
                <w:sz w:val="14"/>
                <w:szCs w:val="14"/>
                <w:b w:val="1"/>
                <w:bCs w:val="1"/>
                <w:color w:val="FFFFFF"/>
                <w:w w:val="98"/>
              </w:rPr>
              <w:t>alone</w:t>
            </w:r>
          </w:p>
        </w:tc>
        <w:tc>
          <w:tcPr>
            <w:tcW w:w="620" w:type="dxa"/>
            <w:vAlign w:val="bottom"/>
            <w:tcBorders>
              <w:right w:val="single" w:sz="8" w:color="2AD2C9"/>
            </w:tcBorders>
            <w:shd w:val="clear" w:color="auto" w:fill="2AD2C9"/>
          </w:tcPr>
          <w:p>
            <w:pPr>
              <w:spacing w:after="0"/>
              <w:rPr>
                <w:sz w:val="9"/>
                <w:szCs w:val="9"/>
                <w:color w:val="auto"/>
              </w:rPr>
            </w:pPr>
          </w:p>
        </w:tc>
        <w:tc>
          <w:tcPr>
            <w:tcW w:w="540" w:type="dxa"/>
            <w:vAlign w:val="bottom"/>
            <w:vMerge w:val="continue"/>
            <w:shd w:val="clear" w:color="auto" w:fill="2AD2C9"/>
          </w:tcPr>
          <w:p>
            <w:pPr>
              <w:spacing w:after="0"/>
              <w:rPr>
                <w:sz w:val="9"/>
                <w:szCs w:val="9"/>
                <w:color w:val="auto"/>
              </w:rPr>
            </w:pPr>
          </w:p>
        </w:tc>
        <w:tc>
          <w:tcPr>
            <w:tcW w:w="1380" w:type="dxa"/>
            <w:vAlign w:val="bottom"/>
            <w:gridSpan w:val="3"/>
            <w:vMerge w:val="continue"/>
            <w:shd w:val="clear" w:color="auto" w:fill="2AD2C9"/>
          </w:tcPr>
          <w:p>
            <w:pPr>
              <w:spacing w:after="0"/>
              <w:rPr>
                <w:sz w:val="9"/>
                <w:szCs w:val="9"/>
                <w:color w:val="auto"/>
              </w:rPr>
            </w:pPr>
          </w:p>
        </w:tc>
        <w:tc>
          <w:tcPr>
            <w:tcW w:w="1300" w:type="dxa"/>
            <w:vAlign w:val="bottom"/>
            <w:gridSpan w:val="2"/>
            <w:vMerge w:val="continue"/>
            <w:shd w:val="clear" w:color="auto" w:fill="2AD2C9"/>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860" w:type="dxa"/>
            <w:vAlign w:val="bottom"/>
          </w:tcPr>
          <w:p>
            <w:pPr>
              <w:spacing w:after="0"/>
              <w:rPr>
                <w:sz w:val="5"/>
                <w:szCs w:val="5"/>
                <w:color w:val="auto"/>
              </w:rPr>
            </w:pPr>
          </w:p>
        </w:tc>
        <w:tc>
          <w:tcPr>
            <w:tcW w:w="2840" w:type="dxa"/>
            <w:vAlign w:val="bottom"/>
            <w:tcBorders>
              <w:bottom w:val="single" w:sz="8" w:color="auto"/>
              <w:right w:val="single" w:sz="8" w:color="2AD2C9"/>
            </w:tcBorders>
            <w:shd w:val="clear" w:color="auto" w:fill="2AD2C9"/>
          </w:tcPr>
          <w:p>
            <w:pPr>
              <w:spacing w:after="0"/>
              <w:rPr>
                <w:sz w:val="5"/>
                <w:szCs w:val="5"/>
                <w:color w:val="auto"/>
              </w:rPr>
            </w:pPr>
          </w:p>
        </w:tc>
        <w:tc>
          <w:tcPr>
            <w:tcW w:w="1120" w:type="dxa"/>
            <w:vAlign w:val="bottom"/>
            <w:tcBorders>
              <w:bottom w:val="single" w:sz="8" w:color="auto"/>
            </w:tcBorders>
            <w:shd w:val="clear" w:color="auto" w:fill="2AD2C9"/>
          </w:tcPr>
          <w:p>
            <w:pPr>
              <w:spacing w:after="0"/>
              <w:rPr>
                <w:sz w:val="5"/>
                <w:szCs w:val="5"/>
                <w:color w:val="auto"/>
              </w:rPr>
            </w:pPr>
          </w:p>
        </w:tc>
        <w:tc>
          <w:tcPr>
            <w:tcW w:w="1200" w:type="dxa"/>
            <w:vAlign w:val="bottom"/>
            <w:tcBorders>
              <w:bottom w:val="single" w:sz="8" w:color="auto"/>
            </w:tcBorders>
            <w:vMerge w:val="continue"/>
            <w:shd w:val="clear" w:color="auto" w:fill="2AD2C9"/>
          </w:tcPr>
          <w:p>
            <w:pPr>
              <w:spacing w:after="0"/>
              <w:rPr>
                <w:sz w:val="5"/>
                <w:szCs w:val="5"/>
                <w:color w:val="auto"/>
              </w:rPr>
            </w:pPr>
          </w:p>
        </w:tc>
        <w:tc>
          <w:tcPr>
            <w:tcW w:w="620" w:type="dxa"/>
            <w:vAlign w:val="bottom"/>
            <w:tcBorders>
              <w:bottom w:val="single" w:sz="8" w:color="auto"/>
              <w:right w:val="single" w:sz="8" w:color="2AD2C9"/>
            </w:tcBorders>
            <w:shd w:val="clear" w:color="auto" w:fill="2AD2C9"/>
          </w:tcPr>
          <w:p>
            <w:pPr>
              <w:spacing w:after="0"/>
              <w:rPr>
                <w:sz w:val="5"/>
                <w:szCs w:val="5"/>
                <w:color w:val="auto"/>
              </w:rPr>
            </w:pPr>
          </w:p>
        </w:tc>
        <w:tc>
          <w:tcPr>
            <w:tcW w:w="540" w:type="dxa"/>
            <w:vAlign w:val="bottom"/>
            <w:tcBorders>
              <w:bottom w:val="single" w:sz="8" w:color="auto"/>
            </w:tcBorders>
            <w:shd w:val="clear" w:color="auto" w:fill="2AD2C9"/>
          </w:tcPr>
          <w:p>
            <w:pPr>
              <w:spacing w:after="0"/>
              <w:rPr>
                <w:sz w:val="5"/>
                <w:szCs w:val="5"/>
                <w:color w:val="auto"/>
              </w:rPr>
            </w:pPr>
          </w:p>
        </w:tc>
        <w:tc>
          <w:tcPr>
            <w:tcW w:w="980" w:type="dxa"/>
            <w:vAlign w:val="bottom"/>
            <w:tcBorders>
              <w:bottom w:val="single" w:sz="8" w:color="auto"/>
              <w:right w:val="single" w:sz="8" w:color="2AD2C9"/>
            </w:tcBorders>
            <w:shd w:val="clear" w:color="auto" w:fill="2AD2C9"/>
          </w:tcPr>
          <w:p>
            <w:pPr>
              <w:spacing w:after="0"/>
              <w:rPr>
                <w:sz w:val="5"/>
                <w:szCs w:val="5"/>
                <w:color w:val="auto"/>
              </w:rPr>
            </w:pPr>
          </w:p>
        </w:tc>
        <w:tc>
          <w:tcPr>
            <w:tcW w:w="280" w:type="dxa"/>
            <w:vAlign w:val="bottom"/>
            <w:tcBorders>
              <w:bottom w:val="single" w:sz="8" w:color="auto"/>
            </w:tcBorders>
            <w:shd w:val="clear" w:color="auto" w:fill="2AD2C9"/>
          </w:tcPr>
          <w:p>
            <w:pPr>
              <w:spacing w:after="0"/>
              <w:rPr>
                <w:sz w:val="5"/>
                <w:szCs w:val="5"/>
                <w:color w:val="auto"/>
              </w:rPr>
            </w:pPr>
          </w:p>
        </w:tc>
        <w:tc>
          <w:tcPr>
            <w:tcW w:w="120" w:type="dxa"/>
            <w:vAlign w:val="bottom"/>
            <w:tcBorders>
              <w:bottom w:val="single" w:sz="8" w:color="auto"/>
            </w:tcBorders>
            <w:shd w:val="clear" w:color="auto" w:fill="2AD2C9"/>
          </w:tcPr>
          <w:p>
            <w:pPr>
              <w:spacing w:after="0"/>
              <w:rPr>
                <w:sz w:val="5"/>
                <w:szCs w:val="5"/>
                <w:color w:val="auto"/>
              </w:rPr>
            </w:pPr>
          </w:p>
        </w:tc>
        <w:tc>
          <w:tcPr>
            <w:tcW w:w="540" w:type="dxa"/>
            <w:vAlign w:val="bottom"/>
            <w:tcBorders>
              <w:bottom w:val="single" w:sz="8" w:color="auto"/>
            </w:tcBorders>
            <w:shd w:val="clear" w:color="auto" w:fill="2AD2C9"/>
          </w:tcPr>
          <w:p>
            <w:pPr>
              <w:spacing w:after="0"/>
              <w:rPr>
                <w:sz w:val="5"/>
                <w:szCs w:val="5"/>
                <w:color w:val="auto"/>
              </w:rPr>
            </w:pPr>
          </w:p>
        </w:tc>
        <w:tc>
          <w:tcPr>
            <w:tcW w:w="760" w:type="dxa"/>
            <w:vAlign w:val="bottom"/>
            <w:tcBorders>
              <w:bottom w:val="single" w:sz="8" w:color="auto"/>
            </w:tcBorders>
            <w:shd w:val="clear" w:color="auto" w:fill="2AD2C9"/>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rPr>
                <w:sz w:val="11"/>
                <w:szCs w:val="11"/>
                <w:color w:val="auto"/>
              </w:rPr>
            </w:pPr>
          </w:p>
        </w:tc>
        <w:tc>
          <w:tcPr>
            <w:tcW w:w="2840" w:type="dxa"/>
            <w:vAlign w:val="bottom"/>
          </w:tcPr>
          <w:p>
            <w:pPr>
              <w:jc w:val="center"/>
              <w:ind w:left="1231"/>
              <w:spacing w:after="0" w:line="130" w:lineRule="exact"/>
              <w:rPr>
                <w:sz w:val="20"/>
                <w:szCs w:val="20"/>
                <w:color w:val="auto"/>
              </w:rPr>
            </w:pPr>
            <w:r>
              <w:rPr>
                <w:rFonts w:ascii="Arial" w:cs="Arial" w:eastAsia="Arial" w:hAnsi="Arial"/>
                <w:sz w:val="14"/>
                <w:szCs w:val="14"/>
                <w:b w:val="1"/>
                <w:bCs w:val="1"/>
                <w:color w:val="auto"/>
                <w:w w:val="99"/>
              </w:rPr>
              <w:t>2Q23</w:t>
            </w:r>
          </w:p>
        </w:tc>
        <w:tc>
          <w:tcPr>
            <w:tcW w:w="1120" w:type="dxa"/>
            <w:vAlign w:val="bottom"/>
          </w:tcPr>
          <w:p>
            <w:pPr>
              <w:spacing w:after="0"/>
              <w:rPr>
                <w:sz w:val="11"/>
                <w:szCs w:val="11"/>
                <w:color w:val="auto"/>
              </w:rPr>
            </w:pPr>
          </w:p>
        </w:tc>
        <w:tc>
          <w:tcPr>
            <w:tcW w:w="1200" w:type="dxa"/>
            <w:vAlign w:val="bottom"/>
          </w:tcPr>
          <w:p>
            <w:pPr>
              <w:jc w:val="center"/>
              <w:ind w:left="394"/>
              <w:spacing w:after="0" w:line="130" w:lineRule="exact"/>
              <w:rPr>
                <w:sz w:val="20"/>
                <w:szCs w:val="20"/>
                <w:color w:val="auto"/>
              </w:rPr>
            </w:pPr>
            <w:r>
              <w:rPr>
                <w:rFonts w:ascii="Arial" w:cs="Arial" w:eastAsia="Arial" w:hAnsi="Arial"/>
                <w:sz w:val="14"/>
                <w:szCs w:val="14"/>
                <w:color w:val="auto"/>
              </w:rPr>
              <w:t>5.67%</w:t>
            </w:r>
          </w:p>
        </w:tc>
        <w:tc>
          <w:tcPr>
            <w:tcW w:w="620" w:type="dxa"/>
            <w:vAlign w:val="bottom"/>
          </w:tcPr>
          <w:p>
            <w:pPr>
              <w:spacing w:after="0"/>
              <w:rPr>
                <w:sz w:val="11"/>
                <w:szCs w:val="11"/>
                <w:color w:val="auto"/>
              </w:rPr>
            </w:pPr>
          </w:p>
        </w:tc>
        <w:tc>
          <w:tcPr>
            <w:tcW w:w="540" w:type="dxa"/>
            <w:vAlign w:val="bottom"/>
          </w:tcPr>
          <w:p>
            <w:pPr>
              <w:jc w:val="center"/>
              <w:spacing w:after="0" w:line="130" w:lineRule="exact"/>
              <w:rPr>
                <w:sz w:val="20"/>
                <w:szCs w:val="20"/>
                <w:color w:val="auto"/>
              </w:rPr>
            </w:pPr>
            <w:r>
              <w:rPr>
                <w:rFonts w:ascii="Arial" w:cs="Arial" w:eastAsia="Arial" w:hAnsi="Arial"/>
                <w:sz w:val="14"/>
                <w:szCs w:val="14"/>
                <w:color w:val="auto"/>
                <w:w w:val="96"/>
              </w:rPr>
              <w:t>13.09%</w:t>
            </w:r>
          </w:p>
        </w:tc>
        <w:tc>
          <w:tcPr>
            <w:tcW w:w="1260" w:type="dxa"/>
            <w:vAlign w:val="bottom"/>
            <w:gridSpan w:val="2"/>
          </w:tcPr>
          <w:p>
            <w:pPr>
              <w:jc w:val="center"/>
              <w:ind w:left="655"/>
              <w:spacing w:after="0" w:line="130" w:lineRule="exact"/>
              <w:rPr>
                <w:sz w:val="20"/>
                <w:szCs w:val="20"/>
                <w:color w:val="auto"/>
              </w:rPr>
            </w:pPr>
            <w:r>
              <w:rPr>
                <w:rFonts w:ascii="Arial" w:cs="Arial" w:eastAsia="Arial" w:hAnsi="Arial"/>
                <w:sz w:val="14"/>
                <w:szCs w:val="14"/>
                <w:color w:val="auto"/>
              </w:rPr>
              <w:t>2.85%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jc w:val="center"/>
              <w:ind w:right="256"/>
              <w:spacing w:after="0" w:line="130" w:lineRule="exact"/>
              <w:rPr>
                <w:sz w:val="20"/>
                <w:szCs w:val="20"/>
                <w:color w:val="auto"/>
              </w:rPr>
            </w:pPr>
            <w:r>
              <w:rPr>
                <w:rFonts w:ascii="Arial" w:cs="Arial" w:eastAsia="Arial" w:hAnsi="Arial"/>
                <w:sz w:val="14"/>
                <w:szCs w:val="14"/>
                <w:b w:val="1"/>
                <w:bCs w:val="1"/>
                <w:color w:val="auto"/>
                <w:w w:val="95"/>
              </w:rPr>
              <w:t>6.02%</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60" w:type="dxa"/>
            <w:vAlign w:val="bottom"/>
          </w:tcPr>
          <w:p>
            <w:pPr>
              <w:spacing w:after="0"/>
              <w:rPr>
                <w:sz w:val="13"/>
                <w:szCs w:val="13"/>
                <w:color w:val="auto"/>
              </w:rPr>
            </w:pPr>
          </w:p>
        </w:tc>
        <w:tc>
          <w:tcPr>
            <w:tcW w:w="2840" w:type="dxa"/>
            <w:vAlign w:val="bottom"/>
          </w:tcPr>
          <w:p>
            <w:pPr>
              <w:jc w:val="center"/>
              <w:ind w:left="1231"/>
              <w:spacing w:after="0" w:line="155" w:lineRule="exact"/>
              <w:rPr>
                <w:sz w:val="20"/>
                <w:szCs w:val="20"/>
                <w:color w:val="auto"/>
              </w:rPr>
            </w:pPr>
            <w:r>
              <w:rPr>
                <w:rFonts w:ascii="Arial" w:cs="Arial" w:eastAsia="Arial" w:hAnsi="Arial"/>
                <w:sz w:val="14"/>
                <w:szCs w:val="14"/>
                <w:b w:val="1"/>
                <w:bCs w:val="1"/>
                <w:color w:val="auto"/>
                <w:w w:val="99"/>
              </w:rPr>
              <w:t>1Q24</w:t>
            </w:r>
          </w:p>
        </w:tc>
        <w:tc>
          <w:tcPr>
            <w:tcW w:w="1120" w:type="dxa"/>
            <w:vAlign w:val="bottom"/>
          </w:tcPr>
          <w:p>
            <w:pPr>
              <w:spacing w:after="0"/>
              <w:rPr>
                <w:sz w:val="13"/>
                <w:szCs w:val="13"/>
                <w:color w:val="auto"/>
              </w:rPr>
            </w:pPr>
          </w:p>
        </w:tc>
        <w:tc>
          <w:tcPr>
            <w:tcW w:w="1200" w:type="dxa"/>
            <w:vAlign w:val="bottom"/>
          </w:tcPr>
          <w:p>
            <w:pPr>
              <w:jc w:val="center"/>
              <w:ind w:left="394"/>
              <w:spacing w:after="0" w:line="155" w:lineRule="exact"/>
              <w:rPr>
                <w:sz w:val="20"/>
                <w:szCs w:val="20"/>
                <w:color w:val="auto"/>
              </w:rPr>
            </w:pPr>
            <w:r>
              <w:rPr>
                <w:rFonts w:ascii="Arial" w:cs="Arial" w:eastAsia="Arial" w:hAnsi="Arial"/>
                <w:sz w:val="14"/>
                <w:szCs w:val="14"/>
                <w:color w:val="auto"/>
              </w:rPr>
              <w:t>6.04%</w:t>
            </w:r>
          </w:p>
        </w:tc>
        <w:tc>
          <w:tcPr>
            <w:tcW w:w="620" w:type="dxa"/>
            <w:vAlign w:val="bottom"/>
          </w:tcPr>
          <w:p>
            <w:pPr>
              <w:spacing w:after="0"/>
              <w:rPr>
                <w:sz w:val="13"/>
                <w:szCs w:val="13"/>
                <w:color w:val="auto"/>
              </w:rPr>
            </w:pPr>
          </w:p>
        </w:tc>
        <w:tc>
          <w:tcPr>
            <w:tcW w:w="540" w:type="dxa"/>
            <w:vAlign w:val="bottom"/>
          </w:tcPr>
          <w:p>
            <w:pPr>
              <w:jc w:val="center"/>
              <w:spacing w:after="0" w:line="155" w:lineRule="exact"/>
              <w:rPr>
                <w:sz w:val="20"/>
                <w:szCs w:val="20"/>
                <w:color w:val="auto"/>
              </w:rPr>
            </w:pPr>
            <w:r>
              <w:rPr>
                <w:rFonts w:ascii="Arial" w:cs="Arial" w:eastAsia="Arial" w:hAnsi="Arial"/>
                <w:sz w:val="14"/>
                <w:szCs w:val="14"/>
                <w:color w:val="auto"/>
                <w:w w:val="96"/>
              </w:rPr>
              <w:t>13.42%</w:t>
            </w:r>
          </w:p>
        </w:tc>
        <w:tc>
          <w:tcPr>
            <w:tcW w:w="1260" w:type="dxa"/>
            <w:vAlign w:val="bottom"/>
            <w:gridSpan w:val="2"/>
          </w:tcPr>
          <w:p>
            <w:pPr>
              <w:jc w:val="center"/>
              <w:ind w:left="655"/>
              <w:spacing w:after="0" w:line="155" w:lineRule="exact"/>
              <w:rPr>
                <w:sz w:val="20"/>
                <w:szCs w:val="20"/>
                <w:color w:val="auto"/>
              </w:rPr>
            </w:pPr>
            <w:r>
              <w:rPr>
                <w:rFonts w:ascii="Arial" w:cs="Arial" w:eastAsia="Arial" w:hAnsi="Arial"/>
                <w:sz w:val="14"/>
                <w:szCs w:val="14"/>
                <w:color w:val="auto"/>
              </w:rPr>
              <w:t>2.96%</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jc w:val="center"/>
              <w:ind w:right="256"/>
              <w:spacing w:after="0" w:line="155" w:lineRule="exact"/>
              <w:rPr>
                <w:sz w:val="20"/>
                <w:szCs w:val="20"/>
                <w:color w:val="auto"/>
              </w:rPr>
            </w:pPr>
            <w:r>
              <w:rPr>
                <w:rFonts w:ascii="Arial" w:cs="Arial" w:eastAsia="Arial" w:hAnsi="Arial"/>
                <w:sz w:val="14"/>
                <w:szCs w:val="14"/>
                <w:b w:val="1"/>
                <w:bCs w:val="1"/>
                <w:color w:val="auto"/>
                <w:w w:val="95"/>
              </w:rPr>
              <w:t>6.30%</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60" w:type="dxa"/>
            <w:vAlign w:val="bottom"/>
          </w:tcPr>
          <w:p>
            <w:pPr>
              <w:spacing w:after="0"/>
              <w:rPr>
                <w:sz w:val="15"/>
                <w:szCs w:val="15"/>
                <w:color w:val="auto"/>
              </w:rPr>
            </w:pPr>
          </w:p>
        </w:tc>
        <w:tc>
          <w:tcPr>
            <w:tcW w:w="2840" w:type="dxa"/>
            <w:vAlign w:val="bottom"/>
          </w:tcPr>
          <w:p>
            <w:pPr>
              <w:jc w:val="center"/>
              <w:ind w:left="1231"/>
              <w:spacing w:after="0"/>
              <w:rPr>
                <w:sz w:val="20"/>
                <w:szCs w:val="20"/>
                <w:color w:val="auto"/>
              </w:rPr>
            </w:pPr>
            <w:r>
              <w:rPr>
                <w:rFonts w:ascii="Arial" w:cs="Arial" w:eastAsia="Arial" w:hAnsi="Arial"/>
                <w:sz w:val="14"/>
                <w:szCs w:val="14"/>
                <w:b w:val="1"/>
                <w:bCs w:val="1"/>
                <w:color w:val="auto"/>
                <w:w w:val="99"/>
              </w:rPr>
              <w:t>2Q24</w:t>
            </w:r>
          </w:p>
        </w:tc>
        <w:tc>
          <w:tcPr>
            <w:tcW w:w="1120" w:type="dxa"/>
            <w:vAlign w:val="bottom"/>
          </w:tcPr>
          <w:p>
            <w:pPr>
              <w:spacing w:after="0"/>
              <w:rPr>
                <w:sz w:val="15"/>
                <w:szCs w:val="15"/>
                <w:color w:val="auto"/>
              </w:rPr>
            </w:pPr>
          </w:p>
        </w:tc>
        <w:tc>
          <w:tcPr>
            <w:tcW w:w="1200" w:type="dxa"/>
            <w:vAlign w:val="bottom"/>
          </w:tcPr>
          <w:p>
            <w:pPr>
              <w:jc w:val="center"/>
              <w:ind w:left="394"/>
              <w:spacing w:after="0"/>
              <w:rPr>
                <w:sz w:val="20"/>
                <w:szCs w:val="20"/>
                <w:color w:val="auto"/>
              </w:rPr>
            </w:pPr>
            <w:r>
              <w:rPr>
                <w:rFonts w:ascii="Arial" w:cs="Arial" w:eastAsia="Arial" w:hAnsi="Arial"/>
                <w:sz w:val="14"/>
                <w:szCs w:val="14"/>
                <w:color w:val="auto"/>
              </w:rPr>
              <w:t>6.08%</w:t>
            </w:r>
          </w:p>
        </w:tc>
        <w:tc>
          <w:tcPr>
            <w:tcW w:w="62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w w:val="96"/>
              </w:rPr>
              <w:t>13.61%</w:t>
            </w:r>
          </w:p>
        </w:tc>
        <w:tc>
          <w:tcPr>
            <w:tcW w:w="1260" w:type="dxa"/>
            <w:vAlign w:val="bottom"/>
            <w:gridSpan w:val="2"/>
          </w:tcPr>
          <w:p>
            <w:pPr>
              <w:jc w:val="center"/>
              <w:ind w:left="655"/>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jc w:val="center"/>
              <w:ind w:right="256"/>
              <w:spacing w:after="0"/>
              <w:rPr>
                <w:sz w:val="20"/>
                <w:szCs w:val="20"/>
                <w:color w:val="auto"/>
              </w:rPr>
            </w:pPr>
            <w:r>
              <w:rPr>
                <w:rFonts w:ascii="Arial" w:cs="Arial" w:eastAsia="Arial" w:hAnsi="Arial"/>
                <w:sz w:val="14"/>
                <w:szCs w:val="14"/>
                <w:b w:val="1"/>
                <w:bCs w:val="1"/>
                <w:color w:val="auto"/>
                <w:w w:val="95"/>
              </w:rPr>
              <w:t>6.33%</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-506095</wp:posOffset>
            </wp:positionV>
            <wp:extent cx="5728335" cy="5092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728335" cy="509270"/>
                    </a:xfrm>
                    <a:prstGeom prst="rect">
                      <a:avLst/>
                    </a:prstGeom>
                    <a:noFill/>
                  </pic:spPr>
                </pic:pic>
              </a:graphicData>
            </a:graphic>
          </wp:anchor>
        </w:drawing>
      </w:r>
    </w:p>
    <w:p>
      <w:pPr>
        <w:jc w:val="center"/>
        <w:ind w:right="1160"/>
        <w:spacing w:after="0"/>
        <w:rPr>
          <w:sz w:val="20"/>
          <w:szCs w:val="20"/>
          <w:color w:val="auto"/>
        </w:rPr>
      </w:pPr>
      <w:r>
        <w:rPr>
          <w:rFonts w:ascii="Arial" w:cs="Arial" w:eastAsia="Arial" w:hAnsi="Arial"/>
          <w:sz w:val="10"/>
          <w:szCs w:val="10"/>
          <w:color w:val="auto"/>
        </w:rPr>
        <w:t>NIM: Annualized Net interest income (excluding Net Insurance Financial Expenses) / Average period end and period beginning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567690</wp:posOffset>
            </wp:positionH>
            <wp:positionV relativeFrom="paragraph">
              <wp:posOffset>93345</wp:posOffset>
            </wp:positionV>
            <wp:extent cx="5728335" cy="5092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728335" cy="509270"/>
                    </a:xfrm>
                    <a:prstGeom prst="rect">
                      <a:avLst/>
                    </a:prstGeom>
                    <a:noFill/>
                  </pic:spPr>
                </pic:pic>
              </a:graphicData>
            </a:graphic>
          </wp:anchor>
        </w:drawing>
      </w:r>
    </w:p>
    <w:p>
      <w:pPr>
        <w:spacing w:after="0" w:line="107" w:lineRule="exact"/>
        <w:rPr>
          <w:sz w:val="20"/>
          <w:szCs w:val="20"/>
          <w:color w:val="auto"/>
        </w:rPr>
      </w:pPr>
    </w:p>
    <w:tbl>
      <w:tblPr>
        <w:tblLayout w:type="fixed"/>
        <w:tblInd w:w="900" w:type="dxa"/>
        <w:tblCellMar>
          <w:top w:w="0" w:type="dxa"/>
          <w:left w:w="0" w:type="dxa"/>
          <w:bottom w:w="0" w:type="dxa"/>
          <w:right w:w="0" w:type="dxa"/>
        </w:tblCellMar>
      </w:tblPr>
      <w:tr>
        <w:trPr>
          <w:trHeight w:val="150"/>
        </w:trPr>
        <w:tc>
          <w:tcPr>
            <w:tcW w:w="3720" w:type="dxa"/>
            <w:vAlign w:val="bottom"/>
            <w:tcBorders>
              <w:top w:val="single" w:sz="8" w:color="auto"/>
            </w:tcBorders>
            <w:vMerge w:val="restart"/>
            <w:shd w:val="clear" w:color="auto" w:fill="2AD2C9"/>
          </w:tcPr>
          <w:p>
            <w:pPr>
              <w:jc w:val="center"/>
              <w:ind w:left="351"/>
              <w:spacing w:after="0"/>
              <w:rPr>
                <w:sz w:val="20"/>
                <w:szCs w:val="20"/>
                <w:color w:val="auto"/>
              </w:rPr>
            </w:pPr>
            <w:r>
              <w:rPr>
                <w:rFonts w:ascii="Arial" w:cs="Arial" w:eastAsia="Arial" w:hAnsi="Arial"/>
                <w:sz w:val="14"/>
                <w:szCs w:val="14"/>
                <w:b w:val="1"/>
                <w:bCs w:val="1"/>
                <w:color w:val="FFFFFF"/>
                <w:w w:val="97"/>
              </w:rPr>
              <w:t>Risk Adjusted NIM Breakdown</w:t>
            </w:r>
          </w:p>
        </w:tc>
        <w:tc>
          <w:tcPr>
            <w:tcW w:w="1740" w:type="dxa"/>
            <w:vAlign w:val="bottom"/>
            <w:tcBorders>
              <w:top w:val="single" w:sz="8" w:color="auto"/>
            </w:tcBorders>
            <w:shd w:val="clear" w:color="auto" w:fill="2AD2C9"/>
          </w:tcPr>
          <w:p>
            <w:pPr>
              <w:jc w:val="center"/>
              <w:ind w:left="271"/>
              <w:spacing w:after="0" w:line="150" w:lineRule="exact"/>
              <w:rPr>
                <w:sz w:val="20"/>
                <w:szCs w:val="20"/>
                <w:color w:val="auto"/>
              </w:rPr>
            </w:pPr>
            <w:r>
              <w:rPr>
                <w:rFonts w:ascii="Arial" w:cs="Arial" w:eastAsia="Arial" w:hAnsi="Arial"/>
                <w:sz w:val="14"/>
                <w:szCs w:val="14"/>
                <w:b w:val="1"/>
                <w:bCs w:val="1"/>
                <w:color w:val="FFFFFF"/>
                <w:w w:val="94"/>
              </w:rPr>
              <w:t>BCP</w:t>
            </w:r>
          </w:p>
        </w:tc>
        <w:tc>
          <w:tcPr>
            <w:tcW w:w="1160" w:type="dxa"/>
            <w:vAlign w:val="bottom"/>
            <w:tcBorders>
              <w:top w:val="single" w:sz="8" w:color="auto"/>
            </w:tcBorders>
            <w:vMerge w:val="restart"/>
            <w:shd w:val="clear" w:color="auto" w:fill="2AD2C9"/>
          </w:tcPr>
          <w:p>
            <w:pPr>
              <w:jc w:val="center"/>
              <w:spacing w:after="0"/>
              <w:rPr>
                <w:sz w:val="20"/>
                <w:szCs w:val="20"/>
                <w:color w:val="auto"/>
              </w:rPr>
            </w:pPr>
            <w:r>
              <w:rPr>
                <w:rFonts w:ascii="Arial" w:cs="Arial" w:eastAsia="Arial" w:hAnsi="Arial"/>
                <w:sz w:val="14"/>
                <w:szCs w:val="14"/>
                <w:b w:val="1"/>
                <w:bCs w:val="1"/>
                <w:color w:val="FFFFFF"/>
                <w:w w:val="98"/>
              </w:rPr>
              <w:t>Mibanco</w:t>
            </w:r>
          </w:p>
        </w:tc>
        <w:tc>
          <w:tcPr>
            <w:tcW w:w="1300" w:type="dxa"/>
            <w:vAlign w:val="bottom"/>
            <w:tcBorders>
              <w:top w:val="single" w:sz="8" w:color="auto"/>
            </w:tcBorders>
            <w:vMerge w:val="restart"/>
            <w:shd w:val="clear" w:color="auto" w:fill="2AD2C9"/>
          </w:tcPr>
          <w:p>
            <w:pPr>
              <w:jc w:val="center"/>
              <w:spacing w:after="0"/>
              <w:rPr>
                <w:sz w:val="20"/>
                <w:szCs w:val="20"/>
                <w:color w:val="auto"/>
              </w:rPr>
            </w:pPr>
            <w:r>
              <w:rPr>
                <w:rFonts w:ascii="Arial" w:cs="Arial" w:eastAsia="Arial" w:hAnsi="Arial"/>
                <w:sz w:val="14"/>
                <w:szCs w:val="14"/>
                <w:b w:val="1"/>
                <w:bCs w:val="1"/>
                <w:color w:val="FFFFFF"/>
                <w:w w:val="98"/>
              </w:rPr>
              <w:t>BCP Bolivia</w:t>
            </w:r>
          </w:p>
        </w:tc>
        <w:tc>
          <w:tcPr>
            <w:tcW w:w="1080" w:type="dxa"/>
            <w:vAlign w:val="bottom"/>
            <w:tcBorders>
              <w:top w:val="single" w:sz="8" w:color="auto"/>
            </w:tcBorders>
            <w:vMerge w:val="restart"/>
            <w:shd w:val="clear" w:color="auto" w:fill="2AD2C9"/>
          </w:tcPr>
          <w:p>
            <w:pPr>
              <w:jc w:val="center"/>
              <w:spacing w:after="0"/>
              <w:rPr>
                <w:sz w:val="20"/>
                <w:szCs w:val="20"/>
                <w:color w:val="auto"/>
              </w:rPr>
            </w:pPr>
            <w:r>
              <w:rPr>
                <w:rFonts w:ascii="Arial" w:cs="Arial" w:eastAsia="Arial" w:hAnsi="Arial"/>
                <w:sz w:val="14"/>
                <w:szCs w:val="14"/>
                <w:b w:val="1"/>
                <w:bCs w:val="1"/>
                <w:color w:val="FFFFFF"/>
                <w:w w:val="99"/>
              </w:rPr>
              <w:t>Credicorp</w:t>
            </w: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720" w:type="dxa"/>
            <w:vAlign w:val="bottom"/>
            <w:vMerge w:val="continue"/>
            <w:shd w:val="clear" w:color="auto" w:fill="2AD2C9"/>
          </w:tcPr>
          <w:p>
            <w:pPr>
              <w:spacing w:after="0"/>
              <w:rPr>
                <w:sz w:val="9"/>
                <w:szCs w:val="9"/>
                <w:color w:val="auto"/>
              </w:rPr>
            </w:pPr>
          </w:p>
        </w:tc>
        <w:tc>
          <w:tcPr>
            <w:tcW w:w="1740" w:type="dxa"/>
            <w:vAlign w:val="bottom"/>
            <w:vMerge w:val="restart"/>
            <w:shd w:val="clear" w:color="auto" w:fill="2AD2C9"/>
          </w:tcPr>
          <w:p>
            <w:pPr>
              <w:jc w:val="center"/>
              <w:ind w:left="291"/>
              <w:spacing w:after="0"/>
              <w:rPr>
                <w:sz w:val="20"/>
                <w:szCs w:val="20"/>
                <w:color w:val="auto"/>
              </w:rPr>
            </w:pPr>
            <w:r>
              <w:rPr>
                <w:rFonts w:ascii="Arial" w:cs="Arial" w:eastAsia="Arial" w:hAnsi="Arial"/>
                <w:sz w:val="14"/>
                <w:szCs w:val="14"/>
                <w:b w:val="1"/>
                <w:bCs w:val="1"/>
                <w:color w:val="FFFFFF"/>
                <w:w w:val="97"/>
              </w:rPr>
              <w:t>Stand-alone</w:t>
            </w:r>
          </w:p>
        </w:tc>
        <w:tc>
          <w:tcPr>
            <w:tcW w:w="1160" w:type="dxa"/>
            <w:vAlign w:val="bottom"/>
            <w:vMerge w:val="continue"/>
            <w:shd w:val="clear" w:color="auto" w:fill="2AD2C9"/>
          </w:tcPr>
          <w:p>
            <w:pPr>
              <w:spacing w:after="0"/>
              <w:rPr>
                <w:sz w:val="9"/>
                <w:szCs w:val="9"/>
                <w:color w:val="auto"/>
              </w:rPr>
            </w:pPr>
          </w:p>
        </w:tc>
        <w:tc>
          <w:tcPr>
            <w:tcW w:w="1300" w:type="dxa"/>
            <w:vAlign w:val="bottom"/>
            <w:vMerge w:val="continue"/>
            <w:shd w:val="clear" w:color="auto" w:fill="2AD2C9"/>
          </w:tcPr>
          <w:p>
            <w:pPr>
              <w:spacing w:after="0"/>
              <w:rPr>
                <w:sz w:val="9"/>
                <w:szCs w:val="9"/>
                <w:color w:val="auto"/>
              </w:rPr>
            </w:pPr>
          </w:p>
        </w:tc>
        <w:tc>
          <w:tcPr>
            <w:tcW w:w="1080" w:type="dxa"/>
            <w:vAlign w:val="bottom"/>
            <w:vMerge w:val="continue"/>
            <w:shd w:val="clear" w:color="auto" w:fill="2AD2C9"/>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720" w:type="dxa"/>
            <w:vAlign w:val="bottom"/>
            <w:tcBorders>
              <w:bottom w:val="single" w:sz="8" w:color="auto"/>
            </w:tcBorders>
            <w:shd w:val="clear" w:color="auto" w:fill="2AD2C9"/>
          </w:tcPr>
          <w:p>
            <w:pPr>
              <w:spacing w:after="0"/>
              <w:rPr>
                <w:sz w:val="5"/>
                <w:szCs w:val="5"/>
                <w:color w:val="auto"/>
              </w:rPr>
            </w:pPr>
          </w:p>
        </w:tc>
        <w:tc>
          <w:tcPr>
            <w:tcW w:w="1740" w:type="dxa"/>
            <w:vAlign w:val="bottom"/>
            <w:tcBorders>
              <w:bottom w:val="single" w:sz="8" w:color="auto"/>
            </w:tcBorders>
            <w:vMerge w:val="continue"/>
            <w:shd w:val="clear" w:color="auto" w:fill="2AD2C9"/>
          </w:tcPr>
          <w:p>
            <w:pPr>
              <w:spacing w:after="0"/>
              <w:rPr>
                <w:sz w:val="5"/>
                <w:szCs w:val="5"/>
                <w:color w:val="auto"/>
              </w:rPr>
            </w:pPr>
          </w:p>
        </w:tc>
        <w:tc>
          <w:tcPr>
            <w:tcW w:w="1160" w:type="dxa"/>
            <w:vAlign w:val="bottom"/>
            <w:tcBorders>
              <w:bottom w:val="single" w:sz="8" w:color="auto"/>
            </w:tcBorders>
            <w:shd w:val="clear" w:color="auto" w:fill="2AD2C9"/>
          </w:tcPr>
          <w:p>
            <w:pPr>
              <w:spacing w:after="0"/>
              <w:rPr>
                <w:sz w:val="5"/>
                <w:szCs w:val="5"/>
                <w:color w:val="auto"/>
              </w:rPr>
            </w:pPr>
          </w:p>
        </w:tc>
        <w:tc>
          <w:tcPr>
            <w:tcW w:w="1300" w:type="dxa"/>
            <w:vAlign w:val="bottom"/>
            <w:tcBorders>
              <w:bottom w:val="single" w:sz="8" w:color="auto"/>
            </w:tcBorders>
            <w:shd w:val="clear" w:color="auto" w:fill="2AD2C9"/>
          </w:tcPr>
          <w:p>
            <w:pPr>
              <w:spacing w:after="0"/>
              <w:rPr>
                <w:sz w:val="5"/>
                <w:szCs w:val="5"/>
                <w:color w:val="auto"/>
              </w:rPr>
            </w:pPr>
          </w:p>
        </w:tc>
        <w:tc>
          <w:tcPr>
            <w:tcW w:w="1080" w:type="dxa"/>
            <w:vAlign w:val="bottom"/>
            <w:tcBorders>
              <w:bottom w:val="single" w:sz="8" w:color="auto"/>
            </w:tcBorders>
            <w:shd w:val="clear" w:color="auto" w:fill="2AD2C9"/>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3720" w:type="dxa"/>
            <w:vAlign w:val="bottom"/>
          </w:tcPr>
          <w:p>
            <w:pPr>
              <w:jc w:val="center"/>
              <w:ind w:left="351"/>
              <w:spacing w:after="0" w:line="130" w:lineRule="exact"/>
              <w:rPr>
                <w:sz w:val="20"/>
                <w:szCs w:val="20"/>
                <w:color w:val="auto"/>
              </w:rPr>
            </w:pPr>
            <w:r>
              <w:rPr>
                <w:rFonts w:ascii="Arial" w:cs="Arial" w:eastAsia="Arial" w:hAnsi="Arial"/>
                <w:sz w:val="14"/>
                <w:szCs w:val="14"/>
                <w:b w:val="1"/>
                <w:bCs w:val="1"/>
                <w:color w:val="auto"/>
                <w:w w:val="99"/>
              </w:rPr>
              <w:t>2Q23</w:t>
            </w:r>
          </w:p>
        </w:tc>
        <w:tc>
          <w:tcPr>
            <w:tcW w:w="1740" w:type="dxa"/>
            <w:vAlign w:val="bottom"/>
          </w:tcPr>
          <w:p>
            <w:pPr>
              <w:jc w:val="center"/>
              <w:ind w:left="311"/>
              <w:spacing w:after="0" w:line="130" w:lineRule="exact"/>
              <w:rPr>
                <w:sz w:val="20"/>
                <w:szCs w:val="20"/>
                <w:color w:val="auto"/>
              </w:rPr>
            </w:pPr>
            <w:r>
              <w:rPr>
                <w:rFonts w:ascii="Arial" w:cs="Arial" w:eastAsia="Arial" w:hAnsi="Arial"/>
                <w:sz w:val="14"/>
                <w:szCs w:val="14"/>
                <w:color w:val="auto"/>
              </w:rPr>
              <w:t>4.25%</w:t>
            </w:r>
          </w:p>
        </w:tc>
        <w:tc>
          <w:tcPr>
            <w:tcW w:w="1160" w:type="dxa"/>
            <w:vAlign w:val="bottom"/>
          </w:tcPr>
          <w:p>
            <w:pPr>
              <w:jc w:val="center"/>
              <w:spacing w:after="0" w:line="130" w:lineRule="exact"/>
              <w:rPr>
                <w:sz w:val="20"/>
                <w:szCs w:val="20"/>
                <w:color w:val="auto"/>
              </w:rPr>
            </w:pPr>
            <w:r>
              <w:rPr>
                <w:rFonts w:ascii="Arial" w:cs="Arial" w:eastAsia="Arial" w:hAnsi="Arial"/>
                <w:sz w:val="14"/>
                <w:szCs w:val="14"/>
                <w:color w:val="auto"/>
              </w:rPr>
              <w:t>8.64%</w:t>
            </w:r>
          </w:p>
        </w:tc>
        <w:tc>
          <w:tcPr>
            <w:tcW w:w="1300" w:type="dxa"/>
            <w:vAlign w:val="bottom"/>
          </w:tcPr>
          <w:p>
            <w:pPr>
              <w:jc w:val="center"/>
              <w:spacing w:after="0" w:line="130" w:lineRule="exact"/>
              <w:rPr>
                <w:sz w:val="20"/>
                <w:szCs w:val="20"/>
                <w:color w:val="auto"/>
              </w:rPr>
            </w:pPr>
            <w:r>
              <w:rPr>
                <w:rFonts w:ascii="Arial" w:cs="Arial" w:eastAsia="Arial" w:hAnsi="Arial"/>
                <w:sz w:val="14"/>
                <w:szCs w:val="14"/>
                <w:color w:val="auto"/>
              </w:rPr>
              <w:t>3.00%</w:t>
            </w:r>
          </w:p>
        </w:tc>
        <w:tc>
          <w:tcPr>
            <w:tcW w:w="108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5"/>
              </w:rPr>
              <w:t>4.56%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720" w:type="dxa"/>
            <w:vAlign w:val="bottom"/>
          </w:tcPr>
          <w:p>
            <w:pPr>
              <w:jc w:val="center"/>
              <w:ind w:left="351"/>
              <w:spacing w:after="0" w:line="154" w:lineRule="exact"/>
              <w:rPr>
                <w:sz w:val="20"/>
                <w:szCs w:val="20"/>
                <w:color w:val="auto"/>
              </w:rPr>
            </w:pPr>
            <w:r>
              <w:rPr>
                <w:rFonts w:ascii="Arial" w:cs="Arial" w:eastAsia="Arial" w:hAnsi="Arial"/>
                <w:sz w:val="14"/>
                <w:szCs w:val="14"/>
                <w:b w:val="1"/>
                <w:bCs w:val="1"/>
                <w:color w:val="auto"/>
                <w:w w:val="99"/>
              </w:rPr>
              <w:t>1Q24</w:t>
            </w:r>
          </w:p>
        </w:tc>
        <w:tc>
          <w:tcPr>
            <w:tcW w:w="1740" w:type="dxa"/>
            <w:vAlign w:val="bottom"/>
          </w:tcPr>
          <w:p>
            <w:pPr>
              <w:jc w:val="center"/>
              <w:ind w:left="311"/>
              <w:spacing w:after="0" w:line="154" w:lineRule="exact"/>
              <w:rPr>
                <w:sz w:val="20"/>
                <w:szCs w:val="20"/>
                <w:color w:val="auto"/>
              </w:rPr>
            </w:pPr>
            <w:r>
              <w:rPr>
                <w:rFonts w:ascii="Arial" w:cs="Arial" w:eastAsia="Arial" w:hAnsi="Arial"/>
                <w:sz w:val="14"/>
                <w:szCs w:val="14"/>
                <w:color w:val="auto"/>
              </w:rPr>
              <w:t>4.64%</w:t>
            </w:r>
          </w:p>
        </w:tc>
        <w:tc>
          <w:tcPr>
            <w:tcW w:w="1160" w:type="dxa"/>
            <w:vAlign w:val="bottom"/>
          </w:tcPr>
          <w:p>
            <w:pPr>
              <w:jc w:val="center"/>
              <w:spacing w:after="0" w:line="154" w:lineRule="exact"/>
              <w:rPr>
                <w:sz w:val="20"/>
                <w:szCs w:val="20"/>
                <w:color w:val="auto"/>
              </w:rPr>
            </w:pPr>
            <w:r>
              <w:rPr>
                <w:rFonts w:ascii="Arial" w:cs="Arial" w:eastAsia="Arial" w:hAnsi="Arial"/>
                <w:sz w:val="14"/>
                <w:szCs w:val="14"/>
                <w:color w:val="auto"/>
              </w:rPr>
              <w:t>9.71%</w:t>
            </w:r>
          </w:p>
        </w:tc>
        <w:tc>
          <w:tcPr>
            <w:tcW w:w="1300" w:type="dxa"/>
            <w:vAlign w:val="bottom"/>
          </w:tcPr>
          <w:p>
            <w:pPr>
              <w:jc w:val="center"/>
              <w:spacing w:after="0" w:line="154" w:lineRule="exact"/>
              <w:rPr>
                <w:sz w:val="20"/>
                <w:szCs w:val="20"/>
                <w:color w:val="auto"/>
              </w:rPr>
            </w:pPr>
            <w:r>
              <w:rPr>
                <w:rFonts w:ascii="Arial" w:cs="Arial" w:eastAsia="Arial" w:hAnsi="Arial"/>
                <w:sz w:val="14"/>
                <w:szCs w:val="14"/>
                <w:color w:val="auto"/>
              </w:rPr>
              <w:t>2.46%</w:t>
            </w:r>
          </w:p>
        </w:tc>
        <w:tc>
          <w:tcPr>
            <w:tcW w:w="108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95"/>
              </w:rPr>
              <w:t>4.85%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20" w:type="dxa"/>
            <w:vAlign w:val="bottom"/>
          </w:tcPr>
          <w:p>
            <w:pPr>
              <w:jc w:val="center"/>
              <w:ind w:left="351"/>
              <w:spacing w:after="0"/>
              <w:rPr>
                <w:sz w:val="20"/>
                <w:szCs w:val="20"/>
                <w:color w:val="auto"/>
              </w:rPr>
            </w:pPr>
            <w:r>
              <w:rPr>
                <w:rFonts w:ascii="Arial" w:cs="Arial" w:eastAsia="Arial" w:hAnsi="Arial"/>
                <w:sz w:val="14"/>
                <w:szCs w:val="14"/>
                <w:b w:val="1"/>
                <w:bCs w:val="1"/>
                <w:color w:val="auto"/>
                <w:w w:val="99"/>
              </w:rPr>
              <w:t>2Q24</w:t>
            </w:r>
          </w:p>
        </w:tc>
        <w:tc>
          <w:tcPr>
            <w:tcW w:w="1740" w:type="dxa"/>
            <w:vAlign w:val="bottom"/>
          </w:tcPr>
          <w:p>
            <w:pPr>
              <w:jc w:val="center"/>
              <w:ind w:left="311"/>
              <w:spacing w:after="0"/>
              <w:rPr>
                <w:sz w:val="20"/>
                <w:szCs w:val="20"/>
                <w:color w:val="auto"/>
              </w:rPr>
            </w:pPr>
            <w:r>
              <w:rPr>
                <w:rFonts w:ascii="Arial" w:cs="Arial" w:eastAsia="Arial" w:hAnsi="Arial"/>
                <w:sz w:val="14"/>
                <w:szCs w:val="14"/>
                <w:color w:val="auto"/>
              </w:rPr>
              <w:t>4.30%</w:t>
            </w:r>
          </w:p>
        </w:tc>
        <w:tc>
          <w:tcPr>
            <w:tcW w:w="1160" w:type="dxa"/>
            <w:vAlign w:val="bottom"/>
          </w:tcPr>
          <w:p>
            <w:pPr>
              <w:jc w:val="center"/>
              <w:spacing w:after="0"/>
              <w:rPr>
                <w:sz w:val="20"/>
                <w:szCs w:val="20"/>
                <w:color w:val="auto"/>
              </w:rPr>
            </w:pPr>
            <w:r>
              <w:rPr>
                <w:rFonts w:ascii="Arial" w:cs="Arial" w:eastAsia="Arial" w:hAnsi="Arial"/>
                <w:sz w:val="14"/>
                <w:szCs w:val="14"/>
                <w:color w:val="auto"/>
              </w:rPr>
              <w:t>7.67%</w:t>
            </w:r>
          </w:p>
        </w:tc>
        <w:tc>
          <w:tcPr>
            <w:tcW w:w="1300" w:type="dxa"/>
            <w:vAlign w:val="bottom"/>
          </w:tcPr>
          <w:p>
            <w:pPr>
              <w:jc w:val="center"/>
              <w:spacing w:after="0"/>
              <w:rPr>
                <w:sz w:val="20"/>
                <w:szCs w:val="20"/>
                <w:color w:val="auto"/>
              </w:rPr>
            </w:pPr>
            <w:r>
              <w:rPr>
                <w:rFonts w:ascii="Arial" w:cs="Arial" w:eastAsia="Arial" w:hAnsi="Arial"/>
                <w:sz w:val="14"/>
                <w:szCs w:val="14"/>
                <w:color w:val="auto"/>
              </w:rPr>
              <w:t>2.25%</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4.40%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740"/>
        <w:spacing w:after="0"/>
        <w:rPr>
          <w:sz w:val="20"/>
          <w:szCs w:val="20"/>
          <w:color w:val="auto"/>
        </w:rPr>
      </w:pPr>
      <w:r>
        <w:rPr>
          <w:rFonts w:ascii="Arial" w:cs="Arial" w:eastAsia="Arial" w:hAnsi="Arial"/>
          <w:sz w:val="10"/>
          <w:szCs w:val="10"/>
          <w:color w:val="auto"/>
        </w:rPr>
        <w:t>Risk-Adjusted NIM: (Annualized Net interest income (excluding Net Insurance Financial Expenses) - annualized provisions) / Average period end and period beginning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753110</wp:posOffset>
            </wp:positionV>
            <wp:extent cx="7164705" cy="133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93345</wp:posOffset>
            </wp:positionV>
            <wp:extent cx="1502410" cy="4438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5243830</wp:posOffset>
            </wp:positionH>
            <wp:positionV relativeFrom="paragraph">
              <wp:posOffset>230505</wp:posOffset>
            </wp:positionV>
            <wp:extent cx="1769745" cy="3067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769745" cy="306705"/>
                    </a:xfrm>
                    <a:prstGeom prst="rect">
                      <a:avLst/>
                    </a:prstGeom>
                    <a:noFill/>
                  </pic:spPr>
                </pic:pic>
              </a:graphicData>
            </a:graphic>
          </wp:anchor>
        </w:drawing>
      </w:r>
    </w:p>
    <w:p>
      <w:pPr>
        <w:sectPr>
          <w:pgSz w:w="11900" w:h="16838" w:orient="portrait"/>
          <w:cols w:equalWidth="0" w:num="1">
            <w:col w:w="10880"/>
          </w:cols>
          <w:pgMar w:left="540" w:top="300" w:right="479" w:bottom="1440" w:gutter="0" w:footer="0" w:header="0"/>
        </w:sectPr>
      </w:pPr>
    </w:p>
    <w:bookmarkStart w:id="54" w:name="page55"/>
    <w:bookmarkEnd w:id="54"/>
    <w:p>
      <w:pPr>
        <w:ind w:left="2480"/>
        <w:spacing w:after="0"/>
        <w:tabs>
          <w:tab w:leader="none" w:pos="2680" w:val="left"/>
          <w:tab w:leader="none" w:pos="7680"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10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64705" cy="581025"/>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12. Appendix</w:t>
      </w:r>
    </w:p>
    <w:p>
      <w:pPr>
        <w:spacing w:after="0" w:line="24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12.5. Regulatory Capital</w:t>
      </w:r>
    </w:p>
    <w:p>
      <w:pPr>
        <w:spacing w:after="0" w:line="145" w:lineRule="exact"/>
        <w:rPr>
          <w:sz w:val="20"/>
          <w:szCs w:val="20"/>
          <w:color w:val="auto"/>
        </w:rPr>
      </w:pPr>
    </w:p>
    <w:p>
      <w:pPr>
        <w:jc w:val="center"/>
        <w:ind w:right="-319"/>
        <w:spacing w:after="0"/>
        <w:rPr>
          <w:sz w:val="20"/>
          <w:szCs w:val="20"/>
          <w:color w:val="auto"/>
        </w:rPr>
      </w:pPr>
      <w:r>
        <w:rPr>
          <w:rFonts w:ascii="Arial" w:cs="Arial" w:eastAsia="Arial" w:hAnsi="Arial"/>
          <w:sz w:val="15"/>
          <w:szCs w:val="15"/>
          <w:b w:val="1"/>
          <w:bCs w:val="1"/>
          <w:color w:val="auto"/>
        </w:rPr>
        <w:t>Regulatory Capital and Capital Adequacy Ratios</w:t>
      </w:r>
    </w:p>
    <w:p>
      <w:pPr>
        <w:spacing w:after="0" w:line="6" w:lineRule="exact"/>
        <w:rPr>
          <w:sz w:val="20"/>
          <w:szCs w:val="20"/>
          <w:color w:val="auto"/>
        </w:rPr>
      </w:pPr>
    </w:p>
    <w:p>
      <w:pPr>
        <w:jc w:val="center"/>
        <w:ind w:right="-319"/>
        <w:spacing w:after="0"/>
        <w:rPr>
          <w:sz w:val="20"/>
          <w:szCs w:val="20"/>
          <w:color w:val="auto"/>
        </w:rPr>
      </w:pPr>
      <w:r>
        <w:rPr>
          <w:rFonts w:ascii="Arial" w:cs="Arial" w:eastAsia="Arial" w:hAnsi="Arial"/>
          <w:sz w:val="15"/>
          <w:szCs w:val="15"/>
          <w:b w:val="1"/>
          <w:bCs w:val="1"/>
          <w:color w:val="auto"/>
        </w:rPr>
        <w:t>(S/ Thousands, IFRS)</w:t>
      </w:r>
    </w:p>
    <w:p>
      <w:pPr>
        <w:spacing w:after="0" w:line="129" w:lineRule="exact"/>
        <w:rPr>
          <w:sz w:val="20"/>
          <w:szCs w:val="20"/>
          <w:color w:val="auto"/>
        </w:rPr>
      </w:pPr>
    </w:p>
    <w:tbl>
      <w:tblPr>
        <w:tblLayout w:type="fixed"/>
        <w:tblInd w:w="330" w:type="dxa"/>
        <w:tblCellMar>
          <w:top w:w="0" w:type="dxa"/>
          <w:left w:w="0" w:type="dxa"/>
          <w:bottom w:w="0" w:type="dxa"/>
          <w:right w:w="0" w:type="dxa"/>
        </w:tblCellMar>
      </w:tblPr>
      <w:tr>
        <w:trPr>
          <w:trHeight w:val="154"/>
        </w:trPr>
        <w:tc>
          <w:tcPr>
            <w:tcW w:w="6220" w:type="dxa"/>
            <w:vAlign w:val="bottom"/>
            <w:tcBorders>
              <w:top w:val="single" w:sz="8" w:color="auto"/>
              <w:left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2"/>
                <w:szCs w:val="12"/>
                <w:b w:val="1"/>
                <w:bCs w:val="1"/>
                <w:color w:val="FFFFFF"/>
              </w:rPr>
              <w:t>Regulatory Capital and Capital Adequacy Ratios</w:t>
            </w:r>
          </w:p>
        </w:tc>
        <w:tc>
          <w:tcPr>
            <w:tcW w:w="1060" w:type="dxa"/>
            <w:vAlign w:val="bottom"/>
            <w:tcBorders>
              <w:top w:val="single" w:sz="8" w:color="auto"/>
            </w:tcBorders>
            <w:shd w:val="clear" w:color="auto" w:fill="2AD2C9"/>
          </w:tcPr>
          <w:p>
            <w:pPr>
              <w:spacing w:after="0"/>
              <w:rPr>
                <w:sz w:val="13"/>
                <w:szCs w:val="13"/>
                <w:color w:val="auto"/>
              </w:rPr>
            </w:pPr>
          </w:p>
        </w:tc>
        <w:tc>
          <w:tcPr>
            <w:tcW w:w="1580" w:type="dxa"/>
            <w:vAlign w:val="bottom"/>
            <w:tcBorders>
              <w:top w:val="single" w:sz="8" w:color="auto"/>
              <w:right w:val="single" w:sz="8" w:color="auto"/>
            </w:tcBorders>
            <w:shd w:val="clear" w:color="auto" w:fill="2AD2C9"/>
          </w:tcPr>
          <w:p>
            <w:pPr>
              <w:ind w:left="80"/>
              <w:spacing w:after="0"/>
              <w:rPr>
                <w:sz w:val="20"/>
                <w:szCs w:val="20"/>
                <w:color w:val="auto"/>
              </w:rPr>
            </w:pPr>
            <w:r>
              <w:rPr>
                <w:rFonts w:ascii="Arial" w:cs="Arial" w:eastAsia="Arial" w:hAnsi="Arial"/>
                <w:sz w:val="12"/>
                <w:szCs w:val="12"/>
                <w:b w:val="1"/>
                <w:bCs w:val="1"/>
                <w:color w:val="FFFFFF"/>
              </w:rPr>
              <w:t>As of</w:t>
            </w:r>
          </w:p>
        </w:tc>
        <w:tc>
          <w:tcPr>
            <w:tcW w:w="130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2"/>
                <w:szCs w:val="12"/>
                <w:b w:val="1"/>
                <w:bCs w:val="1"/>
                <w:color w:val="FFFFFF"/>
              </w:rPr>
              <w:t>% Change</w:t>
            </w:r>
          </w:p>
        </w:tc>
      </w:tr>
      <w:tr>
        <w:trPr>
          <w:trHeight w:val="144"/>
        </w:trPr>
        <w:tc>
          <w:tcPr>
            <w:tcW w:w="622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2"/>
                <w:szCs w:val="12"/>
                <w:b w:val="1"/>
                <w:bCs w:val="1"/>
                <w:color w:val="FFFFFF"/>
              </w:rPr>
              <w:t>S/000</w:t>
            </w:r>
          </w:p>
        </w:tc>
        <w:tc>
          <w:tcPr>
            <w:tcW w:w="1060" w:type="dxa"/>
            <w:vAlign w:val="bottom"/>
            <w:tcBorders>
              <w:bottom w:val="single" w:sz="8" w:color="auto"/>
            </w:tcBorders>
            <w:shd w:val="clear" w:color="auto" w:fill="2AD2C9"/>
          </w:tcPr>
          <w:p>
            <w:pPr>
              <w:ind w:left="440"/>
              <w:spacing w:after="0"/>
              <w:rPr>
                <w:sz w:val="20"/>
                <w:szCs w:val="20"/>
                <w:color w:val="auto"/>
              </w:rPr>
            </w:pPr>
            <w:r>
              <w:rPr>
                <w:rFonts w:ascii="Arial" w:cs="Arial" w:eastAsia="Arial" w:hAnsi="Arial"/>
                <w:sz w:val="12"/>
                <w:szCs w:val="12"/>
                <w:b w:val="1"/>
                <w:bCs w:val="1"/>
                <w:color w:val="FFFFFF"/>
              </w:rPr>
              <w:t>Mar 24</w:t>
            </w:r>
          </w:p>
        </w:tc>
        <w:tc>
          <w:tcPr>
            <w:tcW w:w="1580" w:type="dxa"/>
            <w:vAlign w:val="bottom"/>
            <w:tcBorders>
              <w:bottom w:val="single" w:sz="8" w:color="auto"/>
              <w:right w:val="single" w:sz="8" w:color="auto"/>
            </w:tcBorders>
            <w:shd w:val="clear" w:color="auto" w:fill="2AD2C9"/>
          </w:tcPr>
          <w:p>
            <w:pPr>
              <w:jc w:val="center"/>
              <w:ind w:left="158"/>
              <w:spacing w:after="0"/>
              <w:rPr>
                <w:sz w:val="20"/>
                <w:szCs w:val="20"/>
                <w:color w:val="auto"/>
              </w:rPr>
            </w:pPr>
            <w:r>
              <w:rPr>
                <w:rFonts w:ascii="Arial" w:cs="Arial" w:eastAsia="Arial" w:hAnsi="Arial"/>
                <w:sz w:val="12"/>
                <w:szCs w:val="12"/>
                <w:b w:val="1"/>
                <w:bCs w:val="1"/>
                <w:color w:val="FFFFFF"/>
              </w:rPr>
              <w:t>Jun 24</w:t>
            </w:r>
          </w:p>
        </w:tc>
        <w:tc>
          <w:tcPr>
            <w:tcW w:w="13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2"/>
                <w:szCs w:val="12"/>
                <w:b w:val="1"/>
                <w:bCs w:val="1"/>
                <w:color w:val="FFFFFF"/>
              </w:rPr>
              <w:t>QoQ</w:t>
            </w:r>
          </w:p>
        </w:tc>
      </w:tr>
      <w:tr>
        <w:trPr>
          <w:trHeight w:val="124"/>
        </w:trPr>
        <w:tc>
          <w:tcPr>
            <w:tcW w:w="6220" w:type="dxa"/>
            <w:vAlign w:val="bottom"/>
            <w:tcBorders>
              <w:left w:val="single" w:sz="8" w:color="auto"/>
              <w:right w:val="single" w:sz="8" w:color="auto"/>
            </w:tcBorders>
          </w:tcPr>
          <w:p>
            <w:pPr>
              <w:ind w:left="120"/>
              <w:spacing w:after="0" w:line="124" w:lineRule="exact"/>
              <w:rPr>
                <w:sz w:val="20"/>
                <w:szCs w:val="20"/>
                <w:color w:val="auto"/>
              </w:rPr>
            </w:pPr>
            <w:r>
              <w:rPr>
                <w:rFonts w:ascii="Arial" w:cs="Arial" w:eastAsia="Arial" w:hAnsi="Arial"/>
                <w:sz w:val="12"/>
                <w:szCs w:val="12"/>
                <w:color w:val="auto"/>
              </w:rPr>
              <w:t>Capital Stock</w:t>
            </w:r>
          </w:p>
        </w:tc>
        <w:tc>
          <w:tcPr>
            <w:tcW w:w="1060" w:type="dxa"/>
            <w:vAlign w:val="bottom"/>
          </w:tcPr>
          <w:p>
            <w:pPr>
              <w:jc w:val="center"/>
              <w:ind w:left="158"/>
              <w:spacing w:after="0" w:line="124" w:lineRule="exact"/>
              <w:rPr>
                <w:sz w:val="20"/>
                <w:szCs w:val="20"/>
                <w:color w:val="auto"/>
              </w:rPr>
            </w:pPr>
            <w:r>
              <w:rPr>
                <w:rFonts w:ascii="Arial" w:cs="Arial" w:eastAsia="Arial" w:hAnsi="Arial"/>
                <w:sz w:val="12"/>
                <w:szCs w:val="12"/>
                <w:color w:val="auto"/>
              </w:rPr>
              <w:t>1,318,993</w:t>
            </w:r>
          </w:p>
        </w:tc>
        <w:tc>
          <w:tcPr>
            <w:tcW w:w="1580" w:type="dxa"/>
            <w:vAlign w:val="bottom"/>
            <w:tcBorders>
              <w:right w:val="single" w:sz="8" w:color="auto"/>
            </w:tcBorders>
          </w:tcPr>
          <w:p>
            <w:pPr>
              <w:jc w:val="center"/>
              <w:ind w:left="178"/>
              <w:spacing w:after="0" w:line="124" w:lineRule="exact"/>
              <w:rPr>
                <w:sz w:val="20"/>
                <w:szCs w:val="20"/>
                <w:color w:val="auto"/>
              </w:rPr>
            </w:pPr>
            <w:r>
              <w:rPr>
                <w:rFonts w:ascii="Arial" w:cs="Arial" w:eastAsia="Arial" w:hAnsi="Arial"/>
                <w:sz w:val="12"/>
                <w:szCs w:val="12"/>
                <w:color w:val="auto"/>
              </w:rPr>
              <w:t>1,318,993</w:t>
            </w:r>
          </w:p>
        </w:tc>
        <w:tc>
          <w:tcPr>
            <w:tcW w:w="13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8"/>
              </w:rPr>
              <w:t>-</w:t>
            </w:r>
          </w:p>
        </w:tc>
      </w:tr>
      <w:tr>
        <w:trPr>
          <w:trHeight w:val="144"/>
        </w:trPr>
        <w:tc>
          <w:tcPr>
            <w:tcW w:w="6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2"/>
                <w:szCs w:val="12"/>
                <w:color w:val="auto"/>
              </w:rPr>
              <w:t>Treasury Stocks</w:t>
            </w:r>
          </w:p>
        </w:tc>
        <w:tc>
          <w:tcPr>
            <w:tcW w:w="1060" w:type="dxa"/>
            <w:vAlign w:val="bottom"/>
          </w:tcPr>
          <w:p>
            <w:pPr>
              <w:jc w:val="center"/>
              <w:ind w:left="158"/>
              <w:spacing w:after="0"/>
              <w:rPr>
                <w:sz w:val="20"/>
                <w:szCs w:val="20"/>
                <w:color w:val="auto"/>
              </w:rPr>
            </w:pPr>
            <w:r>
              <w:rPr>
                <w:rFonts w:ascii="Arial" w:cs="Arial" w:eastAsia="Arial" w:hAnsi="Arial"/>
                <w:sz w:val="12"/>
                <w:szCs w:val="12"/>
                <w:color w:val="auto"/>
              </w:rPr>
              <w:t>(208,343)</w:t>
            </w:r>
          </w:p>
        </w:tc>
        <w:tc>
          <w:tcPr>
            <w:tcW w:w="1580" w:type="dxa"/>
            <w:vAlign w:val="bottom"/>
            <w:tcBorders>
              <w:right w:val="single" w:sz="8" w:color="auto"/>
            </w:tcBorders>
          </w:tcPr>
          <w:p>
            <w:pPr>
              <w:jc w:val="center"/>
              <w:ind w:left="178"/>
              <w:spacing w:after="0"/>
              <w:rPr>
                <w:sz w:val="20"/>
                <w:szCs w:val="20"/>
                <w:color w:val="auto"/>
              </w:rPr>
            </w:pPr>
            <w:r>
              <w:rPr>
                <w:rFonts w:ascii="Arial" w:cs="Arial" w:eastAsia="Arial" w:hAnsi="Arial"/>
                <w:sz w:val="12"/>
                <w:szCs w:val="12"/>
                <w:color w:val="auto"/>
              </w:rPr>
              <w:t>(208,918)</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0.3%</w:t>
            </w:r>
          </w:p>
        </w:tc>
      </w:tr>
      <w:tr>
        <w:trPr>
          <w:trHeight w:val="144"/>
        </w:trPr>
        <w:tc>
          <w:tcPr>
            <w:tcW w:w="6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2"/>
                <w:szCs w:val="12"/>
                <w:color w:val="auto"/>
              </w:rPr>
              <w:t>Capital Surplus</w:t>
            </w:r>
          </w:p>
        </w:tc>
        <w:tc>
          <w:tcPr>
            <w:tcW w:w="1060" w:type="dxa"/>
            <w:vAlign w:val="bottom"/>
          </w:tcPr>
          <w:p>
            <w:pPr>
              <w:jc w:val="center"/>
              <w:ind w:left="158"/>
              <w:spacing w:after="0"/>
              <w:rPr>
                <w:sz w:val="20"/>
                <w:szCs w:val="20"/>
                <w:color w:val="auto"/>
              </w:rPr>
            </w:pPr>
            <w:r>
              <w:rPr>
                <w:rFonts w:ascii="Arial" w:cs="Arial" w:eastAsia="Arial" w:hAnsi="Arial"/>
                <w:sz w:val="12"/>
                <w:szCs w:val="12"/>
                <w:color w:val="auto"/>
              </w:rPr>
              <w:t>201,965</w:t>
            </w:r>
          </w:p>
        </w:tc>
        <w:tc>
          <w:tcPr>
            <w:tcW w:w="1580" w:type="dxa"/>
            <w:vAlign w:val="bottom"/>
            <w:tcBorders>
              <w:right w:val="single" w:sz="8" w:color="auto"/>
            </w:tcBorders>
          </w:tcPr>
          <w:p>
            <w:pPr>
              <w:jc w:val="center"/>
              <w:ind w:left="178"/>
              <w:spacing w:after="0"/>
              <w:rPr>
                <w:sz w:val="20"/>
                <w:szCs w:val="20"/>
                <w:color w:val="auto"/>
              </w:rPr>
            </w:pPr>
            <w:r>
              <w:rPr>
                <w:rFonts w:ascii="Arial" w:cs="Arial" w:eastAsia="Arial" w:hAnsi="Arial"/>
                <w:sz w:val="12"/>
                <w:szCs w:val="12"/>
                <w:color w:val="auto"/>
              </w:rPr>
              <w:t>172,302</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-14.7%</w:t>
            </w:r>
          </w:p>
        </w:tc>
      </w:tr>
      <w:tr>
        <w:trPr>
          <w:trHeight w:val="144"/>
        </w:trPr>
        <w:tc>
          <w:tcPr>
            <w:tcW w:w="6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2"/>
                <w:szCs w:val="12"/>
                <w:color w:val="auto"/>
              </w:rPr>
              <w:t>Legal and Other Capital reserves</w:t>
            </w:r>
          </w:p>
        </w:tc>
        <w:tc>
          <w:tcPr>
            <w:tcW w:w="1060" w:type="dxa"/>
            <w:vAlign w:val="bottom"/>
          </w:tcPr>
          <w:p>
            <w:pPr>
              <w:jc w:val="center"/>
              <w:ind w:left="178"/>
              <w:spacing w:after="0"/>
              <w:rPr>
                <w:sz w:val="20"/>
                <w:szCs w:val="20"/>
                <w:color w:val="auto"/>
              </w:rPr>
            </w:pPr>
            <w:r>
              <w:rPr>
                <w:rFonts w:ascii="Arial" w:cs="Arial" w:eastAsia="Arial" w:hAnsi="Arial"/>
                <w:sz w:val="12"/>
                <w:szCs w:val="12"/>
                <w:color w:val="auto"/>
              </w:rPr>
              <w:t>26,213,432</w:t>
            </w:r>
          </w:p>
        </w:tc>
        <w:tc>
          <w:tcPr>
            <w:tcW w:w="1580" w:type="dxa"/>
            <w:vAlign w:val="bottom"/>
            <w:tcBorders>
              <w:right w:val="single" w:sz="8" w:color="auto"/>
            </w:tcBorders>
          </w:tcPr>
          <w:p>
            <w:pPr>
              <w:jc w:val="center"/>
              <w:ind w:left="178"/>
              <w:spacing w:after="0"/>
              <w:rPr>
                <w:sz w:val="20"/>
                <w:szCs w:val="20"/>
                <w:color w:val="auto"/>
              </w:rPr>
            </w:pPr>
            <w:r>
              <w:rPr>
                <w:rFonts w:ascii="Arial" w:cs="Arial" w:eastAsia="Arial" w:hAnsi="Arial"/>
                <w:sz w:val="12"/>
                <w:szCs w:val="12"/>
                <w:color w:val="auto"/>
              </w:rPr>
              <w:t>28,008,037</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6.8%</w:t>
            </w:r>
          </w:p>
        </w:tc>
      </w:tr>
      <w:tr>
        <w:trPr>
          <w:trHeight w:val="144"/>
        </w:trPr>
        <w:tc>
          <w:tcPr>
            <w:tcW w:w="6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2"/>
                <w:szCs w:val="12"/>
                <w:color w:val="auto"/>
              </w:rPr>
              <w:t>Minority interest</w:t>
            </w:r>
          </w:p>
        </w:tc>
        <w:tc>
          <w:tcPr>
            <w:tcW w:w="1060" w:type="dxa"/>
            <w:vAlign w:val="bottom"/>
          </w:tcPr>
          <w:p>
            <w:pPr>
              <w:jc w:val="center"/>
              <w:ind w:left="158"/>
              <w:spacing w:after="0"/>
              <w:rPr>
                <w:sz w:val="20"/>
                <w:szCs w:val="20"/>
                <w:color w:val="auto"/>
              </w:rPr>
            </w:pPr>
            <w:r>
              <w:rPr>
                <w:rFonts w:ascii="Arial" w:cs="Arial" w:eastAsia="Arial" w:hAnsi="Arial"/>
                <w:sz w:val="12"/>
                <w:szCs w:val="12"/>
                <w:color w:val="auto"/>
              </w:rPr>
              <w:t>522,309</w:t>
            </w:r>
          </w:p>
        </w:tc>
        <w:tc>
          <w:tcPr>
            <w:tcW w:w="1580" w:type="dxa"/>
            <w:vAlign w:val="bottom"/>
            <w:tcBorders>
              <w:right w:val="single" w:sz="8" w:color="auto"/>
            </w:tcBorders>
          </w:tcPr>
          <w:p>
            <w:pPr>
              <w:jc w:val="center"/>
              <w:ind w:left="178"/>
              <w:spacing w:after="0"/>
              <w:rPr>
                <w:sz w:val="20"/>
                <w:szCs w:val="20"/>
                <w:color w:val="auto"/>
              </w:rPr>
            </w:pPr>
            <w:r>
              <w:rPr>
                <w:rFonts w:ascii="Arial" w:cs="Arial" w:eastAsia="Arial" w:hAnsi="Arial"/>
                <w:sz w:val="12"/>
                <w:szCs w:val="12"/>
                <w:color w:val="auto"/>
              </w:rPr>
              <w:t>518,838</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-0.7%</w:t>
            </w:r>
          </w:p>
        </w:tc>
      </w:tr>
      <w:tr>
        <w:trPr>
          <w:trHeight w:val="144"/>
        </w:trPr>
        <w:tc>
          <w:tcPr>
            <w:tcW w:w="6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2"/>
                <w:szCs w:val="12"/>
                <w:color w:val="auto"/>
              </w:rPr>
              <w:t>Current and Accumulated Earnings (1)</w:t>
            </w:r>
          </w:p>
        </w:tc>
        <w:tc>
          <w:tcPr>
            <w:tcW w:w="1060" w:type="dxa"/>
            <w:vAlign w:val="bottom"/>
          </w:tcPr>
          <w:p>
            <w:pPr>
              <w:jc w:val="center"/>
              <w:ind w:left="158"/>
              <w:spacing w:after="0"/>
              <w:rPr>
                <w:sz w:val="20"/>
                <w:szCs w:val="20"/>
                <w:color w:val="auto"/>
              </w:rPr>
            </w:pPr>
            <w:r>
              <w:rPr>
                <w:rFonts w:ascii="Arial" w:cs="Arial" w:eastAsia="Arial" w:hAnsi="Arial"/>
                <w:sz w:val="12"/>
                <w:szCs w:val="12"/>
                <w:color w:val="auto"/>
              </w:rPr>
              <w:t>2,639,191</w:t>
            </w:r>
          </w:p>
        </w:tc>
        <w:tc>
          <w:tcPr>
            <w:tcW w:w="1580" w:type="dxa"/>
            <w:vAlign w:val="bottom"/>
            <w:tcBorders>
              <w:right w:val="single" w:sz="8" w:color="auto"/>
            </w:tcBorders>
          </w:tcPr>
          <w:p>
            <w:pPr>
              <w:jc w:val="center"/>
              <w:ind w:left="178"/>
              <w:spacing w:after="0"/>
              <w:rPr>
                <w:sz w:val="20"/>
                <w:szCs w:val="20"/>
                <w:color w:val="auto"/>
              </w:rPr>
            </w:pPr>
            <w:r>
              <w:rPr>
                <w:rFonts w:ascii="Arial" w:cs="Arial" w:eastAsia="Arial" w:hAnsi="Arial"/>
                <w:sz w:val="12"/>
                <w:szCs w:val="12"/>
                <w:color w:val="auto"/>
              </w:rPr>
              <w:t>3,914,339</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48.3%</w:t>
            </w:r>
          </w:p>
        </w:tc>
      </w:tr>
      <w:tr>
        <w:trPr>
          <w:trHeight w:val="144"/>
        </w:trPr>
        <w:tc>
          <w:tcPr>
            <w:tcW w:w="6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2"/>
                <w:szCs w:val="12"/>
                <w:color w:val="auto"/>
              </w:rPr>
              <w:t>Unrealized Gains or Losses (2)</w:t>
            </w:r>
          </w:p>
        </w:tc>
        <w:tc>
          <w:tcPr>
            <w:tcW w:w="1060" w:type="dxa"/>
            <w:vAlign w:val="bottom"/>
          </w:tcPr>
          <w:p>
            <w:pPr>
              <w:jc w:val="center"/>
              <w:ind w:left="158"/>
              <w:spacing w:after="0"/>
              <w:rPr>
                <w:sz w:val="20"/>
                <w:szCs w:val="20"/>
                <w:color w:val="auto"/>
              </w:rPr>
            </w:pPr>
            <w:r>
              <w:rPr>
                <w:rFonts w:ascii="Arial" w:cs="Arial" w:eastAsia="Arial" w:hAnsi="Arial"/>
                <w:sz w:val="12"/>
                <w:szCs w:val="12"/>
                <w:color w:val="auto"/>
              </w:rPr>
              <w:t>(991,283)</w:t>
            </w:r>
          </w:p>
        </w:tc>
        <w:tc>
          <w:tcPr>
            <w:tcW w:w="1580" w:type="dxa"/>
            <w:vAlign w:val="bottom"/>
            <w:tcBorders>
              <w:right w:val="single" w:sz="8" w:color="auto"/>
            </w:tcBorders>
          </w:tcPr>
          <w:p>
            <w:pPr>
              <w:jc w:val="center"/>
              <w:ind w:left="178"/>
              <w:spacing w:after="0"/>
              <w:rPr>
                <w:sz w:val="20"/>
                <w:szCs w:val="20"/>
                <w:color w:val="auto"/>
              </w:rPr>
            </w:pPr>
            <w:r>
              <w:rPr>
                <w:rFonts w:ascii="Arial" w:cs="Arial" w:eastAsia="Arial" w:hAnsi="Arial"/>
                <w:sz w:val="12"/>
                <w:szCs w:val="12"/>
                <w:color w:val="auto"/>
              </w:rPr>
              <w:t>(936,472)</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-5.5%</w:t>
            </w:r>
          </w:p>
        </w:tc>
      </w:tr>
      <w:tr>
        <w:trPr>
          <w:trHeight w:val="144"/>
        </w:trPr>
        <w:tc>
          <w:tcPr>
            <w:tcW w:w="6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2"/>
                <w:szCs w:val="12"/>
                <w:color w:val="auto"/>
              </w:rPr>
              <w:t>Goodwill</w:t>
            </w:r>
          </w:p>
        </w:tc>
        <w:tc>
          <w:tcPr>
            <w:tcW w:w="1060" w:type="dxa"/>
            <w:vAlign w:val="bottom"/>
          </w:tcPr>
          <w:p>
            <w:pPr>
              <w:jc w:val="center"/>
              <w:ind w:left="158"/>
              <w:spacing w:after="0"/>
              <w:rPr>
                <w:sz w:val="20"/>
                <w:szCs w:val="20"/>
                <w:color w:val="auto"/>
              </w:rPr>
            </w:pPr>
            <w:r>
              <w:rPr>
                <w:rFonts w:ascii="Arial" w:cs="Arial" w:eastAsia="Arial" w:hAnsi="Arial"/>
                <w:sz w:val="12"/>
                <w:szCs w:val="12"/>
                <w:color w:val="auto"/>
              </w:rPr>
              <w:t>(768,869)</w:t>
            </w:r>
          </w:p>
        </w:tc>
        <w:tc>
          <w:tcPr>
            <w:tcW w:w="1580" w:type="dxa"/>
            <w:vAlign w:val="bottom"/>
            <w:tcBorders>
              <w:right w:val="single" w:sz="8" w:color="auto"/>
            </w:tcBorders>
          </w:tcPr>
          <w:p>
            <w:pPr>
              <w:jc w:val="center"/>
              <w:ind w:left="178"/>
              <w:spacing w:after="0"/>
              <w:rPr>
                <w:sz w:val="20"/>
                <w:szCs w:val="20"/>
                <w:color w:val="auto"/>
              </w:rPr>
            </w:pPr>
            <w:r>
              <w:rPr>
                <w:rFonts w:ascii="Arial" w:cs="Arial" w:eastAsia="Arial" w:hAnsi="Arial"/>
                <w:sz w:val="12"/>
                <w:szCs w:val="12"/>
                <w:color w:val="auto"/>
              </w:rPr>
              <w:t>(763,671)</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-0.7%</w:t>
            </w:r>
          </w:p>
        </w:tc>
      </w:tr>
      <w:tr>
        <w:trPr>
          <w:trHeight w:val="144"/>
        </w:trPr>
        <w:tc>
          <w:tcPr>
            <w:tcW w:w="6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2"/>
                <w:szCs w:val="12"/>
                <w:color w:val="auto"/>
              </w:rPr>
              <w:t>Intangible Assets (3)</w:t>
            </w:r>
          </w:p>
        </w:tc>
        <w:tc>
          <w:tcPr>
            <w:tcW w:w="1060" w:type="dxa"/>
            <w:vAlign w:val="bottom"/>
          </w:tcPr>
          <w:p>
            <w:pPr>
              <w:jc w:val="center"/>
              <w:ind w:left="158"/>
              <w:spacing w:after="0"/>
              <w:rPr>
                <w:sz w:val="20"/>
                <w:szCs w:val="20"/>
                <w:color w:val="auto"/>
              </w:rPr>
            </w:pPr>
            <w:r>
              <w:rPr>
                <w:rFonts w:ascii="Arial" w:cs="Arial" w:eastAsia="Arial" w:hAnsi="Arial"/>
                <w:sz w:val="12"/>
                <w:szCs w:val="12"/>
                <w:color w:val="auto"/>
              </w:rPr>
              <w:t>(1,935,419)</w:t>
            </w:r>
          </w:p>
        </w:tc>
        <w:tc>
          <w:tcPr>
            <w:tcW w:w="1580" w:type="dxa"/>
            <w:vAlign w:val="bottom"/>
            <w:tcBorders>
              <w:right w:val="single" w:sz="8" w:color="auto"/>
            </w:tcBorders>
          </w:tcPr>
          <w:p>
            <w:pPr>
              <w:jc w:val="center"/>
              <w:ind w:left="178"/>
              <w:spacing w:after="0"/>
              <w:rPr>
                <w:sz w:val="20"/>
                <w:szCs w:val="20"/>
                <w:color w:val="auto"/>
              </w:rPr>
            </w:pPr>
            <w:r>
              <w:rPr>
                <w:rFonts w:ascii="Arial" w:cs="Arial" w:eastAsia="Arial" w:hAnsi="Arial"/>
                <w:sz w:val="12"/>
                <w:szCs w:val="12"/>
                <w:color w:val="auto"/>
              </w:rPr>
              <w:t>(2,151,836)</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11.2%</w:t>
            </w:r>
          </w:p>
        </w:tc>
      </w:tr>
      <w:tr>
        <w:trPr>
          <w:trHeight w:val="144"/>
        </w:trPr>
        <w:tc>
          <w:tcPr>
            <w:tcW w:w="6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2"/>
                <w:szCs w:val="12"/>
                <w:color w:val="auto"/>
              </w:rPr>
              <w:t>Deductions in Common Equity Tier 1 instruments (4)</w:t>
            </w:r>
          </w:p>
        </w:tc>
        <w:tc>
          <w:tcPr>
            <w:tcW w:w="1060" w:type="dxa"/>
            <w:vAlign w:val="bottom"/>
          </w:tcPr>
          <w:p>
            <w:pPr>
              <w:jc w:val="center"/>
              <w:ind w:left="158"/>
              <w:spacing w:after="0"/>
              <w:rPr>
                <w:sz w:val="20"/>
                <w:szCs w:val="20"/>
                <w:color w:val="auto"/>
              </w:rPr>
            </w:pPr>
            <w:r>
              <w:rPr>
                <w:rFonts w:ascii="Arial" w:cs="Arial" w:eastAsia="Arial" w:hAnsi="Arial"/>
                <w:sz w:val="12"/>
                <w:szCs w:val="12"/>
                <w:color w:val="auto"/>
              </w:rPr>
              <w:t>(699,843)</w:t>
            </w:r>
          </w:p>
        </w:tc>
        <w:tc>
          <w:tcPr>
            <w:tcW w:w="1580" w:type="dxa"/>
            <w:vAlign w:val="bottom"/>
            <w:tcBorders>
              <w:right w:val="single" w:sz="8" w:color="auto"/>
            </w:tcBorders>
          </w:tcPr>
          <w:p>
            <w:pPr>
              <w:jc w:val="center"/>
              <w:ind w:left="178"/>
              <w:spacing w:after="0"/>
              <w:rPr>
                <w:sz w:val="20"/>
                <w:szCs w:val="20"/>
                <w:color w:val="auto"/>
              </w:rPr>
            </w:pPr>
            <w:r>
              <w:rPr>
                <w:rFonts w:ascii="Arial" w:cs="Arial" w:eastAsia="Arial" w:hAnsi="Arial"/>
                <w:sz w:val="12"/>
                <w:szCs w:val="12"/>
                <w:color w:val="auto"/>
              </w:rPr>
              <w:t>(685,466)</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-2.1%</w:t>
            </w:r>
          </w:p>
        </w:tc>
      </w:tr>
      <w:tr>
        <w:trPr>
          <w:trHeight w:val="144"/>
        </w:trPr>
        <w:tc>
          <w:tcPr>
            <w:tcW w:w="6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2"/>
                <w:szCs w:val="12"/>
                <w:color w:val="auto"/>
              </w:rPr>
              <w:t>Perpetual subordinated debt</w:t>
            </w:r>
          </w:p>
        </w:tc>
        <w:tc>
          <w:tcPr>
            <w:tcW w:w="1060" w:type="dxa"/>
            <w:vAlign w:val="bottom"/>
          </w:tcPr>
          <w:p>
            <w:pPr>
              <w:jc w:val="center"/>
              <w:ind w:left="158"/>
              <w:spacing w:after="0"/>
              <w:rPr>
                <w:sz w:val="20"/>
                <w:szCs w:val="20"/>
                <w:color w:val="auto"/>
              </w:rPr>
            </w:pPr>
            <w:r>
              <w:rPr>
                <w:rFonts w:ascii="Arial" w:cs="Arial" w:eastAsia="Arial" w:hAnsi="Arial"/>
                <w:sz w:val="12"/>
                <w:szCs w:val="12"/>
                <w:color w:val="auto"/>
                <w:w w:val="98"/>
              </w:rPr>
              <w:t>-</w:t>
            </w:r>
          </w:p>
        </w:tc>
        <w:tc>
          <w:tcPr>
            <w:tcW w:w="1580" w:type="dxa"/>
            <w:vAlign w:val="bottom"/>
            <w:tcBorders>
              <w:right w:val="single" w:sz="8" w:color="auto"/>
            </w:tcBorders>
          </w:tcPr>
          <w:p>
            <w:pPr>
              <w:jc w:val="right"/>
              <w:ind w:right="598"/>
              <w:spacing w:after="0"/>
              <w:rPr>
                <w:sz w:val="20"/>
                <w:szCs w:val="20"/>
                <w:color w:val="auto"/>
              </w:rPr>
            </w:pPr>
            <w:r>
              <w:rPr>
                <w:rFonts w:ascii="Arial" w:cs="Arial" w:eastAsia="Arial" w:hAnsi="Arial"/>
                <w:sz w:val="12"/>
                <w:szCs w:val="12"/>
                <w:color w:val="auto"/>
              </w:rPr>
              <w:t>-</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8"/>
              </w:rPr>
              <w:t>-</w:t>
            </w:r>
          </w:p>
        </w:tc>
      </w:tr>
      <w:tr>
        <w:trPr>
          <w:trHeight w:val="144"/>
        </w:trPr>
        <w:tc>
          <w:tcPr>
            <w:tcW w:w="6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2"/>
                <w:szCs w:val="12"/>
                <w:color w:val="auto"/>
              </w:rPr>
              <w:t>Subordinated Debt</w:t>
            </w:r>
          </w:p>
        </w:tc>
        <w:tc>
          <w:tcPr>
            <w:tcW w:w="1060" w:type="dxa"/>
            <w:vAlign w:val="bottom"/>
          </w:tcPr>
          <w:p>
            <w:pPr>
              <w:jc w:val="center"/>
              <w:ind w:left="158"/>
              <w:spacing w:after="0"/>
              <w:rPr>
                <w:sz w:val="20"/>
                <w:szCs w:val="20"/>
                <w:color w:val="auto"/>
              </w:rPr>
            </w:pPr>
            <w:r>
              <w:rPr>
                <w:rFonts w:ascii="Arial" w:cs="Arial" w:eastAsia="Arial" w:hAnsi="Arial"/>
                <w:sz w:val="12"/>
                <w:szCs w:val="12"/>
                <w:color w:val="auto"/>
              </w:rPr>
              <w:t>5,733,691</w:t>
            </w:r>
          </w:p>
        </w:tc>
        <w:tc>
          <w:tcPr>
            <w:tcW w:w="1580" w:type="dxa"/>
            <w:vAlign w:val="bottom"/>
            <w:tcBorders>
              <w:right w:val="single" w:sz="8" w:color="auto"/>
            </w:tcBorders>
          </w:tcPr>
          <w:p>
            <w:pPr>
              <w:jc w:val="center"/>
              <w:ind w:left="178"/>
              <w:spacing w:after="0"/>
              <w:rPr>
                <w:sz w:val="20"/>
                <w:szCs w:val="20"/>
                <w:color w:val="auto"/>
              </w:rPr>
            </w:pPr>
            <w:r>
              <w:rPr>
                <w:rFonts w:ascii="Arial" w:cs="Arial" w:eastAsia="Arial" w:hAnsi="Arial"/>
                <w:sz w:val="12"/>
                <w:szCs w:val="12"/>
                <w:color w:val="auto"/>
              </w:rPr>
              <w:t>5,896,957</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2.8%</w:t>
            </w:r>
          </w:p>
        </w:tc>
      </w:tr>
      <w:tr>
        <w:trPr>
          <w:trHeight w:val="144"/>
        </w:trPr>
        <w:tc>
          <w:tcPr>
            <w:tcW w:w="62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2"/>
                <w:szCs w:val="12"/>
                <w:color w:val="auto"/>
              </w:rPr>
              <w:t>Loan loss reserves (5)</w:t>
            </w:r>
          </w:p>
        </w:tc>
        <w:tc>
          <w:tcPr>
            <w:tcW w:w="1060" w:type="dxa"/>
            <w:vAlign w:val="bottom"/>
          </w:tcPr>
          <w:p>
            <w:pPr>
              <w:jc w:val="center"/>
              <w:ind w:left="158"/>
              <w:spacing w:after="0"/>
              <w:rPr>
                <w:sz w:val="20"/>
                <w:szCs w:val="20"/>
                <w:color w:val="auto"/>
              </w:rPr>
            </w:pPr>
            <w:r>
              <w:rPr>
                <w:rFonts w:ascii="Arial" w:cs="Arial" w:eastAsia="Arial" w:hAnsi="Arial"/>
                <w:sz w:val="12"/>
                <w:szCs w:val="12"/>
                <w:color w:val="auto"/>
              </w:rPr>
              <w:t>1,946,564</w:t>
            </w:r>
          </w:p>
        </w:tc>
        <w:tc>
          <w:tcPr>
            <w:tcW w:w="1580" w:type="dxa"/>
            <w:vAlign w:val="bottom"/>
            <w:tcBorders>
              <w:right w:val="single" w:sz="8" w:color="auto"/>
            </w:tcBorders>
          </w:tcPr>
          <w:p>
            <w:pPr>
              <w:jc w:val="center"/>
              <w:ind w:left="178"/>
              <w:spacing w:after="0"/>
              <w:rPr>
                <w:sz w:val="20"/>
                <w:szCs w:val="20"/>
                <w:color w:val="auto"/>
              </w:rPr>
            </w:pPr>
            <w:r>
              <w:rPr>
                <w:rFonts w:ascii="Arial" w:cs="Arial" w:eastAsia="Arial" w:hAnsi="Arial"/>
                <w:sz w:val="12"/>
                <w:szCs w:val="12"/>
                <w:color w:val="auto"/>
              </w:rPr>
              <w:t>2,041,564</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4.9%</w:t>
            </w:r>
          </w:p>
        </w:tc>
      </w:tr>
      <w:tr>
        <w:trPr>
          <w:trHeight w:val="155"/>
        </w:trPr>
        <w:tc>
          <w:tcPr>
            <w:tcW w:w="62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2"/>
                <w:szCs w:val="12"/>
                <w:color w:val="auto"/>
              </w:rPr>
              <w:t>Deductions in Tier 2 instruments (6)</w:t>
            </w:r>
          </w:p>
        </w:tc>
        <w:tc>
          <w:tcPr>
            <w:tcW w:w="1060" w:type="dxa"/>
            <w:vAlign w:val="bottom"/>
            <w:tcBorders>
              <w:bottom w:val="single" w:sz="8" w:color="auto"/>
            </w:tcBorders>
          </w:tcPr>
          <w:p>
            <w:pPr>
              <w:jc w:val="center"/>
              <w:ind w:left="158"/>
              <w:spacing w:after="0"/>
              <w:rPr>
                <w:sz w:val="20"/>
                <w:szCs w:val="20"/>
                <w:color w:val="auto"/>
              </w:rPr>
            </w:pPr>
            <w:r>
              <w:rPr>
                <w:rFonts w:ascii="Arial" w:cs="Arial" w:eastAsia="Arial" w:hAnsi="Arial"/>
                <w:sz w:val="12"/>
                <w:szCs w:val="12"/>
                <w:color w:val="auto"/>
              </w:rPr>
              <w:t>(945,603)</w:t>
            </w:r>
          </w:p>
        </w:tc>
        <w:tc>
          <w:tcPr>
            <w:tcW w:w="1580" w:type="dxa"/>
            <w:vAlign w:val="bottom"/>
            <w:tcBorders>
              <w:bottom w:val="single" w:sz="8" w:color="auto"/>
              <w:right w:val="single" w:sz="8" w:color="auto"/>
            </w:tcBorders>
          </w:tcPr>
          <w:p>
            <w:pPr>
              <w:jc w:val="center"/>
              <w:ind w:left="178"/>
              <w:spacing w:after="0"/>
              <w:rPr>
                <w:sz w:val="20"/>
                <w:szCs w:val="20"/>
                <w:color w:val="auto"/>
              </w:rPr>
            </w:pPr>
            <w:r>
              <w:rPr>
                <w:rFonts w:ascii="Arial" w:cs="Arial" w:eastAsia="Arial" w:hAnsi="Arial"/>
                <w:sz w:val="12"/>
                <w:szCs w:val="12"/>
                <w:color w:val="auto"/>
              </w:rPr>
              <w:t>(973,281)</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2.9%</w:t>
            </w:r>
          </w:p>
        </w:tc>
      </w:tr>
      <w:tr>
        <w:trPr>
          <w:trHeight w:val="134"/>
        </w:trPr>
        <w:tc>
          <w:tcPr>
            <w:tcW w:w="6220" w:type="dxa"/>
            <w:vAlign w:val="bottom"/>
            <w:tcBorders>
              <w:left w:val="single" w:sz="8" w:color="auto"/>
              <w:bottom w:val="single" w:sz="8" w:color="auto"/>
              <w:right w:val="single" w:sz="8" w:color="auto"/>
            </w:tcBorders>
          </w:tcPr>
          <w:p>
            <w:pPr>
              <w:ind w:left="40"/>
              <w:spacing w:after="0" w:line="134" w:lineRule="exact"/>
              <w:rPr>
                <w:sz w:val="20"/>
                <w:szCs w:val="20"/>
                <w:color w:val="auto"/>
              </w:rPr>
            </w:pPr>
            <w:r>
              <w:rPr>
                <w:rFonts w:ascii="Arial" w:cs="Arial" w:eastAsia="Arial" w:hAnsi="Arial"/>
                <w:sz w:val="12"/>
                <w:szCs w:val="12"/>
                <w:b w:val="1"/>
                <w:bCs w:val="1"/>
                <w:color w:val="auto"/>
              </w:rPr>
              <w:t>Total Regulatory Capital (A)</w:t>
            </w:r>
          </w:p>
        </w:tc>
        <w:tc>
          <w:tcPr>
            <w:tcW w:w="1060" w:type="dxa"/>
            <w:vAlign w:val="bottom"/>
            <w:tcBorders>
              <w:bottom w:val="single" w:sz="8" w:color="auto"/>
            </w:tcBorders>
          </w:tcPr>
          <w:p>
            <w:pPr>
              <w:jc w:val="center"/>
              <w:ind w:left="178"/>
              <w:spacing w:after="0" w:line="134" w:lineRule="exact"/>
              <w:rPr>
                <w:sz w:val="20"/>
                <w:szCs w:val="20"/>
                <w:color w:val="auto"/>
              </w:rPr>
            </w:pPr>
            <w:r>
              <w:rPr>
                <w:rFonts w:ascii="Arial" w:cs="Arial" w:eastAsia="Arial" w:hAnsi="Arial"/>
                <w:sz w:val="12"/>
                <w:szCs w:val="12"/>
                <w:b w:val="1"/>
                <w:bCs w:val="1"/>
                <w:color w:val="auto"/>
              </w:rPr>
              <w:t>33,026,785</w:t>
            </w:r>
          </w:p>
        </w:tc>
        <w:tc>
          <w:tcPr>
            <w:tcW w:w="1580" w:type="dxa"/>
            <w:vAlign w:val="bottom"/>
            <w:tcBorders>
              <w:bottom w:val="single" w:sz="8" w:color="auto"/>
              <w:right w:val="single" w:sz="8" w:color="auto"/>
            </w:tcBorders>
          </w:tcPr>
          <w:p>
            <w:pPr>
              <w:jc w:val="center"/>
              <w:ind w:left="178"/>
              <w:spacing w:after="0" w:line="134" w:lineRule="exact"/>
              <w:rPr>
                <w:sz w:val="20"/>
                <w:szCs w:val="20"/>
                <w:color w:val="auto"/>
              </w:rPr>
            </w:pPr>
            <w:r>
              <w:rPr>
                <w:rFonts w:ascii="Arial" w:cs="Arial" w:eastAsia="Arial" w:hAnsi="Arial"/>
                <w:sz w:val="12"/>
                <w:szCs w:val="12"/>
                <w:b w:val="1"/>
                <w:bCs w:val="1"/>
                <w:color w:val="auto"/>
              </w:rPr>
              <w:t>36,151,385</w:t>
            </w:r>
          </w:p>
        </w:tc>
        <w:tc>
          <w:tcPr>
            <w:tcW w:w="1300" w:type="dxa"/>
            <w:vAlign w:val="bottom"/>
            <w:tcBorders>
              <w:bottom w:val="single" w:sz="8" w:color="auto"/>
              <w:right w:val="single" w:sz="8" w:color="auto"/>
            </w:tcBorders>
          </w:tcPr>
          <w:p>
            <w:pPr>
              <w:jc w:val="center"/>
              <w:spacing w:after="0" w:line="134" w:lineRule="exact"/>
              <w:rPr>
                <w:sz w:val="20"/>
                <w:szCs w:val="20"/>
                <w:color w:val="auto"/>
              </w:rPr>
            </w:pPr>
            <w:r>
              <w:rPr>
                <w:rFonts w:ascii="Arial" w:cs="Arial" w:eastAsia="Arial" w:hAnsi="Arial"/>
                <w:sz w:val="12"/>
                <w:szCs w:val="12"/>
                <w:b w:val="1"/>
                <w:bCs w:val="1"/>
                <w:color w:val="auto"/>
              </w:rPr>
              <w:t>9.5%</w:t>
            </w:r>
          </w:p>
        </w:tc>
      </w:tr>
      <w:tr>
        <w:trPr>
          <w:trHeight w:val="134"/>
        </w:trPr>
        <w:tc>
          <w:tcPr>
            <w:tcW w:w="6220" w:type="dxa"/>
            <w:vAlign w:val="bottom"/>
            <w:tcBorders>
              <w:left w:val="single" w:sz="8" w:color="auto"/>
              <w:bottom w:val="single" w:sz="8" w:color="auto"/>
              <w:right w:val="single" w:sz="8" w:color="auto"/>
            </w:tcBorders>
          </w:tcPr>
          <w:p>
            <w:pPr>
              <w:ind w:left="40"/>
              <w:spacing w:after="0" w:line="134" w:lineRule="exact"/>
              <w:rPr>
                <w:sz w:val="20"/>
                <w:szCs w:val="20"/>
                <w:color w:val="auto"/>
              </w:rPr>
            </w:pPr>
            <w:r>
              <w:rPr>
                <w:rFonts w:ascii="Arial" w:cs="Arial" w:eastAsia="Arial" w:hAnsi="Arial"/>
                <w:sz w:val="12"/>
                <w:szCs w:val="12"/>
                <w:b w:val="1"/>
                <w:bCs w:val="1"/>
                <w:color w:val="auto"/>
              </w:rPr>
              <w:t>Total Regulatory Common Equity Tier 1 Capital (B)</w:t>
            </w:r>
          </w:p>
        </w:tc>
        <w:tc>
          <w:tcPr>
            <w:tcW w:w="1060" w:type="dxa"/>
            <w:vAlign w:val="bottom"/>
            <w:tcBorders>
              <w:bottom w:val="single" w:sz="8" w:color="auto"/>
            </w:tcBorders>
          </w:tcPr>
          <w:p>
            <w:pPr>
              <w:jc w:val="center"/>
              <w:ind w:left="178"/>
              <w:spacing w:after="0" w:line="134" w:lineRule="exact"/>
              <w:rPr>
                <w:sz w:val="20"/>
                <w:szCs w:val="20"/>
                <w:color w:val="auto"/>
              </w:rPr>
            </w:pPr>
            <w:r>
              <w:rPr>
                <w:rFonts w:ascii="Arial" w:cs="Arial" w:eastAsia="Arial" w:hAnsi="Arial"/>
                <w:sz w:val="12"/>
                <w:szCs w:val="12"/>
                <w:b w:val="1"/>
                <w:bCs w:val="1"/>
                <w:color w:val="auto"/>
              </w:rPr>
              <w:t>26,292,132</w:t>
            </w:r>
          </w:p>
        </w:tc>
        <w:tc>
          <w:tcPr>
            <w:tcW w:w="1580" w:type="dxa"/>
            <w:vAlign w:val="bottom"/>
            <w:tcBorders>
              <w:bottom w:val="single" w:sz="8" w:color="auto"/>
              <w:right w:val="single" w:sz="8" w:color="auto"/>
            </w:tcBorders>
          </w:tcPr>
          <w:p>
            <w:pPr>
              <w:jc w:val="center"/>
              <w:ind w:left="178"/>
              <w:spacing w:after="0" w:line="134" w:lineRule="exact"/>
              <w:rPr>
                <w:sz w:val="20"/>
                <w:szCs w:val="20"/>
                <w:color w:val="auto"/>
              </w:rPr>
            </w:pPr>
            <w:r>
              <w:rPr>
                <w:rFonts w:ascii="Arial" w:cs="Arial" w:eastAsia="Arial" w:hAnsi="Arial"/>
                <w:sz w:val="12"/>
                <w:szCs w:val="12"/>
                <w:b w:val="1"/>
                <w:bCs w:val="1"/>
                <w:color w:val="auto"/>
              </w:rPr>
              <w:t>29,186,145</w:t>
            </w:r>
          </w:p>
        </w:tc>
        <w:tc>
          <w:tcPr>
            <w:tcW w:w="1300" w:type="dxa"/>
            <w:vAlign w:val="bottom"/>
            <w:tcBorders>
              <w:bottom w:val="single" w:sz="8" w:color="auto"/>
              <w:right w:val="single" w:sz="8" w:color="auto"/>
            </w:tcBorders>
          </w:tcPr>
          <w:p>
            <w:pPr>
              <w:jc w:val="center"/>
              <w:spacing w:after="0" w:line="134" w:lineRule="exact"/>
              <w:rPr>
                <w:sz w:val="20"/>
                <w:szCs w:val="20"/>
                <w:color w:val="auto"/>
              </w:rPr>
            </w:pPr>
            <w:r>
              <w:rPr>
                <w:rFonts w:ascii="Arial" w:cs="Arial" w:eastAsia="Arial" w:hAnsi="Arial"/>
                <w:sz w:val="12"/>
                <w:szCs w:val="12"/>
                <w:b w:val="1"/>
                <w:bCs w:val="1"/>
                <w:color w:val="auto"/>
                <w:w w:val="99"/>
              </w:rPr>
              <w:t>11.0%</w:t>
            </w:r>
          </w:p>
        </w:tc>
      </w:tr>
      <w:tr>
        <w:trPr>
          <w:trHeight w:val="134"/>
        </w:trPr>
        <w:tc>
          <w:tcPr>
            <w:tcW w:w="6220" w:type="dxa"/>
            <w:vAlign w:val="bottom"/>
            <w:tcBorders>
              <w:left w:val="single" w:sz="8" w:color="auto"/>
              <w:bottom w:val="single" w:sz="8" w:color="auto"/>
              <w:right w:val="single" w:sz="8" w:color="auto"/>
            </w:tcBorders>
          </w:tcPr>
          <w:p>
            <w:pPr>
              <w:ind w:left="40"/>
              <w:spacing w:after="0" w:line="134" w:lineRule="exact"/>
              <w:rPr>
                <w:sz w:val="20"/>
                <w:szCs w:val="20"/>
                <w:color w:val="auto"/>
              </w:rPr>
            </w:pPr>
            <w:r>
              <w:rPr>
                <w:rFonts w:ascii="Arial" w:cs="Arial" w:eastAsia="Arial" w:hAnsi="Arial"/>
                <w:sz w:val="12"/>
                <w:szCs w:val="12"/>
                <w:b w:val="1"/>
                <w:bCs w:val="1"/>
                <w:color w:val="auto"/>
              </w:rPr>
              <w:t>Total Regulatory Tier 1 Capital (C)</w:t>
            </w:r>
          </w:p>
        </w:tc>
        <w:tc>
          <w:tcPr>
            <w:tcW w:w="1060" w:type="dxa"/>
            <w:vAlign w:val="bottom"/>
            <w:tcBorders>
              <w:bottom w:val="single" w:sz="8" w:color="auto"/>
            </w:tcBorders>
          </w:tcPr>
          <w:p>
            <w:pPr>
              <w:jc w:val="center"/>
              <w:ind w:left="178"/>
              <w:spacing w:after="0" w:line="134" w:lineRule="exact"/>
              <w:rPr>
                <w:sz w:val="20"/>
                <w:szCs w:val="20"/>
                <w:color w:val="auto"/>
              </w:rPr>
            </w:pPr>
            <w:r>
              <w:rPr>
                <w:rFonts w:ascii="Arial" w:cs="Arial" w:eastAsia="Arial" w:hAnsi="Arial"/>
                <w:sz w:val="12"/>
                <w:szCs w:val="12"/>
                <w:b w:val="1"/>
                <w:bCs w:val="1"/>
                <w:color w:val="auto"/>
              </w:rPr>
              <w:t>26,292,132</w:t>
            </w:r>
          </w:p>
        </w:tc>
        <w:tc>
          <w:tcPr>
            <w:tcW w:w="1580" w:type="dxa"/>
            <w:vAlign w:val="bottom"/>
            <w:tcBorders>
              <w:bottom w:val="single" w:sz="8" w:color="auto"/>
              <w:right w:val="single" w:sz="8" w:color="auto"/>
            </w:tcBorders>
          </w:tcPr>
          <w:p>
            <w:pPr>
              <w:jc w:val="center"/>
              <w:ind w:left="178"/>
              <w:spacing w:after="0" w:line="134" w:lineRule="exact"/>
              <w:rPr>
                <w:sz w:val="20"/>
                <w:szCs w:val="20"/>
                <w:color w:val="auto"/>
              </w:rPr>
            </w:pPr>
            <w:r>
              <w:rPr>
                <w:rFonts w:ascii="Arial" w:cs="Arial" w:eastAsia="Arial" w:hAnsi="Arial"/>
                <w:sz w:val="12"/>
                <w:szCs w:val="12"/>
                <w:b w:val="1"/>
                <w:bCs w:val="1"/>
                <w:color w:val="auto"/>
              </w:rPr>
              <w:t>29,186,145</w:t>
            </w:r>
          </w:p>
        </w:tc>
        <w:tc>
          <w:tcPr>
            <w:tcW w:w="1300" w:type="dxa"/>
            <w:vAlign w:val="bottom"/>
            <w:tcBorders>
              <w:bottom w:val="single" w:sz="8" w:color="auto"/>
              <w:right w:val="single" w:sz="8" w:color="auto"/>
            </w:tcBorders>
          </w:tcPr>
          <w:p>
            <w:pPr>
              <w:jc w:val="center"/>
              <w:spacing w:after="0" w:line="134" w:lineRule="exact"/>
              <w:rPr>
                <w:sz w:val="20"/>
                <w:szCs w:val="20"/>
                <w:color w:val="auto"/>
              </w:rPr>
            </w:pPr>
            <w:r>
              <w:rPr>
                <w:rFonts w:ascii="Arial" w:cs="Arial" w:eastAsia="Arial" w:hAnsi="Arial"/>
                <w:sz w:val="12"/>
                <w:szCs w:val="12"/>
                <w:b w:val="1"/>
                <w:bCs w:val="1"/>
                <w:color w:val="auto"/>
                <w:w w:val="99"/>
              </w:rPr>
              <w:t>11.0%</w:t>
            </w:r>
          </w:p>
        </w:tc>
      </w:tr>
      <w:tr>
        <w:trPr>
          <w:trHeight w:val="134"/>
        </w:trPr>
        <w:tc>
          <w:tcPr>
            <w:tcW w:w="6220" w:type="dxa"/>
            <w:vAlign w:val="bottom"/>
            <w:tcBorders>
              <w:left w:val="single" w:sz="8" w:color="auto"/>
              <w:bottom w:val="single" w:sz="8" w:color="auto"/>
              <w:right w:val="single" w:sz="8" w:color="auto"/>
            </w:tcBorders>
            <w:shd w:val="clear" w:color="auto" w:fill="EDEDED"/>
          </w:tcPr>
          <w:p>
            <w:pPr>
              <w:ind w:left="40"/>
              <w:spacing w:after="0" w:line="134" w:lineRule="exact"/>
              <w:rPr>
                <w:sz w:val="20"/>
                <w:szCs w:val="20"/>
                <w:color w:val="auto"/>
              </w:rPr>
            </w:pPr>
            <w:r>
              <w:rPr>
                <w:rFonts w:ascii="Arial" w:cs="Arial" w:eastAsia="Arial" w:hAnsi="Arial"/>
                <w:sz w:val="12"/>
                <w:szCs w:val="12"/>
                <w:color w:val="auto"/>
              </w:rPr>
              <w:t>Total Regulatory Capital Requirement (D)</w:t>
            </w:r>
          </w:p>
        </w:tc>
        <w:tc>
          <w:tcPr>
            <w:tcW w:w="1060" w:type="dxa"/>
            <w:vAlign w:val="bottom"/>
            <w:tcBorders>
              <w:bottom w:val="single" w:sz="8" w:color="auto"/>
            </w:tcBorders>
            <w:shd w:val="clear" w:color="auto" w:fill="EDEDED"/>
          </w:tcPr>
          <w:p>
            <w:pPr>
              <w:jc w:val="center"/>
              <w:ind w:left="178"/>
              <w:spacing w:after="0" w:line="134" w:lineRule="exact"/>
              <w:rPr>
                <w:sz w:val="20"/>
                <w:szCs w:val="20"/>
                <w:color w:val="auto"/>
              </w:rPr>
            </w:pPr>
            <w:r>
              <w:rPr>
                <w:rFonts w:ascii="Arial" w:cs="Arial" w:eastAsia="Arial" w:hAnsi="Arial"/>
                <w:sz w:val="12"/>
                <w:szCs w:val="12"/>
                <w:color w:val="auto"/>
              </w:rPr>
              <w:t>25,901,090</w:t>
            </w:r>
          </w:p>
        </w:tc>
        <w:tc>
          <w:tcPr>
            <w:tcW w:w="1580" w:type="dxa"/>
            <w:vAlign w:val="bottom"/>
            <w:tcBorders>
              <w:bottom w:val="single" w:sz="8" w:color="auto"/>
              <w:right w:val="single" w:sz="8" w:color="auto"/>
            </w:tcBorders>
            <w:shd w:val="clear" w:color="auto" w:fill="EDEDED"/>
          </w:tcPr>
          <w:p>
            <w:pPr>
              <w:jc w:val="center"/>
              <w:ind w:left="178"/>
              <w:spacing w:after="0" w:line="134" w:lineRule="exact"/>
              <w:rPr>
                <w:sz w:val="20"/>
                <w:szCs w:val="20"/>
                <w:color w:val="auto"/>
              </w:rPr>
            </w:pPr>
            <w:r>
              <w:rPr>
                <w:rFonts w:ascii="Arial" w:cs="Arial" w:eastAsia="Arial" w:hAnsi="Arial"/>
                <w:sz w:val="12"/>
                <w:szCs w:val="12"/>
                <w:color w:val="auto"/>
              </w:rPr>
              <w:t>27,146,595</w:t>
            </w:r>
          </w:p>
        </w:tc>
        <w:tc>
          <w:tcPr>
            <w:tcW w:w="1300" w:type="dxa"/>
            <w:vAlign w:val="bottom"/>
            <w:tcBorders>
              <w:bottom w:val="single" w:sz="8" w:color="auto"/>
              <w:right w:val="single" w:sz="8" w:color="auto"/>
            </w:tcBorders>
            <w:shd w:val="clear" w:color="auto" w:fill="EDEDED"/>
          </w:tcPr>
          <w:p>
            <w:pPr>
              <w:jc w:val="center"/>
              <w:spacing w:after="0" w:line="134" w:lineRule="exact"/>
              <w:rPr>
                <w:sz w:val="20"/>
                <w:szCs w:val="20"/>
                <w:color w:val="auto"/>
              </w:rPr>
            </w:pPr>
            <w:r>
              <w:rPr>
                <w:rFonts w:ascii="Arial" w:cs="Arial" w:eastAsia="Arial" w:hAnsi="Arial"/>
                <w:sz w:val="12"/>
                <w:szCs w:val="12"/>
                <w:color w:val="auto"/>
              </w:rPr>
              <w:t>4.8%</w:t>
            </w:r>
          </w:p>
        </w:tc>
      </w:tr>
      <w:tr>
        <w:trPr>
          <w:trHeight w:val="134"/>
        </w:trPr>
        <w:tc>
          <w:tcPr>
            <w:tcW w:w="6220" w:type="dxa"/>
            <w:vAlign w:val="bottom"/>
            <w:tcBorders>
              <w:left w:val="single" w:sz="8" w:color="auto"/>
              <w:bottom w:val="single" w:sz="8" w:color="auto"/>
              <w:right w:val="single" w:sz="8" w:color="auto"/>
            </w:tcBorders>
            <w:shd w:val="clear" w:color="auto" w:fill="EDEDED"/>
          </w:tcPr>
          <w:p>
            <w:pPr>
              <w:ind w:left="40"/>
              <w:spacing w:after="0" w:line="134" w:lineRule="exact"/>
              <w:rPr>
                <w:sz w:val="20"/>
                <w:szCs w:val="20"/>
                <w:color w:val="auto"/>
              </w:rPr>
            </w:pPr>
            <w:r>
              <w:rPr>
                <w:rFonts w:ascii="Arial" w:cs="Arial" w:eastAsia="Arial" w:hAnsi="Arial"/>
                <w:sz w:val="12"/>
                <w:szCs w:val="12"/>
                <w:color w:val="auto"/>
              </w:rPr>
              <w:t>Total Regulatory Common Equity Tier 1 Capital Requirement (E)</w:t>
            </w:r>
          </w:p>
        </w:tc>
        <w:tc>
          <w:tcPr>
            <w:tcW w:w="1060" w:type="dxa"/>
            <w:vAlign w:val="bottom"/>
            <w:tcBorders>
              <w:bottom w:val="single" w:sz="8" w:color="auto"/>
            </w:tcBorders>
            <w:shd w:val="clear" w:color="auto" w:fill="EDEDED"/>
          </w:tcPr>
          <w:p>
            <w:pPr>
              <w:jc w:val="center"/>
              <w:ind w:left="178"/>
              <w:spacing w:after="0" w:line="134" w:lineRule="exact"/>
              <w:rPr>
                <w:sz w:val="20"/>
                <w:szCs w:val="20"/>
                <w:color w:val="auto"/>
              </w:rPr>
            </w:pPr>
            <w:r>
              <w:rPr>
                <w:rFonts w:ascii="Arial" w:cs="Arial" w:eastAsia="Arial" w:hAnsi="Arial"/>
                <w:sz w:val="12"/>
                <w:szCs w:val="12"/>
                <w:color w:val="auto"/>
              </w:rPr>
              <w:t>13,351,145</w:t>
            </w:r>
          </w:p>
        </w:tc>
        <w:tc>
          <w:tcPr>
            <w:tcW w:w="1580" w:type="dxa"/>
            <w:vAlign w:val="bottom"/>
            <w:tcBorders>
              <w:bottom w:val="single" w:sz="8" w:color="auto"/>
              <w:right w:val="single" w:sz="8" w:color="auto"/>
            </w:tcBorders>
            <w:shd w:val="clear" w:color="auto" w:fill="EDEDED"/>
          </w:tcPr>
          <w:p>
            <w:pPr>
              <w:jc w:val="center"/>
              <w:ind w:left="178"/>
              <w:spacing w:after="0" w:line="134" w:lineRule="exact"/>
              <w:rPr>
                <w:sz w:val="20"/>
                <w:szCs w:val="20"/>
                <w:color w:val="auto"/>
              </w:rPr>
            </w:pPr>
            <w:r>
              <w:rPr>
                <w:rFonts w:ascii="Arial" w:cs="Arial" w:eastAsia="Arial" w:hAnsi="Arial"/>
                <w:sz w:val="12"/>
                <w:szCs w:val="12"/>
                <w:color w:val="auto"/>
              </w:rPr>
              <w:t>13,975,808</w:t>
            </w:r>
          </w:p>
        </w:tc>
        <w:tc>
          <w:tcPr>
            <w:tcW w:w="1300" w:type="dxa"/>
            <w:vAlign w:val="bottom"/>
            <w:tcBorders>
              <w:bottom w:val="single" w:sz="8" w:color="auto"/>
              <w:right w:val="single" w:sz="8" w:color="auto"/>
            </w:tcBorders>
            <w:shd w:val="clear" w:color="auto" w:fill="EDEDED"/>
          </w:tcPr>
          <w:p>
            <w:pPr>
              <w:jc w:val="center"/>
              <w:spacing w:after="0" w:line="134" w:lineRule="exact"/>
              <w:rPr>
                <w:sz w:val="20"/>
                <w:szCs w:val="20"/>
                <w:color w:val="auto"/>
              </w:rPr>
            </w:pPr>
            <w:r>
              <w:rPr>
                <w:rFonts w:ascii="Arial" w:cs="Arial" w:eastAsia="Arial" w:hAnsi="Arial"/>
                <w:sz w:val="12"/>
                <w:szCs w:val="12"/>
                <w:color w:val="auto"/>
              </w:rPr>
              <w:t>4.7%</w:t>
            </w:r>
          </w:p>
        </w:tc>
      </w:tr>
      <w:tr>
        <w:trPr>
          <w:trHeight w:val="134"/>
        </w:trPr>
        <w:tc>
          <w:tcPr>
            <w:tcW w:w="6220" w:type="dxa"/>
            <w:vAlign w:val="bottom"/>
            <w:tcBorders>
              <w:left w:val="single" w:sz="8" w:color="auto"/>
              <w:bottom w:val="single" w:sz="8" w:color="auto"/>
              <w:right w:val="single" w:sz="8" w:color="auto"/>
            </w:tcBorders>
            <w:shd w:val="clear" w:color="auto" w:fill="EDEDED"/>
          </w:tcPr>
          <w:p>
            <w:pPr>
              <w:ind w:left="40"/>
              <w:spacing w:after="0" w:line="134" w:lineRule="exact"/>
              <w:rPr>
                <w:sz w:val="20"/>
                <w:szCs w:val="20"/>
                <w:color w:val="auto"/>
              </w:rPr>
            </w:pPr>
            <w:r>
              <w:rPr>
                <w:rFonts w:ascii="Arial" w:cs="Arial" w:eastAsia="Arial" w:hAnsi="Arial"/>
                <w:sz w:val="12"/>
                <w:szCs w:val="12"/>
                <w:color w:val="auto"/>
              </w:rPr>
              <w:t>Total Regulatory Tier 1 Capital Requirement (F)</w:t>
            </w:r>
          </w:p>
        </w:tc>
        <w:tc>
          <w:tcPr>
            <w:tcW w:w="1060" w:type="dxa"/>
            <w:vAlign w:val="bottom"/>
            <w:tcBorders>
              <w:bottom w:val="single" w:sz="8" w:color="auto"/>
            </w:tcBorders>
            <w:shd w:val="clear" w:color="auto" w:fill="EDEDED"/>
          </w:tcPr>
          <w:p>
            <w:pPr>
              <w:jc w:val="center"/>
              <w:ind w:left="178"/>
              <w:spacing w:after="0" w:line="134" w:lineRule="exact"/>
              <w:rPr>
                <w:sz w:val="20"/>
                <w:szCs w:val="20"/>
                <w:color w:val="auto"/>
              </w:rPr>
            </w:pPr>
            <w:r>
              <w:rPr>
                <w:rFonts w:ascii="Arial" w:cs="Arial" w:eastAsia="Arial" w:hAnsi="Arial"/>
                <w:sz w:val="12"/>
                <w:szCs w:val="12"/>
                <w:color w:val="auto"/>
              </w:rPr>
              <w:t>16,336,793</w:t>
            </w:r>
          </w:p>
        </w:tc>
        <w:tc>
          <w:tcPr>
            <w:tcW w:w="1580" w:type="dxa"/>
            <w:vAlign w:val="bottom"/>
            <w:tcBorders>
              <w:bottom w:val="single" w:sz="8" w:color="auto"/>
              <w:right w:val="single" w:sz="8" w:color="auto"/>
            </w:tcBorders>
            <w:shd w:val="clear" w:color="auto" w:fill="EDEDED"/>
          </w:tcPr>
          <w:p>
            <w:pPr>
              <w:jc w:val="center"/>
              <w:ind w:left="178"/>
              <w:spacing w:after="0" w:line="134" w:lineRule="exact"/>
              <w:rPr>
                <w:sz w:val="20"/>
                <w:szCs w:val="20"/>
                <w:color w:val="auto"/>
              </w:rPr>
            </w:pPr>
            <w:r>
              <w:rPr>
                <w:rFonts w:ascii="Arial" w:cs="Arial" w:eastAsia="Arial" w:hAnsi="Arial"/>
                <w:sz w:val="12"/>
                <w:szCs w:val="12"/>
                <w:color w:val="auto"/>
              </w:rPr>
              <w:t>17,108,445</w:t>
            </w:r>
          </w:p>
        </w:tc>
        <w:tc>
          <w:tcPr>
            <w:tcW w:w="1300" w:type="dxa"/>
            <w:vAlign w:val="bottom"/>
            <w:tcBorders>
              <w:bottom w:val="single" w:sz="8" w:color="auto"/>
              <w:right w:val="single" w:sz="8" w:color="auto"/>
            </w:tcBorders>
            <w:shd w:val="clear" w:color="auto" w:fill="EDEDED"/>
          </w:tcPr>
          <w:p>
            <w:pPr>
              <w:jc w:val="center"/>
              <w:spacing w:after="0" w:line="134" w:lineRule="exact"/>
              <w:rPr>
                <w:sz w:val="20"/>
                <w:szCs w:val="20"/>
                <w:color w:val="auto"/>
              </w:rPr>
            </w:pPr>
            <w:r>
              <w:rPr>
                <w:rFonts w:ascii="Arial" w:cs="Arial" w:eastAsia="Arial" w:hAnsi="Arial"/>
                <w:sz w:val="12"/>
                <w:szCs w:val="12"/>
                <w:color w:val="auto"/>
              </w:rPr>
              <w:t>4.7%</w:t>
            </w:r>
          </w:p>
        </w:tc>
      </w:tr>
      <w:tr>
        <w:trPr>
          <w:trHeight w:val="134"/>
        </w:trPr>
        <w:tc>
          <w:tcPr>
            <w:tcW w:w="6220" w:type="dxa"/>
            <w:vAlign w:val="bottom"/>
            <w:tcBorders>
              <w:left w:val="single" w:sz="8" w:color="auto"/>
              <w:bottom w:val="single" w:sz="8" w:color="auto"/>
              <w:right w:val="single" w:sz="8" w:color="auto"/>
            </w:tcBorders>
          </w:tcPr>
          <w:p>
            <w:pPr>
              <w:ind w:left="40"/>
              <w:spacing w:after="0" w:line="134" w:lineRule="exact"/>
              <w:rPr>
                <w:sz w:val="20"/>
                <w:szCs w:val="20"/>
                <w:color w:val="auto"/>
              </w:rPr>
            </w:pPr>
            <w:r>
              <w:rPr>
                <w:rFonts w:ascii="Arial" w:cs="Arial" w:eastAsia="Arial" w:hAnsi="Arial"/>
                <w:sz w:val="12"/>
                <w:szCs w:val="12"/>
                <w:b w:val="1"/>
                <w:bCs w:val="1"/>
                <w:color w:val="auto"/>
              </w:rPr>
              <w:t>Regulatory Capital Ratio (A) / (D)</w:t>
            </w:r>
          </w:p>
        </w:tc>
        <w:tc>
          <w:tcPr>
            <w:tcW w:w="1060" w:type="dxa"/>
            <w:vAlign w:val="bottom"/>
            <w:tcBorders>
              <w:bottom w:val="single" w:sz="8" w:color="auto"/>
            </w:tcBorders>
          </w:tcPr>
          <w:p>
            <w:pPr>
              <w:jc w:val="center"/>
              <w:ind w:left="158"/>
              <w:spacing w:after="0" w:line="134" w:lineRule="exact"/>
              <w:rPr>
                <w:sz w:val="20"/>
                <w:szCs w:val="20"/>
                <w:color w:val="auto"/>
              </w:rPr>
            </w:pPr>
            <w:r>
              <w:rPr>
                <w:rFonts w:ascii="Arial" w:cs="Arial" w:eastAsia="Arial" w:hAnsi="Arial"/>
                <w:sz w:val="12"/>
                <w:szCs w:val="12"/>
                <w:b w:val="1"/>
                <w:bCs w:val="1"/>
                <w:color w:val="auto"/>
              </w:rPr>
              <w:t>1.28</w:t>
            </w:r>
          </w:p>
        </w:tc>
        <w:tc>
          <w:tcPr>
            <w:tcW w:w="1580" w:type="dxa"/>
            <w:vAlign w:val="bottom"/>
            <w:tcBorders>
              <w:bottom w:val="single" w:sz="8" w:color="auto"/>
              <w:right w:val="single" w:sz="8" w:color="auto"/>
            </w:tcBorders>
          </w:tcPr>
          <w:p>
            <w:pPr>
              <w:jc w:val="center"/>
              <w:ind w:left="198"/>
              <w:spacing w:after="0" w:line="134" w:lineRule="exact"/>
              <w:rPr>
                <w:sz w:val="20"/>
                <w:szCs w:val="20"/>
                <w:color w:val="auto"/>
              </w:rPr>
            </w:pPr>
            <w:r>
              <w:rPr>
                <w:rFonts w:ascii="Arial" w:cs="Arial" w:eastAsia="Arial" w:hAnsi="Arial"/>
                <w:sz w:val="12"/>
                <w:szCs w:val="12"/>
                <w:b w:val="1"/>
                <w:bCs w:val="1"/>
                <w:color w:val="auto"/>
              </w:rPr>
              <w:t>1.33</w:t>
            </w:r>
          </w:p>
        </w:tc>
        <w:tc>
          <w:tcPr>
            <w:tcW w:w="1300" w:type="dxa"/>
            <w:vAlign w:val="bottom"/>
            <w:tcBorders>
              <w:bottom w:val="single" w:sz="8" w:color="auto"/>
              <w:right w:val="single" w:sz="8" w:color="auto"/>
            </w:tcBorders>
          </w:tcPr>
          <w:p>
            <w:pPr>
              <w:jc w:val="center"/>
              <w:spacing w:after="0" w:line="134" w:lineRule="exact"/>
              <w:rPr>
                <w:sz w:val="20"/>
                <w:szCs w:val="20"/>
                <w:color w:val="auto"/>
              </w:rPr>
            </w:pPr>
            <w:r>
              <w:rPr>
                <w:rFonts w:ascii="Arial" w:cs="Arial" w:eastAsia="Arial" w:hAnsi="Arial"/>
                <w:sz w:val="12"/>
                <w:szCs w:val="12"/>
                <w:b w:val="1"/>
                <w:bCs w:val="1"/>
                <w:color w:val="auto"/>
              </w:rPr>
              <w:t>6 bps</w:t>
            </w:r>
          </w:p>
        </w:tc>
      </w:tr>
      <w:tr>
        <w:trPr>
          <w:trHeight w:val="134"/>
        </w:trPr>
        <w:tc>
          <w:tcPr>
            <w:tcW w:w="6220" w:type="dxa"/>
            <w:vAlign w:val="bottom"/>
            <w:tcBorders>
              <w:left w:val="single" w:sz="8" w:color="auto"/>
              <w:bottom w:val="single" w:sz="8" w:color="auto"/>
              <w:right w:val="single" w:sz="8" w:color="auto"/>
            </w:tcBorders>
          </w:tcPr>
          <w:p>
            <w:pPr>
              <w:ind w:left="40"/>
              <w:spacing w:after="0" w:line="134" w:lineRule="exact"/>
              <w:rPr>
                <w:sz w:val="20"/>
                <w:szCs w:val="20"/>
                <w:color w:val="auto"/>
              </w:rPr>
            </w:pPr>
            <w:r>
              <w:rPr>
                <w:rFonts w:ascii="Arial" w:cs="Arial" w:eastAsia="Arial" w:hAnsi="Arial"/>
                <w:sz w:val="12"/>
                <w:szCs w:val="12"/>
                <w:b w:val="1"/>
                <w:bCs w:val="1"/>
                <w:color w:val="auto"/>
              </w:rPr>
              <w:t>Regulatory Common Equity Tier 1 Capital Ratio (B) / (E)</w:t>
            </w:r>
          </w:p>
        </w:tc>
        <w:tc>
          <w:tcPr>
            <w:tcW w:w="1060" w:type="dxa"/>
            <w:vAlign w:val="bottom"/>
            <w:tcBorders>
              <w:bottom w:val="single" w:sz="8" w:color="auto"/>
            </w:tcBorders>
          </w:tcPr>
          <w:p>
            <w:pPr>
              <w:jc w:val="center"/>
              <w:ind w:left="158"/>
              <w:spacing w:after="0" w:line="134" w:lineRule="exact"/>
              <w:rPr>
                <w:sz w:val="20"/>
                <w:szCs w:val="20"/>
                <w:color w:val="auto"/>
              </w:rPr>
            </w:pPr>
            <w:r>
              <w:rPr>
                <w:rFonts w:ascii="Arial" w:cs="Arial" w:eastAsia="Arial" w:hAnsi="Arial"/>
                <w:sz w:val="12"/>
                <w:szCs w:val="12"/>
                <w:b w:val="1"/>
                <w:bCs w:val="1"/>
                <w:color w:val="auto"/>
              </w:rPr>
              <w:t>1.97</w:t>
            </w:r>
          </w:p>
        </w:tc>
        <w:tc>
          <w:tcPr>
            <w:tcW w:w="1580" w:type="dxa"/>
            <w:vAlign w:val="bottom"/>
            <w:tcBorders>
              <w:bottom w:val="single" w:sz="8" w:color="auto"/>
              <w:right w:val="single" w:sz="8" w:color="auto"/>
            </w:tcBorders>
          </w:tcPr>
          <w:p>
            <w:pPr>
              <w:jc w:val="center"/>
              <w:ind w:left="198"/>
              <w:spacing w:after="0" w:line="134" w:lineRule="exact"/>
              <w:rPr>
                <w:sz w:val="20"/>
                <w:szCs w:val="20"/>
                <w:color w:val="auto"/>
              </w:rPr>
            </w:pPr>
            <w:r>
              <w:rPr>
                <w:rFonts w:ascii="Arial" w:cs="Arial" w:eastAsia="Arial" w:hAnsi="Arial"/>
                <w:sz w:val="12"/>
                <w:szCs w:val="12"/>
                <w:b w:val="1"/>
                <w:bCs w:val="1"/>
                <w:color w:val="auto"/>
              </w:rPr>
              <w:t>2.09</w:t>
            </w:r>
          </w:p>
        </w:tc>
        <w:tc>
          <w:tcPr>
            <w:tcW w:w="1300" w:type="dxa"/>
            <w:vAlign w:val="bottom"/>
            <w:tcBorders>
              <w:bottom w:val="single" w:sz="8" w:color="auto"/>
              <w:right w:val="single" w:sz="8" w:color="auto"/>
            </w:tcBorders>
          </w:tcPr>
          <w:p>
            <w:pPr>
              <w:jc w:val="center"/>
              <w:spacing w:after="0" w:line="134" w:lineRule="exact"/>
              <w:rPr>
                <w:sz w:val="20"/>
                <w:szCs w:val="20"/>
                <w:color w:val="auto"/>
              </w:rPr>
            </w:pPr>
            <w:r>
              <w:rPr>
                <w:rFonts w:ascii="Arial" w:cs="Arial" w:eastAsia="Arial" w:hAnsi="Arial"/>
                <w:sz w:val="12"/>
                <w:szCs w:val="12"/>
                <w:b w:val="1"/>
                <w:bCs w:val="1"/>
                <w:color w:val="auto"/>
              </w:rPr>
              <w:t>12 bps</w:t>
            </w:r>
          </w:p>
        </w:tc>
      </w:tr>
      <w:tr>
        <w:trPr>
          <w:trHeight w:val="134"/>
        </w:trPr>
        <w:tc>
          <w:tcPr>
            <w:tcW w:w="6220" w:type="dxa"/>
            <w:vAlign w:val="bottom"/>
            <w:tcBorders>
              <w:left w:val="single" w:sz="8" w:color="auto"/>
              <w:bottom w:val="single" w:sz="8" w:color="auto"/>
              <w:right w:val="single" w:sz="8" w:color="auto"/>
            </w:tcBorders>
          </w:tcPr>
          <w:p>
            <w:pPr>
              <w:ind w:left="40"/>
              <w:spacing w:after="0" w:line="134" w:lineRule="exact"/>
              <w:rPr>
                <w:sz w:val="20"/>
                <w:szCs w:val="20"/>
                <w:color w:val="auto"/>
              </w:rPr>
            </w:pPr>
            <w:r>
              <w:rPr>
                <w:rFonts w:ascii="Arial" w:cs="Arial" w:eastAsia="Arial" w:hAnsi="Arial"/>
                <w:sz w:val="12"/>
                <w:szCs w:val="12"/>
                <w:b w:val="1"/>
                <w:bCs w:val="1"/>
                <w:color w:val="auto"/>
              </w:rPr>
              <w:t>Regulatory Tier 1 Capital Ratio (C) / (F)</w:t>
            </w:r>
          </w:p>
        </w:tc>
        <w:tc>
          <w:tcPr>
            <w:tcW w:w="1060" w:type="dxa"/>
            <w:vAlign w:val="bottom"/>
            <w:tcBorders>
              <w:bottom w:val="single" w:sz="8" w:color="auto"/>
            </w:tcBorders>
          </w:tcPr>
          <w:p>
            <w:pPr>
              <w:jc w:val="center"/>
              <w:ind w:left="158"/>
              <w:spacing w:after="0" w:line="134" w:lineRule="exact"/>
              <w:rPr>
                <w:sz w:val="20"/>
                <w:szCs w:val="20"/>
                <w:color w:val="auto"/>
              </w:rPr>
            </w:pPr>
            <w:r>
              <w:rPr>
                <w:rFonts w:ascii="Arial" w:cs="Arial" w:eastAsia="Arial" w:hAnsi="Arial"/>
                <w:sz w:val="12"/>
                <w:szCs w:val="12"/>
                <w:b w:val="1"/>
                <w:bCs w:val="1"/>
                <w:color w:val="auto"/>
              </w:rPr>
              <w:t>1.61</w:t>
            </w:r>
          </w:p>
        </w:tc>
        <w:tc>
          <w:tcPr>
            <w:tcW w:w="1580" w:type="dxa"/>
            <w:vAlign w:val="bottom"/>
            <w:tcBorders>
              <w:bottom w:val="single" w:sz="8" w:color="auto"/>
              <w:right w:val="single" w:sz="8" w:color="auto"/>
            </w:tcBorders>
          </w:tcPr>
          <w:p>
            <w:pPr>
              <w:jc w:val="center"/>
              <w:ind w:left="198"/>
              <w:spacing w:after="0" w:line="134" w:lineRule="exact"/>
              <w:rPr>
                <w:sz w:val="20"/>
                <w:szCs w:val="20"/>
                <w:color w:val="auto"/>
              </w:rPr>
            </w:pPr>
            <w:r>
              <w:rPr>
                <w:rFonts w:ascii="Arial" w:cs="Arial" w:eastAsia="Arial" w:hAnsi="Arial"/>
                <w:sz w:val="12"/>
                <w:szCs w:val="12"/>
                <w:b w:val="1"/>
                <w:bCs w:val="1"/>
                <w:color w:val="auto"/>
              </w:rPr>
              <w:t>1.71</w:t>
            </w:r>
          </w:p>
        </w:tc>
        <w:tc>
          <w:tcPr>
            <w:tcW w:w="1300" w:type="dxa"/>
            <w:vAlign w:val="bottom"/>
            <w:tcBorders>
              <w:bottom w:val="single" w:sz="8" w:color="auto"/>
              <w:right w:val="single" w:sz="8" w:color="auto"/>
            </w:tcBorders>
          </w:tcPr>
          <w:p>
            <w:pPr>
              <w:jc w:val="center"/>
              <w:spacing w:after="0" w:line="134" w:lineRule="exact"/>
              <w:rPr>
                <w:sz w:val="20"/>
                <w:szCs w:val="20"/>
                <w:color w:val="auto"/>
              </w:rPr>
            </w:pPr>
            <w:r>
              <w:rPr>
                <w:rFonts w:ascii="Arial" w:cs="Arial" w:eastAsia="Arial" w:hAnsi="Arial"/>
                <w:sz w:val="12"/>
                <w:szCs w:val="12"/>
                <w:b w:val="1"/>
                <w:bCs w:val="1"/>
                <w:color w:val="auto"/>
              </w:rPr>
              <w:t>10 bps</w:t>
            </w:r>
          </w:p>
        </w:tc>
      </w:tr>
    </w:tbl>
    <w:p>
      <w:pPr>
        <w:spacing w:after="0" w:line="138" w:lineRule="exact"/>
        <w:rPr>
          <w:sz w:val="20"/>
          <w:szCs w:val="20"/>
          <w:color w:val="auto"/>
        </w:rPr>
      </w:pPr>
    </w:p>
    <w:p>
      <w:pPr>
        <w:ind w:left="640" w:hanging="137"/>
        <w:spacing w:after="0"/>
        <w:tabs>
          <w:tab w:leader="none" w:pos="640" w:val="left"/>
        </w:tabs>
        <w:numPr>
          <w:ilvl w:val="0"/>
          <w:numId w:val="50"/>
        </w:numPr>
        <w:rPr>
          <w:rFonts w:ascii="Arial" w:cs="Arial" w:eastAsia="Arial" w:hAnsi="Arial"/>
          <w:sz w:val="10"/>
          <w:szCs w:val="10"/>
          <w:color w:val="auto"/>
        </w:rPr>
      </w:pPr>
      <w:r>
        <w:rPr>
          <w:rFonts w:ascii="Arial" w:cs="Arial" w:eastAsia="Arial" w:hAnsi="Arial"/>
          <w:sz w:val="10"/>
          <w:szCs w:val="10"/>
          <w:color w:val="auto"/>
        </w:rPr>
        <w:t>Earnings include Banco de Crédito del Perú and Mibanco Perú. Losses include all subsidiaries.</w:t>
      </w:r>
    </w:p>
    <w:p>
      <w:pPr>
        <w:ind w:left="640" w:hanging="137"/>
        <w:spacing w:after="0" w:line="214" w:lineRule="auto"/>
        <w:tabs>
          <w:tab w:leader="none" w:pos="640" w:val="left"/>
        </w:tabs>
        <w:numPr>
          <w:ilvl w:val="0"/>
          <w:numId w:val="50"/>
        </w:numPr>
        <w:rPr>
          <w:rFonts w:ascii="Arial" w:cs="Arial" w:eastAsia="Arial" w:hAnsi="Arial"/>
          <w:sz w:val="10"/>
          <w:szCs w:val="10"/>
          <w:color w:val="auto"/>
        </w:rPr>
      </w:pPr>
      <w:r>
        <w:rPr>
          <w:rFonts w:ascii="Arial" w:cs="Arial" w:eastAsia="Arial" w:hAnsi="Arial"/>
          <w:sz w:val="10"/>
          <w:szCs w:val="10"/>
          <w:color w:val="auto"/>
        </w:rPr>
        <w:t>Gains include Investment Grade Government Bonds and Peruvian Central Bank Certificates of Deposits. Losses include all bonds.</w:t>
      </w:r>
    </w:p>
    <w:p>
      <w:pPr>
        <w:ind w:left="640" w:hanging="137"/>
        <w:spacing w:after="0" w:line="214" w:lineRule="auto"/>
        <w:tabs>
          <w:tab w:leader="none" w:pos="640" w:val="left"/>
        </w:tabs>
        <w:numPr>
          <w:ilvl w:val="0"/>
          <w:numId w:val="50"/>
        </w:numPr>
        <w:rPr>
          <w:rFonts w:ascii="Arial" w:cs="Arial" w:eastAsia="Arial" w:hAnsi="Arial"/>
          <w:sz w:val="10"/>
          <w:szCs w:val="10"/>
          <w:color w:val="auto"/>
        </w:rPr>
      </w:pPr>
      <w:r>
        <w:rPr>
          <w:rFonts w:ascii="Arial" w:cs="Arial" w:eastAsia="Arial" w:hAnsi="Arial"/>
          <w:sz w:val="10"/>
          <w:szCs w:val="10"/>
          <w:color w:val="auto"/>
        </w:rPr>
        <w:t>Different to Goodwill. Includes Diferred Tax Assets.</w:t>
      </w:r>
    </w:p>
    <w:p>
      <w:pPr>
        <w:ind w:left="640" w:hanging="137"/>
        <w:spacing w:after="0" w:line="214" w:lineRule="auto"/>
        <w:tabs>
          <w:tab w:leader="none" w:pos="640" w:val="left"/>
        </w:tabs>
        <w:numPr>
          <w:ilvl w:val="0"/>
          <w:numId w:val="50"/>
        </w:numPr>
        <w:rPr>
          <w:rFonts w:ascii="Arial" w:cs="Arial" w:eastAsia="Arial" w:hAnsi="Arial"/>
          <w:sz w:val="10"/>
          <w:szCs w:val="10"/>
          <w:color w:val="auto"/>
        </w:rPr>
      </w:pPr>
      <w:r>
        <w:rPr>
          <w:rFonts w:ascii="Arial" w:cs="Arial" w:eastAsia="Arial" w:hAnsi="Arial"/>
          <w:sz w:val="10"/>
          <w:szCs w:val="10"/>
          <w:color w:val="auto"/>
        </w:rPr>
        <w:t>Investments in Equity.</w:t>
      </w:r>
    </w:p>
    <w:p>
      <w:pPr>
        <w:ind w:left="640" w:hanging="137"/>
        <w:spacing w:after="0" w:line="214" w:lineRule="auto"/>
        <w:tabs>
          <w:tab w:leader="none" w:pos="640" w:val="left"/>
        </w:tabs>
        <w:numPr>
          <w:ilvl w:val="0"/>
          <w:numId w:val="50"/>
        </w:numPr>
        <w:rPr>
          <w:rFonts w:ascii="Arial" w:cs="Arial" w:eastAsia="Arial" w:hAnsi="Arial"/>
          <w:sz w:val="10"/>
          <w:szCs w:val="10"/>
          <w:color w:val="auto"/>
        </w:rPr>
      </w:pPr>
      <w:r>
        <w:rPr>
          <w:rFonts w:ascii="Arial" w:cs="Arial" w:eastAsia="Arial" w:hAnsi="Arial"/>
          <w:sz w:val="10"/>
          <w:szCs w:val="10"/>
          <w:color w:val="auto"/>
        </w:rPr>
        <w:t>Up to 1.25% of total risk-weighted assets of Banco de Crédito del Perú, Solución Empresa Administradora Hipotecaria, Mibanco and Atlantic Security Bank.</w:t>
      </w:r>
    </w:p>
    <w:p>
      <w:pPr>
        <w:ind w:left="640" w:hanging="137"/>
        <w:spacing w:after="0"/>
        <w:tabs>
          <w:tab w:leader="none" w:pos="640" w:val="left"/>
        </w:tabs>
        <w:numPr>
          <w:ilvl w:val="0"/>
          <w:numId w:val="50"/>
        </w:numPr>
        <w:rPr>
          <w:rFonts w:ascii="Arial" w:cs="Arial" w:eastAsia="Arial" w:hAnsi="Arial"/>
          <w:sz w:val="10"/>
          <w:szCs w:val="10"/>
          <w:color w:val="auto"/>
        </w:rPr>
      </w:pPr>
      <w:r>
        <w:rPr>
          <w:rFonts w:ascii="Arial" w:cs="Arial" w:eastAsia="Arial" w:hAnsi="Arial"/>
          <w:sz w:val="10"/>
          <w:szCs w:val="10"/>
          <w:color w:val="auto"/>
        </w:rPr>
        <w:t>Investments in Tier 2 Subordinated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753110</wp:posOffset>
            </wp:positionV>
            <wp:extent cx="7164705" cy="133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93345</wp:posOffset>
            </wp:positionV>
            <wp:extent cx="1502410" cy="4438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5243830</wp:posOffset>
            </wp:positionH>
            <wp:positionV relativeFrom="paragraph">
              <wp:posOffset>230505</wp:posOffset>
            </wp:positionV>
            <wp:extent cx="1769745" cy="3067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769745" cy="306705"/>
                    </a:xfrm>
                    <a:prstGeom prst="rect">
                      <a:avLst/>
                    </a:prstGeom>
                    <a:noFill/>
                  </pic:spPr>
                </pic:pic>
              </a:graphicData>
            </a:graphic>
          </wp:anchor>
        </w:drawing>
      </w:r>
    </w:p>
    <w:p>
      <w:pPr>
        <w:sectPr>
          <w:pgSz w:w="11900" w:h="16838" w:orient="portrait"/>
          <w:cols w:equalWidth="0" w:num="1">
            <w:col w:w="10480"/>
          </w:cols>
          <w:pgMar w:left="540" w:top="300" w:right="879" w:bottom="1440" w:gutter="0" w:footer="0" w:header="0"/>
        </w:sectPr>
      </w:pPr>
    </w:p>
    <w:bookmarkStart w:id="55" w:name="page56"/>
    <w:bookmarkEnd w:id="55"/>
    <w:p>
      <w:pPr>
        <w:jc w:val="both"/>
        <w:ind w:left="2480"/>
        <w:spacing w:after="0"/>
        <w:tabs>
          <w:tab w:leader="none" w:pos="2680" w:val="left"/>
          <w:tab w:leader="none" w:pos="7680"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10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64705" cy="581025"/>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12. Appendix</w:t>
      </w:r>
    </w:p>
    <w:p>
      <w:pPr>
        <w:spacing w:after="0" w:line="244" w:lineRule="exact"/>
        <w:rPr>
          <w:sz w:val="20"/>
          <w:szCs w:val="20"/>
          <w:color w:val="auto"/>
        </w:rPr>
      </w:pPr>
    </w:p>
    <w:p>
      <w:pPr>
        <w:jc w:val="center"/>
        <w:ind w:right="-579"/>
        <w:spacing w:after="0"/>
        <w:rPr>
          <w:sz w:val="20"/>
          <w:szCs w:val="20"/>
          <w:color w:val="auto"/>
        </w:rPr>
      </w:pPr>
      <w:r>
        <w:rPr>
          <w:rFonts w:ascii="Arial" w:cs="Arial" w:eastAsia="Arial" w:hAnsi="Arial"/>
          <w:sz w:val="14"/>
          <w:szCs w:val="14"/>
          <w:b w:val="1"/>
          <w:bCs w:val="1"/>
          <w:color w:val="auto"/>
        </w:rPr>
        <w:t>Regulatory and Capital Adequacy Ratios at BCP Stand-alone</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4"/>
          <w:szCs w:val="14"/>
          <w:b w:val="1"/>
          <w:bCs w:val="1"/>
          <w:color w:val="auto"/>
        </w:rPr>
        <w:t>(S/ thousands, IFRS)</w:t>
      </w:r>
    </w:p>
    <w:p>
      <w:pPr>
        <w:spacing w:after="0" w:line="128" w:lineRule="exact"/>
        <w:rPr>
          <w:sz w:val="20"/>
          <w:szCs w:val="20"/>
          <w:color w:val="auto"/>
        </w:rPr>
      </w:pPr>
    </w:p>
    <w:tbl>
      <w:tblPr>
        <w:tblLayout w:type="fixed"/>
        <w:tblInd w:w="630" w:type="dxa"/>
        <w:tblCellMar>
          <w:top w:w="0" w:type="dxa"/>
          <w:left w:w="0" w:type="dxa"/>
          <w:bottom w:w="0" w:type="dxa"/>
          <w:right w:w="0" w:type="dxa"/>
        </w:tblCellMar>
      </w:tblPr>
      <w:tr>
        <w:trPr>
          <w:trHeight w:val="99"/>
        </w:trPr>
        <w:tc>
          <w:tcPr>
            <w:tcW w:w="4540" w:type="dxa"/>
            <w:vAlign w:val="bottom"/>
            <w:tcBorders>
              <w:top w:val="single" w:sz="8" w:color="auto"/>
              <w:left w:val="single" w:sz="8" w:color="auto"/>
              <w:right w:val="single" w:sz="8" w:color="auto"/>
            </w:tcBorders>
            <w:shd w:val="clear" w:color="auto" w:fill="2AD2C9"/>
          </w:tcPr>
          <w:p>
            <w:pPr>
              <w:ind w:left="20"/>
              <w:spacing w:after="0" w:line="99" w:lineRule="exact"/>
              <w:rPr>
                <w:sz w:val="20"/>
                <w:szCs w:val="20"/>
                <w:color w:val="auto"/>
              </w:rPr>
            </w:pPr>
            <w:r>
              <w:rPr>
                <w:rFonts w:ascii="Arial" w:cs="Arial" w:eastAsia="Arial" w:hAnsi="Arial"/>
                <w:sz w:val="10"/>
                <w:szCs w:val="10"/>
                <w:b w:val="1"/>
                <w:bCs w:val="1"/>
                <w:color w:val="FFFFFF"/>
              </w:rPr>
              <w:t>Regulatory Capital</w:t>
            </w:r>
          </w:p>
        </w:tc>
        <w:tc>
          <w:tcPr>
            <w:tcW w:w="980" w:type="dxa"/>
            <w:vAlign w:val="bottom"/>
            <w:tcBorders>
              <w:top w:val="single" w:sz="8" w:color="auto"/>
            </w:tcBorders>
            <w:shd w:val="clear" w:color="auto" w:fill="2AD2C9"/>
          </w:tcPr>
          <w:p>
            <w:pPr>
              <w:spacing w:after="0"/>
              <w:rPr>
                <w:sz w:val="8"/>
                <w:szCs w:val="8"/>
                <w:color w:val="auto"/>
              </w:rPr>
            </w:pPr>
          </w:p>
        </w:tc>
        <w:tc>
          <w:tcPr>
            <w:tcW w:w="1000" w:type="dxa"/>
            <w:vAlign w:val="bottom"/>
            <w:tcBorders>
              <w:top w:val="single" w:sz="8" w:color="auto"/>
            </w:tcBorders>
            <w:shd w:val="clear" w:color="auto" w:fill="2AD2C9"/>
          </w:tcPr>
          <w:p>
            <w:pPr>
              <w:jc w:val="center"/>
              <w:spacing w:after="0" w:line="99" w:lineRule="exact"/>
              <w:rPr>
                <w:sz w:val="20"/>
                <w:szCs w:val="20"/>
                <w:color w:val="auto"/>
              </w:rPr>
            </w:pPr>
            <w:r>
              <w:rPr>
                <w:rFonts w:ascii="Arial" w:cs="Arial" w:eastAsia="Arial" w:hAnsi="Arial"/>
                <w:sz w:val="10"/>
                <w:szCs w:val="10"/>
                <w:b w:val="1"/>
                <w:bCs w:val="1"/>
                <w:color w:val="FFFFFF"/>
                <w:w w:val="93"/>
              </w:rPr>
              <w:t>Quarter</w:t>
            </w:r>
          </w:p>
        </w:tc>
        <w:tc>
          <w:tcPr>
            <w:tcW w:w="1040" w:type="dxa"/>
            <w:vAlign w:val="bottom"/>
            <w:tcBorders>
              <w:top w:val="single" w:sz="8" w:color="auto"/>
              <w:right w:val="single" w:sz="8" w:color="auto"/>
            </w:tcBorders>
            <w:shd w:val="clear" w:color="auto" w:fill="2AD2C9"/>
          </w:tcPr>
          <w:p>
            <w:pPr>
              <w:spacing w:after="0"/>
              <w:rPr>
                <w:sz w:val="8"/>
                <w:szCs w:val="8"/>
                <w:color w:val="auto"/>
              </w:rPr>
            </w:pPr>
          </w:p>
        </w:tc>
        <w:tc>
          <w:tcPr>
            <w:tcW w:w="700" w:type="dxa"/>
            <w:vAlign w:val="bottom"/>
            <w:tcBorders>
              <w:top w:val="single" w:sz="8" w:color="auto"/>
            </w:tcBorders>
            <w:shd w:val="clear" w:color="auto" w:fill="2AD2C9"/>
          </w:tcPr>
          <w:p>
            <w:pPr>
              <w:spacing w:after="0"/>
              <w:rPr>
                <w:sz w:val="8"/>
                <w:szCs w:val="8"/>
                <w:color w:val="auto"/>
              </w:rPr>
            </w:pPr>
          </w:p>
        </w:tc>
        <w:tc>
          <w:tcPr>
            <w:tcW w:w="1340" w:type="dxa"/>
            <w:vAlign w:val="bottom"/>
            <w:tcBorders>
              <w:top w:val="single" w:sz="8" w:color="auto"/>
              <w:right w:val="single" w:sz="8" w:color="auto"/>
            </w:tcBorders>
            <w:shd w:val="clear" w:color="auto" w:fill="2AD2C9"/>
          </w:tcPr>
          <w:p>
            <w:pPr>
              <w:ind w:left="60"/>
              <w:spacing w:after="0" w:line="99" w:lineRule="exact"/>
              <w:rPr>
                <w:sz w:val="20"/>
                <w:szCs w:val="20"/>
                <w:color w:val="auto"/>
              </w:rPr>
            </w:pPr>
            <w:r>
              <w:rPr>
                <w:rFonts w:ascii="Arial" w:cs="Arial" w:eastAsia="Arial" w:hAnsi="Arial"/>
                <w:sz w:val="10"/>
                <w:szCs w:val="10"/>
                <w:b w:val="1"/>
                <w:bCs w:val="1"/>
                <w:color w:val="FFFFFF"/>
              </w:rPr>
              <w:t>Change %</w:t>
            </w:r>
          </w:p>
        </w:tc>
      </w:tr>
      <w:tr>
        <w:trPr>
          <w:trHeight w:val="117"/>
        </w:trPr>
        <w:tc>
          <w:tcPr>
            <w:tcW w:w="4540" w:type="dxa"/>
            <w:vAlign w:val="bottom"/>
            <w:tcBorders>
              <w:left w:val="single" w:sz="8" w:color="auto"/>
              <w:bottom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0"/>
                <w:szCs w:val="10"/>
                <w:color w:val="FFFFFF"/>
              </w:rPr>
              <w:t>(S/ thousand)</w:t>
            </w:r>
          </w:p>
        </w:tc>
        <w:tc>
          <w:tcPr>
            <w:tcW w:w="98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0"/>
                <w:szCs w:val="10"/>
                <w:b w:val="1"/>
                <w:bCs w:val="1"/>
                <w:color w:val="FFFFFF"/>
              </w:rPr>
              <w:t>Jun 23</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rPr>
              <w:t>Mar 24</w:t>
            </w:r>
          </w:p>
        </w:tc>
        <w:tc>
          <w:tcPr>
            <w:tcW w:w="1040" w:type="dxa"/>
            <w:vAlign w:val="bottom"/>
            <w:tcBorders>
              <w:bottom w:val="single" w:sz="8" w:color="auto"/>
              <w:right w:val="single" w:sz="8" w:color="auto"/>
            </w:tcBorders>
            <w:shd w:val="clear" w:color="auto" w:fill="2AD2C9"/>
          </w:tcPr>
          <w:p>
            <w:pPr>
              <w:ind w:left="360"/>
              <w:spacing w:after="0"/>
              <w:rPr>
                <w:sz w:val="20"/>
                <w:szCs w:val="20"/>
                <w:color w:val="auto"/>
              </w:rPr>
            </w:pPr>
            <w:r>
              <w:rPr>
                <w:rFonts w:ascii="Arial" w:cs="Arial" w:eastAsia="Arial" w:hAnsi="Arial"/>
                <w:sz w:val="10"/>
                <w:szCs w:val="10"/>
                <w:b w:val="1"/>
                <w:bCs w:val="1"/>
                <w:color w:val="FFFFFF"/>
              </w:rPr>
              <w:t>Jun 24</w:t>
            </w:r>
          </w:p>
        </w:tc>
        <w:tc>
          <w:tcPr>
            <w:tcW w:w="700" w:type="dxa"/>
            <w:vAlign w:val="bottom"/>
            <w:tcBorders>
              <w:bottom w:val="single" w:sz="8" w:color="auto"/>
            </w:tcBorders>
            <w:shd w:val="clear" w:color="auto" w:fill="2AD2C9"/>
          </w:tcPr>
          <w:p>
            <w:pPr>
              <w:jc w:val="center"/>
              <w:ind w:left="213"/>
              <w:spacing w:after="0"/>
              <w:rPr>
                <w:sz w:val="20"/>
                <w:szCs w:val="20"/>
                <w:color w:val="auto"/>
              </w:rPr>
            </w:pPr>
            <w:r>
              <w:rPr>
                <w:rFonts w:ascii="Arial" w:cs="Arial" w:eastAsia="Arial" w:hAnsi="Arial"/>
                <w:sz w:val="10"/>
                <w:szCs w:val="10"/>
                <w:b w:val="1"/>
                <w:bCs w:val="1"/>
                <w:color w:val="FFFFFF"/>
                <w:w w:val="92"/>
              </w:rPr>
              <w:t>QoQ</w:t>
            </w:r>
          </w:p>
        </w:tc>
        <w:tc>
          <w:tcPr>
            <w:tcW w:w="1340" w:type="dxa"/>
            <w:vAlign w:val="bottom"/>
            <w:tcBorders>
              <w:bottom w:val="single" w:sz="8" w:color="auto"/>
              <w:right w:val="single" w:sz="8" w:color="auto"/>
            </w:tcBorders>
            <w:shd w:val="clear" w:color="auto" w:fill="2AD2C9"/>
          </w:tcPr>
          <w:p>
            <w:pPr>
              <w:jc w:val="center"/>
              <w:ind w:left="193"/>
              <w:spacing w:after="0"/>
              <w:rPr>
                <w:sz w:val="20"/>
                <w:szCs w:val="20"/>
                <w:color w:val="auto"/>
              </w:rPr>
            </w:pPr>
            <w:r>
              <w:rPr>
                <w:rFonts w:ascii="Arial" w:cs="Arial" w:eastAsia="Arial" w:hAnsi="Arial"/>
                <w:sz w:val="10"/>
                <w:szCs w:val="10"/>
                <w:b w:val="1"/>
                <w:bCs w:val="1"/>
                <w:color w:val="FFFFFF"/>
                <w:w w:val="92"/>
              </w:rPr>
              <w:t>YoY</w:t>
            </w:r>
          </w:p>
        </w:tc>
      </w:tr>
      <w:tr>
        <w:trPr>
          <w:trHeight w:val="81"/>
        </w:trPr>
        <w:tc>
          <w:tcPr>
            <w:tcW w:w="4540" w:type="dxa"/>
            <w:vAlign w:val="bottom"/>
            <w:tcBorders>
              <w:left w:val="single" w:sz="8" w:color="auto"/>
              <w:right w:val="single" w:sz="8" w:color="auto"/>
            </w:tcBorders>
          </w:tcPr>
          <w:p>
            <w:pPr>
              <w:ind w:left="20"/>
              <w:spacing w:after="0" w:line="81" w:lineRule="exact"/>
              <w:rPr>
                <w:sz w:val="20"/>
                <w:szCs w:val="20"/>
                <w:color w:val="auto"/>
              </w:rPr>
            </w:pPr>
            <w:r>
              <w:rPr>
                <w:rFonts w:ascii="Arial" w:cs="Arial" w:eastAsia="Arial" w:hAnsi="Arial"/>
                <w:sz w:val="8"/>
                <w:szCs w:val="8"/>
                <w:color w:val="auto"/>
              </w:rPr>
              <w:t>Capital Stock</w:t>
            </w:r>
          </w:p>
        </w:tc>
        <w:tc>
          <w:tcPr>
            <w:tcW w:w="980" w:type="dxa"/>
            <w:vAlign w:val="bottom"/>
          </w:tcPr>
          <w:p>
            <w:pPr>
              <w:jc w:val="center"/>
              <w:spacing w:after="0" w:line="81" w:lineRule="exact"/>
              <w:rPr>
                <w:sz w:val="20"/>
                <w:szCs w:val="20"/>
                <w:color w:val="auto"/>
              </w:rPr>
            </w:pPr>
            <w:r>
              <w:rPr>
                <w:rFonts w:ascii="Arial" w:cs="Arial" w:eastAsia="Arial" w:hAnsi="Arial"/>
                <w:sz w:val="8"/>
                <w:szCs w:val="8"/>
                <w:color w:val="auto"/>
              </w:rPr>
              <w:t>12,973,175</w:t>
            </w:r>
          </w:p>
        </w:tc>
        <w:tc>
          <w:tcPr>
            <w:tcW w:w="1000" w:type="dxa"/>
            <w:vAlign w:val="bottom"/>
          </w:tcPr>
          <w:p>
            <w:pPr>
              <w:jc w:val="center"/>
              <w:spacing w:after="0" w:line="81" w:lineRule="exact"/>
              <w:rPr>
                <w:sz w:val="20"/>
                <w:szCs w:val="20"/>
                <w:color w:val="auto"/>
              </w:rPr>
            </w:pPr>
            <w:r>
              <w:rPr>
                <w:rFonts w:ascii="Arial" w:cs="Arial" w:eastAsia="Arial" w:hAnsi="Arial"/>
                <w:sz w:val="8"/>
                <w:szCs w:val="8"/>
                <w:color w:val="auto"/>
              </w:rPr>
              <w:t>12,973,175</w:t>
            </w:r>
          </w:p>
        </w:tc>
        <w:tc>
          <w:tcPr>
            <w:tcW w:w="104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12,973,175</w:t>
            </w:r>
          </w:p>
        </w:tc>
        <w:tc>
          <w:tcPr>
            <w:tcW w:w="700" w:type="dxa"/>
            <w:vAlign w:val="bottom"/>
          </w:tcPr>
          <w:p>
            <w:pPr>
              <w:jc w:val="center"/>
              <w:ind w:left="233"/>
              <w:spacing w:after="0" w:line="81" w:lineRule="exact"/>
              <w:rPr>
                <w:sz w:val="20"/>
                <w:szCs w:val="20"/>
                <w:color w:val="auto"/>
              </w:rPr>
            </w:pPr>
            <w:r>
              <w:rPr>
                <w:rFonts w:ascii="Arial" w:cs="Arial" w:eastAsia="Arial" w:hAnsi="Arial"/>
                <w:sz w:val="8"/>
                <w:szCs w:val="8"/>
                <w:color w:val="auto"/>
              </w:rPr>
              <w:t>0.0%</w:t>
            </w:r>
          </w:p>
        </w:tc>
        <w:tc>
          <w:tcPr>
            <w:tcW w:w="1340" w:type="dxa"/>
            <w:vAlign w:val="bottom"/>
            <w:tcBorders>
              <w:right w:val="single" w:sz="8" w:color="auto"/>
            </w:tcBorders>
          </w:tcPr>
          <w:p>
            <w:pPr>
              <w:jc w:val="center"/>
              <w:ind w:left="193"/>
              <w:spacing w:after="0" w:line="81" w:lineRule="exact"/>
              <w:rPr>
                <w:sz w:val="20"/>
                <w:szCs w:val="20"/>
                <w:color w:val="auto"/>
              </w:rPr>
            </w:pPr>
            <w:r>
              <w:rPr>
                <w:rFonts w:ascii="Arial" w:cs="Arial" w:eastAsia="Arial" w:hAnsi="Arial"/>
                <w:sz w:val="8"/>
                <w:szCs w:val="8"/>
                <w:color w:val="auto"/>
              </w:rPr>
              <w:t>0.0%</w:t>
            </w:r>
          </w:p>
        </w:tc>
      </w:tr>
      <w:tr>
        <w:trPr>
          <w:trHeight w:val="103"/>
        </w:trPr>
        <w:tc>
          <w:tcPr>
            <w:tcW w:w="454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Reserves</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4"/>
              </w:rPr>
              <w:t>7,039,359</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8"/>
              </w:rPr>
              <w:t>6,590,921</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6,591,330</w:t>
            </w:r>
          </w:p>
        </w:tc>
        <w:tc>
          <w:tcPr>
            <w:tcW w:w="700" w:type="dxa"/>
            <w:vAlign w:val="bottom"/>
          </w:tcPr>
          <w:p>
            <w:pPr>
              <w:jc w:val="center"/>
              <w:ind w:left="233"/>
              <w:spacing w:after="0" w:line="103" w:lineRule="exact"/>
              <w:rPr>
                <w:sz w:val="20"/>
                <w:szCs w:val="20"/>
                <w:color w:val="auto"/>
              </w:rPr>
            </w:pPr>
            <w:r>
              <w:rPr>
                <w:rFonts w:ascii="Arial" w:cs="Arial" w:eastAsia="Arial" w:hAnsi="Arial"/>
                <w:sz w:val="10"/>
                <w:szCs w:val="10"/>
                <w:color w:val="auto"/>
                <w:w w:val="96"/>
              </w:rPr>
              <w:t>0.0%</w:t>
            </w:r>
          </w:p>
        </w:tc>
        <w:tc>
          <w:tcPr>
            <w:tcW w:w="1340" w:type="dxa"/>
            <w:vAlign w:val="bottom"/>
            <w:tcBorders>
              <w:right w:val="single" w:sz="8" w:color="auto"/>
            </w:tcBorders>
          </w:tcPr>
          <w:p>
            <w:pPr>
              <w:jc w:val="center"/>
              <w:ind w:left="213"/>
              <w:spacing w:after="0" w:line="103" w:lineRule="exact"/>
              <w:rPr>
                <w:sz w:val="20"/>
                <w:szCs w:val="20"/>
                <w:color w:val="auto"/>
              </w:rPr>
            </w:pPr>
            <w:r>
              <w:rPr>
                <w:rFonts w:ascii="Arial" w:cs="Arial" w:eastAsia="Arial" w:hAnsi="Arial"/>
                <w:sz w:val="10"/>
                <w:szCs w:val="10"/>
                <w:color w:val="auto"/>
                <w:w w:val="91"/>
              </w:rPr>
              <w:t>-6.4%</w:t>
            </w:r>
          </w:p>
        </w:tc>
      </w:tr>
      <w:tr>
        <w:trPr>
          <w:trHeight w:val="103"/>
        </w:trPr>
        <w:tc>
          <w:tcPr>
            <w:tcW w:w="454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Accumulated earnings</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4"/>
              </w:rPr>
              <w:t>3,346,790</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8"/>
              </w:rPr>
              <w:t>2,644,894</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3,920,795</w:t>
            </w:r>
          </w:p>
        </w:tc>
        <w:tc>
          <w:tcPr>
            <w:tcW w:w="700" w:type="dxa"/>
            <w:vAlign w:val="bottom"/>
          </w:tcPr>
          <w:p>
            <w:pPr>
              <w:jc w:val="center"/>
              <w:ind w:left="213"/>
              <w:spacing w:after="0" w:line="103" w:lineRule="exact"/>
              <w:rPr>
                <w:sz w:val="20"/>
                <w:szCs w:val="20"/>
                <w:color w:val="auto"/>
              </w:rPr>
            </w:pPr>
            <w:r>
              <w:rPr>
                <w:rFonts w:ascii="Arial" w:cs="Arial" w:eastAsia="Arial" w:hAnsi="Arial"/>
                <w:sz w:val="10"/>
                <w:szCs w:val="10"/>
                <w:color w:val="auto"/>
                <w:w w:val="98"/>
              </w:rPr>
              <w:t>48.2%</w:t>
            </w:r>
          </w:p>
        </w:tc>
        <w:tc>
          <w:tcPr>
            <w:tcW w:w="1340" w:type="dxa"/>
            <w:vAlign w:val="bottom"/>
            <w:tcBorders>
              <w:right w:val="single" w:sz="8" w:color="auto"/>
            </w:tcBorders>
          </w:tcPr>
          <w:p>
            <w:pPr>
              <w:jc w:val="center"/>
              <w:ind w:left="213"/>
              <w:spacing w:after="0" w:line="103" w:lineRule="exact"/>
              <w:rPr>
                <w:sz w:val="20"/>
                <w:szCs w:val="20"/>
                <w:color w:val="auto"/>
              </w:rPr>
            </w:pPr>
            <w:r>
              <w:rPr>
                <w:rFonts w:ascii="Arial" w:cs="Arial" w:eastAsia="Arial" w:hAnsi="Arial"/>
                <w:sz w:val="10"/>
                <w:szCs w:val="10"/>
                <w:color w:val="auto"/>
                <w:w w:val="98"/>
              </w:rPr>
              <w:t>17.2%</w:t>
            </w:r>
          </w:p>
        </w:tc>
      </w:tr>
      <w:tr>
        <w:trPr>
          <w:trHeight w:val="103"/>
        </w:trPr>
        <w:tc>
          <w:tcPr>
            <w:tcW w:w="454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Loan loss reserves (1)</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4"/>
              </w:rPr>
              <w:t>1,625,735</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8"/>
              </w:rPr>
              <w:t>1,662,636</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1,749,878</w:t>
            </w:r>
          </w:p>
        </w:tc>
        <w:tc>
          <w:tcPr>
            <w:tcW w:w="700" w:type="dxa"/>
            <w:vAlign w:val="bottom"/>
          </w:tcPr>
          <w:p>
            <w:pPr>
              <w:jc w:val="center"/>
              <w:ind w:left="233"/>
              <w:spacing w:after="0" w:line="103" w:lineRule="exact"/>
              <w:rPr>
                <w:sz w:val="20"/>
                <w:szCs w:val="20"/>
                <w:color w:val="auto"/>
              </w:rPr>
            </w:pPr>
            <w:r>
              <w:rPr>
                <w:rFonts w:ascii="Arial" w:cs="Arial" w:eastAsia="Arial" w:hAnsi="Arial"/>
                <w:sz w:val="10"/>
                <w:szCs w:val="10"/>
                <w:color w:val="auto"/>
                <w:w w:val="96"/>
              </w:rPr>
              <w:t>5.2%</w:t>
            </w:r>
          </w:p>
        </w:tc>
        <w:tc>
          <w:tcPr>
            <w:tcW w:w="1340" w:type="dxa"/>
            <w:vAlign w:val="bottom"/>
            <w:tcBorders>
              <w:right w:val="single" w:sz="8" w:color="auto"/>
            </w:tcBorders>
          </w:tcPr>
          <w:p>
            <w:pPr>
              <w:jc w:val="center"/>
              <w:ind w:left="193"/>
              <w:spacing w:after="0" w:line="103" w:lineRule="exact"/>
              <w:rPr>
                <w:sz w:val="20"/>
                <w:szCs w:val="20"/>
                <w:color w:val="auto"/>
              </w:rPr>
            </w:pPr>
            <w:r>
              <w:rPr>
                <w:rFonts w:ascii="Arial" w:cs="Arial" w:eastAsia="Arial" w:hAnsi="Arial"/>
                <w:sz w:val="10"/>
                <w:szCs w:val="10"/>
                <w:color w:val="auto"/>
                <w:w w:val="96"/>
              </w:rPr>
              <w:t>7.6%</w:t>
            </w:r>
          </w:p>
        </w:tc>
      </w:tr>
      <w:tr>
        <w:trPr>
          <w:trHeight w:val="103"/>
        </w:trPr>
        <w:tc>
          <w:tcPr>
            <w:tcW w:w="454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Perpetual subordinated debt</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rPr>
              <w:t>-</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73"/>
              </w:rPr>
              <w:t>-</w:t>
            </w:r>
          </w:p>
        </w:tc>
        <w:tc>
          <w:tcPr>
            <w:tcW w:w="700" w:type="dxa"/>
            <w:vAlign w:val="bottom"/>
          </w:tcPr>
          <w:p>
            <w:pPr>
              <w:jc w:val="center"/>
              <w:ind w:left="233"/>
              <w:spacing w:after="0" w:line="103" w:lineRule="exact"/>
              <w:rPr>
                <w:sz w:val="20"/>
                <w:szCs w:val="20"/>
                <w:color w:val="auto"/>
              </w:rPr>
            </w:pPr>
            <w:r>
              <w:rPr>
                <w:rFonts w:ascii="Arial" w:cs="Arial" w:eastAsia="Arial" w:hAnsi="Arial"/>
                <w:sz w:val="10"/>
                <w:szCs w:val="10"/>
                <w:color w:val="auto"/>
              </w:rPr>
              <w:t>n.a</w:t>
            </w:r>
          </w:p>
        </w:tc>
        <w:tc>
          <w:tcPr>
            <w:tcW w:w="1340" w:type="dxa"/>
            <w:vAlign w:val="bottom"/>
            <w:tcBorders>
              <w:right w:val="single" w:sz="8" w:color="auto"/>
            </w:tcBorders>
          </w:tcPr>
          <w:p>
            <w:pPr>
              <w:jc w:val="center"/>
              <w:ind w:left="213"/>
              <w:spacing w:after="0" w:line="103" w:lineRule="exact"/>
              <w:rPr>
                <w:sz w:val="20"/>
                <w:szCs w:val="20"/>
                <w:color w:val="auto"/>
              </w:rPr>
            </w:pPr>
            <w:r>
              <w:rPr>
                <w:rFonts w:ascii="Arial" w:cs="Arial" w:eastAsia="Arial" w:hAnsi="Arial"/>
                <w:sz w:val="10"/>
                <w:szCs w:val="10"/>
                <w:color w:val="auto"/>
                <w:w w:val="85"/>
              </w:rPr>
              <w:t>n.a</w:t>
            </w:r>
          </w:p>
        </w:tc>
      </w:tr>
      <w:tr>
        <w:trPr>
          <w:trHeight w:val="103"/>
        </w:trPr>
        <w:tc>
          <w:tcPr>
            <w:tcW w:w="454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Subordinated Debt</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4"/>
              </w:rPr>
              <w:t>4,897,800</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8"/>
              </w:rPr>
              <w:t>5,019,300</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5,171,850</w:t>
            </w:r>
          </w:p>
        </w:tc>
        <w:tc>
          <w:tcPr>
            <w:tcW w:w="700" w:type="dxa"/>
            <w:vAlign w:val="bottom"/>
          </w:tcPr>
          <w:p>
            <w:pPr>
              <w:jc w:val="center"/>
              <w:ind w:left="233"/>
              <w:spacing w:after="0" w:line="103" w:lineRule="exact"/>
              <w:rPr>
                <w:sz w:val="20"/>
                <w:szCs w:val="20"/>
                <w:color w:val="auto"/>
              </w:rPr>
            </w:pPr>
            <w:r>
              <w:rPr>
                <w:rFonts w:ascii="Arial" w:cs="Arial" w:eastAsia="Arial" w:hAnsi="Arial"/>
                <w:sz w:val="10"/>
                <w:szCs w:val="10"/>
                <w:color w:val="auto"/>
                <w:w w:val="96"/>
              </w:rPr>
              <w:t>3.0%</w:t>
            </w:r>
          </w:p>
        </w:tc>
        <w:tc>
          <w:tcPr>
            <w:tcW w:w="1340" w:type="dxa"/>
            <w:vAlign w:val="bottom"/>
            <w:tcBorders>
              <w:right w:val="single" w:sz="8" w:color="auto"/>
            </w:tcBorders>
          </w:tcPr>
          <w:p>
            <w:pPr>
              <w:jc w:val="center"/>
              <w:ind w:left="193"/>
              <w:spacing w:after="0" w:line="103" w:lineRule="exact"/>
              <w:rPr>
                <w:sz w:val="20"/>
                <w:szCs w:val="20"/>
                <w:color w:val="auto"/>
              </w:rPr>
            </w:pPr>
            <w:r>
              <w:rPr>
                <w:rFonts w:ascii="Arial" w:cs="Arial" w:eastAsia="Arial" w:hAnsi="Arial"/>
                <w:sz w:val="10"/>
                <w:szCs w:val="10"/>
                <w:color w:val="auto"/>
                <w:w w:val="96"/>
              </w:rPr>
              <w:t>5.6%</w:t>
            </w:r>
          </w:p>
        </w:tc>
      </w:tr>
      <w:tr>
        <w:trPr>
          <w:trHeight w:val="103"/>
        </w:trPr>
        <w:tc>
          <w:tcPr>
            <w:tcW w:w="454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Unrealized Profit or Losses</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3"/>
              </w:rPr>
              <w:t>(834,411)</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3"/>
              </w:rPr>
              <w:t>(691,921)</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8"/>
              </w:rPr>
              <w:t>(621,417)</w:t>
            </w:r>
          </w:p>
        </w:tc>
        <w:tc>
          <w:tcPr>
            <w:tcW w:w="700" w:type="dxa"/>
            <w:vAlign w:val="bottom"/>
          </w:tcPr>
          <w:p>
            <w:pPr>
              <w:jc w:val="center"/>
              <w:ind w:left="233"/>
              <w:spacing w:after="0" w:line="103" w:lineRule="exact"/>
              <w:rPr>
                <w:sz w:val="20"/>
                <w:szCs w:val="20"/>
                <w:color w:val="auto"/>
              </w:rPr>
            </w:pPr>
            <w:r>
              <w:rPr>
                <w:rFonts w:ascii="Arial" w:cs="Arial" w:eastAsia="Arial" w:hAnsi="Arial"/>
                <w:sz w:val="10"/>
                <w:szCs w:val="10"/>
                <w:color w:val="auto"/>
                <w:w w:val="94"/>
              </w:rPr>
              <w:t>-10.2%</w:t>
            </w:r>
          </w:p>
        </w:tc>
        <w:tc>
          <w:tcPr>
            <w:tcW w:w="1340" w:type="dxa"/>
            <w:vAlign w:val="bottom"/>
            <w:tcBorders>
              <w:right w:val="single" w:sz="8" w:color="auto"/>
            </w:tcBorders>
          </w:tcPr>
          <w:p>
            <w:pPr>
              <w:jc w:val="center"/>
              <w:ind w:left="193"/>
              <w:spacing w:after="0" w:line="103" w:lineRule="exact"/>
              <w:rPr>
                <w:sz w:val="20"/>
                <w:szCs w:val="20"/>
                <w:color w:val="auto"/>
              </w:rPr>
            </w:pPr>
            <w:r>
              <w:rPr>
                <w:rFonts w:ascii="Arial" w:cs="Arial" w:eastAsia="Arial" w:hAnsi="Arial"/>
                <w:sz w:val="10"/>
                <w:szCs w:val="10"/>
                <w:color w:val="auto"/>
                <w:w w:val="94"/>
              </w:rPr>
              <w:t>-25.5%</w:t>
            </w:r>
          </w:p>
        </w:tc>
      </w:tr>
      <w:tr>
        <w:trPr>
          <w:trHeight w:val="103"/>
        </w:trPr>
        <w:tc>
          <w:tcPr>
            <w:tcW w:w="454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Investment in subsidiaries and others, net of unrealized profit and net income in subsidiaries</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3"/>
              </w:rPr>
              <w:t>(2,667,540)</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3"/>
              </w:rPr>
              <w:t>(2,416,070)</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7"/>
              </w:rPr>
              <w:t>(2,465,969)</w:t>
            </w:r>
          </w:p>
        </w:tc>
        <w:tc>
          <w:tcPr>
            <w:tcW w:w="700" w:type="dxa"/>
            <w:vAlign w:val="bottom"/>
          </w:tcPr>
          <w:p>
            <w:pPr>
              <w:jc w:val="center"/>
              <w:ind w:left="233"/>
              <w:spacing w:after="0" w:line="103" w:lineRule="exact"/>
              <w:rPr>
                <w:sz w:val="20"/>
                <w:szCs w:val="20"/>
                <w:color w:val="auto"/>
              </w:rPr>
            </w:pPr>
            <w:r>
              <w:rPr>
                <w:rFonts w:ascii="Arial" w:cs="Arial" w:eastAsia="Arial" w:hAnsi="Arial"/>
                <w:sz w:val="10"/>
                <w:szCs w:val="10"/>
                <w:color w:val="auto"/>
                <w:w w:val="96"/>
              </w:rPr>
              <w:t>2.1%</w:t>
            </w:r>
          </w:p>
        </w:tc>
        <w:tc>
          <w:tcPr>
            <w:tcW w:w="1340" w:type="dxa"/>
            <w:vAlign w:val="bottom"/>
            <w:tcBorders>
              <w:right w:val="single" w:sz="8" w:color="auto"/>
            </w:tcBorders>
          </w:tcPr>
          <w:p>
            <w:pPr>
              <w:jc w:val="center"/>
              <w:ind w:left="213"/>
              <w:spacing w:after="0" w:line="103" w:lineRule="exact"/>
              <w:rPr>
                <w:sz w:val="20"/>
                <w:szCs w:val="20"/>
                <w:color w:val="auto"/>
              </w:rPr>
            </w:pPr>
            <w:r>
              <w:rPr>
                <w:rFonts w:ascii="Arial" w:cs="Arial" w:eastAsia="Arial" w:hAnsi="Arial"/>
                <w:sz w:val="10"/>
                <w:szCs w:val="10"/>
                <w:color w:val="auto"/>
                <w:w w:val="91"/>
              </w:rPr>
              <w:t>-7.6%</w:t>
            </w:r>
          </w:p>
        </w:tc>
      </w:tr>
      <w:tr>
        <w:trPr>
          <w:trHeight w:val="103"/>
        </w:trPr>
        <w:tc>
          <w:tcPr>
            <w:tcW w:w="454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Intangibles</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3"/>
              </w:rPr>
              <w:t>(1,036,167)</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3"/>
              </w:rPr>
              <w:t>(1,209,735)</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7"/>
              </w:rPr>
              <w:t>(1,303,792)</w:t>
            </w:r>
          </w:p>
        </w:tc>
        <w:tc>
          <w:tcPr>
            <w:tcW w:w="700" w:type="dxa"/>
            <w:vAlign w:val="bottom"/>
          </w:tcPr>
          <w:p>
            <w:pPr>
              <w:jc w:val="center"/>
              <w:ind w:left="233"/>
              <w:spacing w:after="0" w:line="103" w:lineRule="exact"/>
              <w:rPr>
                <w:sz w:val="20"/>
                <w:szCs w:val="20"/>
                <w:color w:val="auto"/>
              </w:rPr>
            </w:pPr>
            <w:r>
              <w:rPr>
                <w:rFonts w:ascii="Arial" w:cs="Arial" w:eastAsia="Arial" w:hAnsi="Arial"/>
                <w:sz w:val="10"/>
                <w:szCs w:val="10"/>
                <w:color w:val="auto"/>
                <w:w w:val="96"/>
              </w:rPr>
              <w:t>7.8%</w:t>
            </w:r>
          </w:p>
        </w:tc>
        <w:tc>
          <w:tcPr>
            <w:tcW w:w="1340" w:type="dxa"/>
            <w:vAlign w:val="bottom"/>
            <w:tcBorders>
              <w:right w:val="single" w:sz="8" w:color="auto"/>
            </w:tcBorders>
          </w:tcPr>
          <w:p>
            <w:pPr>
              <w:jc w:val="center"/>
              <w:ind w:left="213"/>
              <w:spacing w:after="0" w:line="103" w:lineRule="exact"/>
              <w:rPr>
                <w:sz w:val="20"/>
                <w:szCs w:val="20"/>
                <w:color w:val="auto"/>
              </w:rPr>
            </w:pPr>
            <w:r>
              <w:rPr>
                <w:rFonts w:ascii="Arial" w:cs="Arial" w:eastAsia="Arial" w:hAnsi="Arial"/>
                <w:sz w:val="10"/>
                <w:szCs w:val="10"/>
                <w:color w:val="auto"/>
                <w:w w:val="98"/>
              </w:rPr>
              <w:t>25.8%</w:t>
            </w:r>
          </w:p>
        </w:tc>
      </w:tr>
      <w:tr>
        <w:trPr>
          <w:trHeight w:val="115"/>
        </w:trPr>
        <w:tc>
          <w:tcPr>
            <w:tcW w:w="4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Goodwill</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3"/>
              </w:rPr>
              <w:t>(122,083)</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3"/>
              </w:rPr>
              <w:t>(122,083)</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(122,083)</w:t>
            </w:r>
          </w:p>
        </w:tc>
        <w:tc>
          <w:tcPr>
            <w:tcW w:w="700" w:type="dxa"/>
            <w:vAlign w:val="bottom"/>
            <w:tcBorders>
              <w:bottom w:val="single" w:sz="8" w:color="auto"/>
            </w:tcBorders>
          </w:tcPr>
          <w:p>
            <w:pPr>
              <w:jc w:val="center"/>
              <w:ind w:left="233"/>
              <w:spacing w:after="0"/>
              <w:rPr>
                <w:sz w:val="20"/>
                <w:szCs w:val="20"/>
                <w:color w:val="auto"/>
              </w:rPr>
            </w:pPr>
            <w:r>
              <w:rPr>
                <w:rFonts w:ascii="Arial" w:cs="Arial" w:eastAsia="Arial" w:hAnsi="Arial"/>
                <w:sz w:val="10"/>
                <w:szCs w:val="10"/>
                <w:color w:val="auto"/>
                <w:w w:val="96"/>
              </w:rPr>
              <w:t>0.0%</w:t>
            </w:r>
          </w:p>
        </w:tc>
        <w:tc>
          <w:tcPr>
            <w:tcW w:w="1340" w:type="dxa"/>
            <w:vAlign w:val="bottom"/>
            <w:tcBorders>
              <w:bottom w:val="single" w:sz="8" w:color="auto"/>
              <w:right w:val="single" w:sz="8" w:color="auto"/>
            </w:tcBorders>
          </w:tcPr>
          <w:p>
            <w:pPr>
              <w:jc w:val="center"/>
              <w:ind w:left="193"/>
              <w:spacing w:after="0"/>
              <w:rPr>
                <w:sz w:val="20"/>
                <w:szCs w:val="20"/>
                <w:color w:val="auto"/>
              </w:rPr>
            </w:pPr>
            <w:r>
              <w:rPr>
                <w:rFonts w:ascii="Arial" w:cs="Arial" w:eastAsia="Arial" w:hAnsi="Arial"/>
                <w:sz w:val="10"/>
                <w:szCs w:val="10"/>
                <w:color w:val="auto"/>
                <w:w w:val="96"/>
              </w:rPr>
              <w:t>0.0%</w:t>
            </w:r>
          </w:p>
        </w:tc>
      </w:tr>
      <w:tr>
        <w:trPr>
          <w:trHeight w:val="93"/>
        </w:trPr>
        <w:tc>
          <w:tcPr>
            <w:tcW w:w="4540" w:type="dxa"/>
            <w:vAlign w:val="bottom"/>
            <w:tcBorders>
              <w:left w:val="single" w:sz="8" w:color="auto"/>
              <w:bottom w:val="single" w:sz="8" w:color="auto"/>
              <w:right w:val="single" w:sz="8" w:color="auto"/>
            </w:tcBorders>
          </w:tcPr>
          <w:p>
            <w:pPr>
              <w:ind w:left="20"/>
              <w:spacing w:after="0" w:line="93" w:lineRule="exact"/>
              <w:rPr>
                <w:sz w:val="20"/>
                <w:szCs w:val="20"/>
                <w:color w:val="auto"/>
              </w:rPr>
            </w:pPr>
            <w:r>
              <w:rPr>
                <w:rFonts w:ascii="Arial" w:cs="Arial" w:eastAsia="Arial" w:hAnsi="Arial"/>
                <w:sz w:val="10"/>
                <w:szCs w:val="10"/>
                <w:b w:val="1"/>
                <w:bCs w:val="1"/>
                <w:color w:val="auto"/>
              </w:rPr>
              <w:t>Total Regulatory Capital</w:t>
            </w:r>
          </w:p>
        </w:tc>
        <w:tc>
          <w:tcPr>
            <w:tcW w:w="98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5"/>
              </w:rPr>
              <w:t>25,222,659</w:t>
            </w:r>
          </w:p>
        </w:tc>
        <w:tc>
          <w:tcPr>
            <w:tcW w:w="10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5"/>
              </w:rPr>
              <w:t>24,451,116</w:t>
            </w:r>
          </w:p>
        </w:tc>
        <w:tc>
          <w:tcPr>
            <w:tcW w:w="104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5"/>
              </w:rPr>
              <w:t>25,893,766</w:t>
            </w:r>
          </w:p>
        </w:tc>
        <w:tc>
          <w:tcPr>
            <w:tcW w:w="700" w:type="dxa"/>
            <w:vAlign w:val="bottom"/>
            <w:tcBorders>
              <w:bottom w:val="single" w:sz="8" w:color="auto"/>
            </w:tcBorders>
          </w:tcPr>
          <w:p>
            <w:pPr>
              <w:jc w:val="center"/>
              <w:ind w:left="233"/>
              <w:spacing w:after="0" w:line="93" w:lineRule="exact"/>
              <w:rPr>
                <w:sz w:val="20"/>
                <w:szCs w:val="20"/>
                <w:color w:val="auto"/>
              </w:rPr>
            </w:pPr>
            <w:r>
              <w:rPr>
                <w:rFonts w:ascii="Arial" w:cs="Arial" w:eastAsia="Arial" w:hAnsi="Arial"/>
                <w:sz w:val="10"/>
                <w:szCs w:val="10"/>
                <w:b w:val="1"/>
                <w:bCs w:val="1"/>
                <w:color w:val="auto"/>
                <w:w w:val="96"/>
              </w:rPr>
              <w:t>5.9%</w:t>
            </w:r>
          </w:p>
        </w:tc>
        <w:tc>
          <w:tcPr>
            <w:tcW w:w="1340" w:type="dxa"/>
            <w:vAlign w:val="bottom"/>
            <w:tcBorders>
              <w:bottom w:val="single" w:sz="8" w:color="auto"/>
              <w:right w:val="single" w:sz="8" w:color="auto"/>
            </w:tcBorders>
          </w:tcPr>
          <w:p>
            <w:pPr>
              <w:jc w:val="center"/>
              <w:ind w:left="193"/>
              <w:spacing w:after="0" w:line="93" w:lineRule="exact"/>
              <w:rPr>
                <w:sz w:val="20"/>
                <w:szCs w:val="20"/>
                <w:color w:val="auto"/>
              </w:rPr>
            </w:pPr>
            <w:r>
              <w:rPr>
                <w:rFonts w:ascii="Arial" w:cs="Arial" w:eastAsia="Arial" w:hAnsi="Arial"/>
                <w:sz w:val="10"/>
                <w:szCs w:val="10"/>
                <w:b w:val="1"/>
                <w:bCs w:val="1"/>
                <w:color w:val="auto"/>
                <w:w w:val="96"/>
              </w:rPr>
              <w:t>2.7%</w:t>
            </w:r>
          </w:p>
        </w:tc>
      </w:tr>
      <w:tr>
        <w:trPr>
          <w:trHeight w:val="93"/>
        </w:trPr>
        <w:tc>
          <w:tcPr>
            <w:tcW w:w="4540" w:type="dxa"/>
            <w:vAlign w:val="bottom"/>
            <w:tcBorders>
              <w:left w:val="single" w:sz="8" w:color="auto"/>
              <w:bottom w:val="single" w:sz="8" w:color="auto"/>
              <w:right w:val="single" w:sz="8" w:color="auto"/>
            </w:tcBorders>
          </w:tcPr>
          <w:p>
            <w:pPr>
              <w:ind w:left="20"/>
              <w:spacing w:after="0" w:line="93" w:lineRule="exact"/>
              <w:rPr>
                <w:sz w:val="20"/>
                <w:szCs w:val="20"/>
                <w:color w:val="auto"/>
              </w:rPr>
            </w:pPr>
            <w:r>
              <w:rPr>
                <w:rFonts w:ascii="Arial" w:cs="Arial" w:eastAsia="Arial" w:hAnsi="Arial"/>
                <w:sz w:val="10"/>
                <w:szCs w:val="10"/>
                <w:b w:val="1"/>
                <w:bCs w:val="1"/>
                <w:color w:val="auto"/>
              </w:rPr>
              <w:t>Tier 1 Common Equity (2)</w:t>
            </w:r>
          </w:p>
        </w:tc>
        <w:tc>
          <w:tcPr>
            <w:tcW w:w="98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5"/>
              </w:rPr>
              <w:t>18,699,124</w:t>
            </w:r>
          </w:p>
        </w:tc>
        <w:tc>
          <w:tcPr>
            <w:tcW w:w="10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5"/>
              </w:rPr>
              <w:t>17,769,180</w:t>
            </w:r>
          </w:p>
        </w:tc>
        <w:tc>
          <w:tcPr>
            <w:tcW w:w="104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5"/>
              </w:rPr>
              <w:t>18,972,038</w:t>
            </w:r>
          </w:p>
        </w:tc>
        <w:tc>
          <w:tcPr>
            <w:tcW w:w="700" w:type="dxa"/>
            <w:vAlign w:val="bottom"/>
            <w:tcBorders>
              <w:bottom w:val="single" w:sz="8" w:color="auto"/>
            </w:tcBorders>
          </w:tcPr>
          <w:p>
            <w:pPr>
              <w:jc w:val="center"/>
              <w:ind w:left="233"/>
              <w:spacing w:after="0" w:line="93" w:lineRule="exact"/>
              <w:rPr>
                <w:sz w:val="20"/>
                <w:szCs w:val="20"/>
                <w:color w:val="auto"/>
              </w:rPr>
            </w:pPr>
            <w:r>
              <w:rPr>
                <w:rFonts w:ascii="Arial" w:cs="Arial" w:eastAsia="Arial" w:hAnsi="Arial"/>
                <w:sz w:val="10"/>
                <w:szCs w:val="10"/>
                <w:b w:val="1"/>
                <w:bCs w:val="1"/>
                <w:color w:val="auto"/>
                <w:w w:val="96"/>
              </w:rPr>
              <w:t>6.8%</w:t>
            </w:r>
          </w:p>
        </w:tc>
        <w:tc>
          <w:tcPr>
            <w:tcW w:w="1340" w:type="dxa"/>
            <w:vAlign w:val="bottom"/>
            <w:tcBorders>
              <w:bottom w:val="single" w:sz="8" w:color="auto"/>
              <w:right w:val="single" w:sz="8" w:color="auto"/>
            </w:tcBorders>
          </w:tcPr>
          <w:p>
            <w:pPr>
              <w:jc w:val="center"/>
              <w:ind w:left="193"/>
              <w:spacing w:after="0" w:line="93" w:lineRule="exact"/>
              <w:rPr>
                <w:sz w:val="20"/>
                <w:szCs w:val="20"/>
                <w:color w:val="auto"/>
              </w:rPr>
            </w:pPr>
            <w:r>
              <w:rPr>
                <w:rFonts w:ascii="Arial" w:cs="Arial" w:eastAsia="Arial" w:hAnsi="Arial"/>
                <w:sz w:val="10"/>
                <w:szCs w:val="10"/>
                <w:b w:val="1"/>
                <w:bCs w:val="1"/>
                <w:color w:val="auto"/>
                <w:w w:val="96"/>
              </w:rPr>
              <w:t>1.5%</w:t>
            </w:r>
          </w:p>
        </w:tc>
      </w:tr>
      <w:tr>
        <w:trPr>
          <w:trHeight w:val="93"/>
        </w:trPr>
        <w:tc>
          <w:tcPr>
            <w:tcW w:w="4540" w:type="dxa"/>
            <w:vAlign w:val="bottom"/>
            <w:tcBorders>
              <w:left w:val="single" w:sz="8" w:color="auto"/>
              <w:bottom w:val="single" w:sz="8" w:color="auto"/>
              <w:right w:val="single" w:sz="8" w:color="auto"/>
            </w:tcBorders>
          </w:tcPr>
          <w:p>
            <w:pPr>
              <w:ind w:left="20"/>
              <w:spacing w:after="0" w:line="93" w:lineRule="exact"/>
              <w:rPr>
                <w:sz w:val="20"/>
                <w:szCs w:val="20"/>
                <w:color w:val="auto"/>
              </w:rPr>
            </w:pPr>
            <w:r>
              <w:rPr>
                <w:rFonts w:ascii="Arial" w:cs="Arial" w:eastAsia="Arial" w:hAnsi="Arial"/>
                <w:sz w:val="10"/>
                <w:szCs w:val="10"/>
                <w:b w:val="1"/>
                <w:bCs w:val="1"/>
                <w:color w:val="auto"/>
              </w:rPr>
              <w:t>Regulatory Tier 1 Capital (3)</w:t>
            </w:r>
          </w:p>
        </w:tc>
        <w:tc>
          <w:tcPr>
            <w:tcW w:w="98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5"/>
              </w:rPr>
              <w:t>18,699,124</w:t>
            </w:r>
          </w:p>
        </w:tc>
        <w:tc>
          <w:tcPr>
            <w:tcW w:w="10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5"/>
              </w:rPr>
              <w:t>17,769,180</w:t>
            </w:r>
          </w:p>
        </w:tc>
        <w:tc>
          <w:tcPr>
            <w:tcW w:w="104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5"/>
              </w:rPr>
              <w:t>18,972,038</w:t>
            </w:r>
          </w:p>
        </w:tc>
        <w:tc>
          <w:tcPr>
            <w:tcW w:w="700" w:type="dxa"/>
            <w:vAlign w:val="bottom"/>
            <w:tcBorders>
              <w:bottom w:val="single" w:sz="8" w:color="auto"/>
            </w:tcBorders>
          </w:tcPr>
          <w:p>
            <w:pPr>
              <w:jc w:val="center"/>
              <w:ind w:left="233"/>
              <w:spacing w:after="0" w:line="93" w:lineRule="exact"/>
              <w:rPr>
                <w:sz w:val="20"/>
                <w:szCs w:val="20"/>
                <w:color w:val="auto"/>
              </w:rPr>
            </w:pPr>
            <w:r>
              <w:rPr>
                <w:rFonts w:ascii="Arial" w:cs="Arial" w:eastAsia="Arial" w:hAnsi="Arial"/>
                <w:sz w:val="10"/>
                <w:szCs w:val="10"/>
                <w:b w:val="1"/>
                <w:bCs w:val="1"/>
                <w:color w:val="auto"/>
                <w:w w:val="96"/>
              </w:rPr>
              <w:t>6.8%</w:t>
            </w:r>
          </w:p>
        </w:tc>
        <w:tc>
          <w:tcPr>
            <w:tcW w:w="1340" w:type="dxa"/>
            <w:vAlign w:val="bottom"/>
            <w:tcBorders>
              <w:bottom w:val="single" w:sz="8" w:color="auto"/>
              <w:right w:val="single" w:sz="8" w:color="auto"/>
            </w:tcBorders>
          </w:tcPr>
          <w:p>
            <w:pPr>
              <w:jc w:val="center"/>
              <w:ind w:left="193"/>
              <w:spacing w:after="0" w:line="93" w:lineRule="exact"/>
              <w:rPr>
                <w:sz w:val="20"/>
                <w:szCs w:val="20"/>
                <w:color w:val="auto"/>
              </w:rPr>
            </w:pPr>
            <w:r>
              <w:rPr>
                <w:rFonts w:ascii="Arial" w:cs="Arial" w:eastAsia="Arial" w:hAnsi="Arial"/>
                <w:sz w:val="10"/>
                <w:szCs w:val="10"/>
                <w:b w:val="1"/>
                <w:bCs w:val="1"/>
                <w:color w:val="auto"/>
                <w:w w:val="96"/>
              </w:rPr>
              <w:t>1.5%</w:t>
            </w:r>
          </w:p>
        </w:tc>
      </w:tr>
      <w:tr>
        <w:trPr>
          <w:trHeight w:val="93"/>
        </w:trPr>
        <w:tc>
          <w:tcPr>
            <w:tcW w:w="4540" w:type="dxa"/>
            <w:vAlign w:val="bottom"/>
            <w:tcBorders>
              <w:left w:val="single" w:sz="8" w:color="auto"/>
              <w:bottom w:val="single" w:sz="8" w:color="auto"/>
              <w:right w:val="single" w:sz="8" w:color="auto"/>
            </w:tcBorders>
          </w:tcPr>
          <w:p>
            <w:pPr>
              <w:ind w:left="20"/>
              <w:spacing w:after="0" w:line="93" w:lineRule="exact"/>
              <w:rPr>
                <w:sz w:val="20"/>
                <w:szCs w:val="20"/>
                <w:color w:val="auto"/>
              </w:rPr>
            </w:pPr>
            <w:r>
              <w:rPr>
                <w:rFonts w:ascii="Arial" w:cs="Arial" w:eastAsia="Arial" w:hAnsi="Arial"/>
                <w:sz w:val="10"/>
                <w:szCs w:val="10"/>
                <w:b w:val="1"/>
                <w:bCs w:val="1"/>
                <w:color w:val="auto"/>
              </w:rPr>
              <w:t>Regulatory Tier 2 Capital (4)</w:t>
            </w:r>
          </w:p>
        </w:tc>
        <w:tc>
          <w:tcPr>
            <w:tcW w:w="98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4"/>
              </w:rPr>
              <w:t>6,523,535</w:t>
            </w:r>
          </w:p>
        </w:tc>
        <w:tc>
          <w:tcPr>
            <w:tcW w:w="10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8"/>
              </w:rPr>
              <w:t>6,681,936</w:t>
            </w:r>
          </w:p>
        </w:tc>
        <w:tc>
          <w:tcPr>
            <w:tcW w:w="104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4"/>
              </w:rPr>
              <w:t>6,921,728</w:t>
            </w:r>
          </w:p>
        </w:tc>
        <w:tc>
          <w:tcPr>
            <w:tcW w:w="700" w:type="dxa"/>
            <w:vAlign w:val="bottom"/>
            <w:tcBorders>
              <w:bottom w:val="single" w:sz="8" w:color="auto"/>
            </w:tcBorders>
          </w:tcPr>
          <w:p>
            <w:pPr>
              <w:jc w:val="center"/>
              <w:ind w:left="233"/>
              <w:spacing w:after="0" w:line="93" w:lineRule="exact"/>
              <w:rPr>
                <w:sz w:val="20"/>
                <w:szCs w:val="20"/>
                <w:color w:val="auto"/>
              </w:rPr>
            </w:pPr>
            <w:r>
              <w:rPr>
                <w:rFonts w:ascii="Arial" w:cs="Arial" w:eastAsia="Arial" w:hAnsi="Arial"/>
                <w:sz w:val="10"/>
                <w:szCs w:val="10"/>
                <w:b w:val="1"/>
                <w:bCs w:val="1"/>
                <w:color w:val="auto"/>
                <w:w w:val="96"/>
              </w:rPr>
              <w:t>3.6%</w:t>
            </w:r>
          </w:p>
        </w:tc>
        <w:tc>
          <w:tcPr>
            <w:tcW w:w="1340" w:type="dxa"/>
            <w:vAlign w:val="bottom"/>
            <w:tcBorders>
              <w:bottom w:val="single" w:sz="8" w:color="auto"/>
              <w:right w:val="single" w:sz="8" w:color="auto"/>
            </w:tcBorders>
          </w:tcPr>
          <w:p>
            <w:pPr>
              <w:jc w:val="center"/>
              <w:ind w:left="193"/>
              <w:spacing w:after="0" w:line="93" w:lineRule="exact"/>
              <w:rPr>
                <w:sz w:val="20"/>
                <w:szCs w:val="20"/>
                <w:color w:val="auto"/>
              </w:rPr>
            </w:pPr>
            <w:r>
              <w:rPr>
                <w:rFonts w:ascii="Arial" w:cs="Arial" w:eastAsia="Arial" w:hAnsi="Arial"/>
                <w:sz w:val="10"/>
                <w:szCs w:val="10"/>
                <w:b w:val="1"/>
                <w:bCs w:val="1"/>
                <w:color w:val="auto"/>
                <w:w w:val="96"/>
              </w:rPr>
              <w:t>6.1%</w:t>
            </w:r>
          </w:p>
        </w:tc>
      </w:tr>
      <w:tr>
        <w:trPr>
          <w:trHeight w:val="93"/>
        </w:trPr>
        <w:tc>
          <w:tcPr>
            <w:tcW w:w="45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r>
      <w:tr>
        <w:trPr>
          <w:trHeight w:val="79"/>
        </w:trPr>
        <w:tc>
          <w:tcPr>
            <w:tcW w:w="4540" w:type="dxa"/>
            <w:vAlign w:val="bottom"/>
            <w:tcBorders>
              <w:left w:val="single" w:sz="8" w:color="auto"/>
              <w:right w:val="single" w:sz="8" w:color="auto"/>
            </w:tcBorders>
            <w:shd w:val="clear" w:color="auto" w:fill="2AD2C9"/>
          </w:tcPr>
          <w:p>
            <w:pPr>
              <w:ind w:left="20"/>
              <w:spacing w:after="0" w:line="79" w:lineRule="exact"/>
              <w:rPr>
                <w:sz w:val="20"/>
                <w:szCs w:val="20"/>
                <w:color w:val="auto"/>
              </w:rPr>
            </w:pPr>
            <w:r>
              <w:rPr>
                <w:rFonts w:ascii="Arial" w:cs="Arial" w:eastAsia="Arial" w:hAnsi="Arial"/>
                <w:sz w:val="8"/>
                <w:szCs w:val="8"/>
                <w:b w:val="1"/>
                <w:bCs w:val="1"/>
                <w:color w:val="FFFFFF"/>
              </w:rPr>
              <w:t>Total risk-weighted assets</w:t>
            </w:r>
          </w:p>
        </w:tc>
        <w:tc>
          <w:tcPr>
            <w:tcW w:w="980" w:type="dxa"/>
            <w:vAlign w:val="bottom"/>
            <w:shd w:val="clear" w:color="auto" w:fill="2AD2C9"/>
          </w:tcPr>
          <w:p>
            <w:pPr>
              <w:spacing w:after="0"/>
              <w:rPr>
                <w:sz w:val="6"/>
                <w:szCs w:val="6"/>
                <w:color w:val="auto"/>
              </w:rPr>
            </w:pPr>
          </w:p>
        </w:tc>
        <w:tc>
          <w:tcPr>
            <w:tcW w:w="1000" w:type="dxa"/>
            <w:vAlign w:val="bottom"/>
            <w:shd w:val="clear" w:color="auto" w:fill="2AD2C9"/>
          </w:tcPr>
          <w:p>
            <w:pPr>
              <w:jc w:val="center"/>
              <w:spacing w:after="0" w:line="79" w:lineRule="exact"/>
              <w:rPr>
                <w:sz w:val="20"/>
                <w:szCs w:val="20"/>
                <w:color w:val="auto"/>
              </w:rPr>
            </w:pPr>
            <w:r>
              <w:rPr>
                <w:rFonts w:ascii="Arial" w:cs="Arial" w:eastAsia="Arial" w:hAnsi="Arial"/>
                <w:sz w:val="8"/>
                <w:szCs w:val="8"/>
                <w:b w:val="1"/>
                <w:bCs w:val="1"/>
                <w:color w:val="FFFFFF"/>
              </w:rPr>
              <w:t>Quarter</w:t>
            </w:r>
          </w:p>
        </w:tc>
        <w:tc>
          <w:tcPr>
            <w:tcW w:w="1040" w:type="dxa"/>
            <w:vAlign w:val="bottom"/>
            <w:tcBorders>
              <w:right w:val="single" w:sz="8" w:color="auto"/>
            </w:tcBorders>
            <w:shd w:val="clear" w:color="auto" w:fill="2AD2C9"/>
          </w:tcPr>
          <w:p>
            <w:pPr>
              <w:spacing w:after="0"/>
              <w:rPr>
                <w:sz w:val="6"/>
                <w:szCs w:val="6"/>
                <w:color w:val="auto"/>
              </w:rPr>
            </w:pPr>
          </w:p>
        </w:tc>
        <w:tc>
          <w:tcPr>
            <w:tcW w:w="700" w:type="dxa"/>
            <w:vAlign w:val="bottom"/>
            <w:shd w:val="clear" w:color="auto" w:fill="2AD2C9"/>
          </w:tcPr>
          <w:p>
            <w:pPr>
              <w:spacing w:after="0"/>
              <w:rPr>
                <w:sz w:val="6"/>
                <w:szCs w:val="6"/>
                <w:color w:val="auto"/>
              </w:rPr>
            </w:pPr>
          </w:p>
        </w:tc>
        <w:tc>
          <w:tcPr>
            <w:tcW w:w="1340" w:type="dxa"/>
            <w:vAlign w:val="bottom"/>
            <w:tcBorders>
              <w:right w:val="single" w:sz="8" w:color="auto"/>
            </w:tcBorders>
            <w:shd w:val="clear" w:color="auto" w:fill="2AD2C9"/>
          </w:tcPr>
          <w:p>
            <w:pPr>
              <w:ind w:left="60"/>
              <w:spacing w:after="0" w:line="79" w:lineRule="exact"/>
              <w:rPr>
                <w:sz w:val="20"/>
                <w:szCs w:val="20"/>
                <w:color w:val="auto"/>
              </w:rPr>
            </w:pPr>
            <w:r>
              <w:rPr>
                <w:rFonts w:ascii="Arial" w:cs="Arial" w:eastAsia="Arial" w:hAnsi="Arial"/>
                <w:sz w:val="8"/>
                <w:szCs w:val="8"/>
                <w:b w:val="1"/>
                <w:bCs w:val="1"/>
                <w:color w:val="FFFFFF"/>
              </w:rPr>
              <w:t>Change %</w:t>
            </w:r>
          </w:p>
        </w:tc>
      </w:tr>
      <w:tr>
        <w:trPr>
          <w:trHeight w:val="117"/>
        </w:trPr>
        <w:tc>
          <w:tcPr>
            <w:tcW w:w="4540" w:type="dxa"/>
            <w:vAlign w:val="bottom"/>
            <w:tcBorders>
              <w:left w:val="single" w:sz="8" w:color="auto"/>
              <w:bottom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0"/>
                <w:szCs w:val="10"/>
                <w:color w:val="FFFFFF"/>
              </w:rPr>
              <w:t>(S/ thousand)</w:t>
            </w:r>
          </w:p>
        </w:tc>
        <w:tc>
          <w:tcPr>
            <w:tcW w:w="98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0"/>
                <w:szCs w:val="10"/>
                <w:b w:val="1"/>
                <w:bCs w:val="1"/>
                <w:color w:val="FFFFFF"/>
              </w:rPr>
              <w:t>Jun 23</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rPr>
              <w:t>Mar 24</w:t>
            </w:r>
          </w:p>
        </w:tc>
        <w:tc>
          <w:tcPr>
            <w:tcW w:w="1040" w:type="dxa"/>
            <w:vAlign w:val="bottom"/>
            <w:tcBorders>
              <w:bottom w:val="single" w:sz="8" w:color="auto"/>
              <w:right w:val="single" w:sz="8" w:color="auto"/>
            </w:tcBorders>
            <w:shd w:val="clear" w:color="auto" w:fill="2AD2C9"/>
          </w:tcPr>
          <w:p>
            <w:pPr>
              <w:ind w:left="360"/>
              <w:spacing w:after="0"/>
              <w:rPr>
                <w:sz w:val="20"/>
                <w:szCs w:val="20"/>
                <w:color w:val="auto"/>
              </w:rPr>
            </w:pPr>
            <w:r>
              <w:rPr>
                <w:rFonts w:ascii="Arial" w:cs="Arial" w:eastAsia="Arial" w:hAnsi="Arial"/>
                <w:sz w:val="10"/>
                <w:szCs w:val="10"/>
                <w:b w:val="1"/>
                <w:bCs w:val="1"/>
                <w:color w:val="FFFFFF"/>
              </w:rPr>
              <w:t>Jun 24</w:t>
            </w:r>
          </w:p>
        </w:tc>
        <w:tc>
          <w:tcPr>
            <w:tcW w:w="700" w:type="dxa"/>
            <w:vAlign w:val="bottom"/>
            <w:tcBorders>
              <w:bottom w:val="single" w:sz="8" w:color="auto"/>
            </w:tcBorders>
            <w:shd w:val="clear" w:color="auto" w:fill="2AD2C9"/>
          </w:tcPr>
          <w:p>
            <w:pPr>
              <w:jc w:val="center"/>
              <w:ind w:left="213"/>
              <w:spacing w:after="0"/>
              <w:rPr>
                <w:sz w:val="20"/>
                <w:szCs w:val="20"/>
                <w:color w:val="auto"/>
              </w:rPr>
            </w:pPr>
            <w:r>
              <w:rPr>
                <w:rFonts w:ascii="Arial" w:cs="Arial" w:eastAsia="Arial" w:hAnsi="Arial"/>
                <w:sz w:val="10"/>
                <w:szCs w:val="10"/>
                <w:b w:val="1"/>
                <w:bCs w:val="1"/>
                <w:color w:val="FFFFFF"/>
                <w:w w:val="92"/>
              </w:rPr>
              <w:t>QoQ</w:t>
            </w:r>
          </w:p>
        </w:tc>
        <w:tc>
          <w:tcPr>
            <w:tcW w:w="1340" w:type="dxa"/>
            <w:vAlign w:val="bottom"/>
            <w:tcBorders>
              <w:bottom w:val="single" w:sz="8" w:color="auto"/>
              <w:right w:val="single" w:sz="8" w:color="auto"/>
            </w:tcBorders>
            <w:shd w:val="clear" w:color="auto" w:fill="2AD2C9"/>
          </w:tcPr>
          <w:p>
            <w:pPr>
              <w:jc w:val="center"/>
              <w:ind w:left="193"/>
              <w:spacing w:after="0"/>
              <w:rPr>
                <w:sz w:val="20"/>
                <w:szCs w:val="20"/>
                <w:color w:val="auto"/>
              </w:rPr>
            </w:pPr>
            <w:r>
              <w:rPr>
                <w:rFonts w:ascii="Arial" w:cs="Arial" w:eastAsia="Arial" w:hAnsi="Arial"/>
                <w:sz w:val="10"/>
                <w:szCs w:val="10"/>
                <w:b w:val="1"/>
                <w:bCs w:val="1"/>
                <w:color w:val="FFFFFF"/>
                <w:w w:val="92"/>
              </w:rPr>
              <w:t>YoY</w:t>
            </w:r>
          </w:p>
        </w:tc>
      </w:tr>
      <w:tr>
        <w:trPr>
          <w:trHeight w:val="81"/>
        </w:trPr>
        <w:tc>
          <w:tcPr>
            <w:tcW w:w="4540" w:type="dxa"/>
            <w:vAlign w:val="bottom"/>
            <w:tcBorders>
              <w:left w:val="single" w:sz="8" w:color="auto"/>
              <w:right w:val="single" w:sz="8" w:color="auto"/>
            </w:tcBorders>
          </w:tcPr>
          <w:p>
            <w:pPr>
              <w:ind w:left="20"/>
              <w:spacing w:after="0" w:line="81" w:lineRule="exact"/>
              <w:rPr>
                <w:sz w:val="20"/>
                <w:szCs w:val="20"/>
                <w:color w:val="auto"/>
              </w:rPr>
            </w:pPr>
            <w:r>
              <w:rPr>
                <w:rFonts w:ascii="Arial" w:cs="Arial" w:eastAsia="Arial" w:hAnsi="Arial"/>
                <w:sz w:val="8"/>
                <w:szCs w:val="8"/>
                <w:color w:val="auto"/>
              </w:rPr>
              <w:t>Market risk-weighted assets (5)</w:t>
            </w:r>
          </w:p>
        </w:tc>
        <w:tc>
          <w:tcPr>
            <w:tcW w:w="980" w:type="dxa"/>
            <w:vAlign w:val="bottom"/>
          </w:tcPr>
          <w:p>
            <w:pPr>
              <w:jc w:val="center"/>
              <w:spacing w:after="0" w:line="81" w:lineRule="exact"/>
              <w:rPr>
                <w:sz w:val="20"/>
                <w:szCs w:val="20"/>
                <w:color w:val="auto"/>
              </w:rPr>
            </w:pPr>
            <w:r>
              <w:rPr>
                <w:rFonts w:ascii="Arial" w:cs="Arial" w:eastAsia="Arial" w:hAnsi="Arial"/>
                <w:sz w:val="8"/>
                <w:szCs w:val="8"/>
                <w:color w:val="auto"/>
              </w:rPr>
              <w:t>2,307,252</w:t>
            </w:r>
          </w:p>
        </w:tc>
        <w:tc>
          <w:tcPr>
            <w:tcW w:w="1000" w:type="dxa"/>
            <w:vAlign w:val="bottom"/>
          </w:tcPr>
          <w:p>
            <w:pPr>
              <w:jc w:val="center"/>
              <w:spacing w:after="0" w:line="81" w:lineRule="exact"/>
              <w:rPr>
                <w:sz w:val="20"/>
                <w:szCs w:val="20"/>
                <w:color w:val="auto"/>
              </w:rPr>
            </w:pPr>
            <w:r>
              <w:rPr>
                <w:rFonts w:ascii="Arial" w:cs="Arial" w:eastAsia="Arial" w:hAnsi="Arial"/>
                <w:sz w:val="8"/>
                <w:szCs w:val="8"/>
                <w:color w:val="auto"/>
              </w:rPr>
              <w:t>3,032,546</w:t>
            </w:r>
          </w:p>
        </w:tc>
        <w:tc>
          <w:tcPr>
            <w:tcW w:w="104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3,300,703</w:t>
            </w:r>
          </w:p>
        </w:tc>
        <w:tc>
          <w:tcPr>
            <w:tcW w:w="700" w:type="dxa"/>
            <w:vAlign w:val="bottom"/>
          </w:tcPr>
          <w:p>
            <w:pPr>
              <w:jc w:val="center"/>
              <w:ind w:left="233"/>
              <w:spacing w:after="0" w:line="81" w:lineRule="exact"/>
              <w:rPr>
                <w:sz w:val="20"/>
                <w:szCs w:val="20"/>
                <w:color w:val="auto"/>
              </w:rPr>
            </w:pPr>
            <w:r>
              <w:rPr>
                <w:rFonts w:ascii="Arial" w:cs="Arial" w:eastAsia="Arial" w:hAnsi="Arial"/>
                <w:sz w:val="8"/>
                <w:szCs w:val="8"/>
                <w:color w:val="auto"/>
              </w:rPr>
              <w:t>8.8%</w:t>
            </w:r>
          </w:p>
        </w:tc>
        <w:tc>
          <w:tcPr>
            <w:tcW w:w="1340" w:type="dxa"/>
            <w:vAlign w:val="bottom"/>
            <w:tcBorders>
              <w:right w:val="single" w:sz="8" w:color="auto"/>
            </w:tcBorders>
          </w:tcPr>
          <w:p>
            <w:pPr>
              <w:jc w:val="center"/>
              <w:ind w:left="213"/>
              <w:spacing w:after="0" w:line="81" w:lineRule="exact"/>
              <w:rPr>
                <w:sz w:val="20"/>
                <w:szCs w:val="20"/>
                <w:color w:val="auto"/>
              </w:rPr>
            </w:pPr>
            <w:r>
              <w:rPr>
                <w:rFonts w:ascii="Arial" w:cs="Arial" w:eastAsia="Arial" w:hAnsi="Arial"/>
                <w:sz w:val="8"/>
                <w:szCs w:val="8"/>
                <w:color w:val="auto"/>
              </w:rPr>
              <w:t>43.1%</w:t>
            </w:r>
          </w:p>
        </w:tc>
      </w:tr>
      <w:tr>
        <w:trPr>
          <w:trHeight w:val="103"/>
        </w:trPr>
        <w:tc>
          <w:tcPr>
            <w:tcW w:w="454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Credit risk-weighted assets</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7"/>
              </w:rPr>
              <w:t>128,912,504</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3"/>
              </w:rPr>
              <w:t>131,793,619</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7"/>
              </w:rPr>
              <w:t>138,806,587</w:t>
            </w:r>
          </w:p>
        </w:tc>
        <w:tc>
          <w:tcPr>
            <w:tcW w:w="700" w:type="dxa"/>
            <w:vAlign w:val="bottom"/>
          </w:tcPr>
          <w:p>
            <w:pPr>
              <w:jc w:val="center"/>
              <w:ind w:left="233"/>
              <w:spacing w:after="0" w:line="103" w:lineRule="exact"/>
              <w:rPr>
                <w:sz w:val="20"/>
                <w:szCs w:val="20"/>
                <w:color w:val="auto"/>
              </w:rPr>
            </w:pPr>
            <w:r>
              <w:rPr>
                <w:rFonts w:ascii="Arial" w:cs="Arial" w:eastAsia="Arial" w:hAnsi="Arial"/>
                <w:sz w:val="10"/>
                <w:szCs w:val="10"/>
                <w:color w:val="auto"/>
                <w:w w:val="96"/>
              </w:rPr>
              <w:t>5.3%</w:t>
            </w:r>
          </w:p>
        </w:tc>
        <w:tc>
          <w:tcPr>
            <w:tcW w:w="1340" w:type="dxa"/>
            <w:vAlign w:val="bottom"/>
            <w:tcBorders>
              <w:right w:val="single" w:sz="8" w:color="auto"/>
            </w:tcBorders>
          </w:tcPr>
          <w:p>
            <w:pPr>
              <w:jc w:val="center"/>
              <w:ind w:left="193"/>
              <w:spacing w:after="0" w:line="103" w:lineRule="exact"/>
              <w:rPr>
                <w:sz w:val="20"/>
                <w:szCs w:val="20"/>
                <w:color w:val="auto"/>
              </w:rPr>
            </w:pPr>
            <w:r>
              <w:rPr>
                <w:rFonts w:ascii="Arial" w:cs="Arial" w:eastAsia="Arial" w:hAnsi="Arial"/>
                <w:sz w:val="10"/>
                <w:szCs w:val="10"/>
                <w:color w:val="auto"/>
                <w:w w:val="96"/>
              </w:rPr>
              <w:t>7.7%</w:t>
            </w:r>
          </w:p>
        </w:tc>
      </w:tr>
      <w:tr>
        <w:trPr>
          <w:trHeight w:val="115"/>
        </w:trPr>
        <w:tc>
          <w:tcPr>
            <w:tcW w:w="4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Operational risk-weighted assets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15,407,799</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16,842,059</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5"/>
              </w:rPr>
              <w:t>17,335,423</w:t>
            </w:r>
          </w:p>
        </w:tc>
        <w:tc>
          <w:tcPr>
            <w:tcW w:w="700" w:type="dxa"/>
            <w:vAlign w:val="bottom"/>
            <w:tcBorders>
              <w:bottom w:val="single" w:sz="8" w:color="auto"/>
            </w:tcBorders>
          </w:tcPr>
          <w:p>
            <w:pPr>
              <w:jc w:val="center"/>
              <w:ind w:left="233"/>
              <w:spacing w:after="0"/>
              <w:rPr>
                <w:sz w:val="20"/>
                <w:szCs w:val="20"/>
                <w:color w:val="auto"/>
              </w:rPr>
            </w:pPr>
            <w:r>
              <w:rPr>
                <w:rFonts w:ascii="Arial" w:cs="Arial" w:eastAsia="Arial" w:hAnsi="Arial"/>
                <w:sz w:val="10"/>
                <w:szCs w:val="10"/>
                <w:color w:val="auto"/>
                <w:w w:val="96"/>
              </w:rPr>
              <w:t>2.9%</w:t>
            </w:r>
          </w:p>
        </w:tc>
        <w:tc>
          <w:tcPr>
            <w:tcW w:w="1340" w:type="dxa"/>
            <w:vAlign w:val="bottom"/>
            <w:tcBorders>
              <w:bottom w:val="single" w:sz="8" w:color="auto"/>
              <w:right w:val="single" w:sz="8" w:color="auto"/>
            </w:tcBorders>
          </w:tcPr>
          <w:p>
            <w:pPr>
              <w:jc w:val="center"/>
              <w:ind w:left="213"/>
              <w:spacing w:after="0"/>
              <w:rPr>
                <w:sz w:val="20"/>
                <w:szCs w:val="20"/>
                <w:color w:val="auto"/>
              </w:rPr>
            </w:pPr>
            <w:r>
              <w:rPr>
                <w:rFonts w:ascii="Arial" w:cs="Arial" w:eastAsia="Arial" w:hAnsi="Arial"/>
                <w:sz w:val="10"/>
                <w:szCs w:val="10"/>
                <w:color w:val="auto"/>
                <w:w w:val="98"/>
              </w:rPr>
              <w:t>12.5%</w:t>
            </w:r>
          </w:p>
        </w:tc>
      </w:tr>
      <w:tr>
        <w:trPr>
          <w:trHeight w:val="93"/>
        </w:trPr>
        <w:tc>
          <w:tcPr>
            <w:tcW w:w="4540" w:type="dxa"/>
            <w:vAlign w:val="bottom"/>
            <w:tcBorders>
              <w:left w:val="single" w:sz="8" w:color="auto"/>
              <w:bottom w:val="single" w:sz="8" w:color="auto"/>
              <w:right w:val="single" w:sz="8" w:color="auto"/>
            </w:tcBorders>
          </w:tcPr>
          <w:p>
            <w:pPr>
              <w:ind w:left="20"/>
              <w:spacing w:after="0" w:line="93" w:lineRule="exact"/>
              <w:rPr>
                <w:sz w:val="20"/>
                <w:szCs w:val="20"/>
                <w:color w:val="auto"/>
              </w:rPr>
            </w:pPr>
            <w:r>
              <w:rPr>
                <w:rFonts w:ascii="Arial" w:cs="Arial" w:eastAsia="Arial" w:hAnsi="Arial"/>
                <w:sz w:val="10"/>
                <w:szCs w:val="10"/>
                <w:b w:val="1"/>
                <w:bCs w:val="1"/>
                <w:color w:val="auto"/>
              </w:rPr>
              <w:t>Total</w:t>
            </w:r>
          </w:p>
        </w:tc>
        <w:tc>
          <w:tcPr>
            <w:tcW w:w="98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7"/>
              </w:rPr>
              <w:t>146,627,555</w:t>
            </w:r>
          </w:p>
        </w:tc>
        <w:tc>
          <w:tcPr>
            <w:tcW w:w="10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3"/>
              </w:rPr>
              <w:t>151,668,224</w:t>
            </w:r>
          </w:p>
        </w:tc>
        <w:tc>
          <w:tcPr>
            <w:tcW w:w="104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7"/>
              </w:rPr>
              <w:t>159,442,714</w:t>
            </w:r>
          </w:p>
        </w:tc>
        <w:tc>
          <w:tcPr>
            <w:tcW w:w="700" w:type="dxa"/>
            <w:vAlign w:val="bottom"/>
            <w:tcBorders>
              <w:bottom w:val="single" w:sz="8" w:color="auto"/>
            </w:tcBorders>
          </w:tcPr>
          <w:p>
            <w:pPr>
              <w:jc w:val="center"/>
              <w:ind w:left="233"/>
              <w:spacing w:after="0" w:line="93" w:lineRule="exact"/>
              <w:rPr>
                <w:sz w:val="20"/>
                <w:szCs w:val="20"/>
                <w:color w:val="auto"/>
              </w:rPr>
            </w:pPr>
            <w:r>
              <w:rPr>
                <w:rFonts w:ascii="Arial" w:cs="Arial" w:eastAsia="Arial" w:hAnsi="Arial"/>
                <w:sz w:val="10"/>
                <w:szCs w:val="10"/>
                <w:b w:val="1"/>
                <w:bCs w:val="1"/>
                <w:color w:val="auto"/>
                <w:w w:val="96"/>
              </w:rPr>
              <w:t>5.1%</w:t>
            </w:r>
          </w:p>
        </w:tc>
        <w:tc>
          <w:tcPr>
            <w:tcW w:w="1340" w:type="dxa"/>
            <w:vAlign w:val="bottom"/>
            <w:tcBorders>
              <w:bottom w:val="single" w:sz="8" w:color="auto"/>
              <w:right w:val="single" w:sz="8" w:color="auto"/>
            </w:tcBorders>
          </w:tcPr>
          <w:p>
            <w:pPr>
              <w:jc w:val="center"/>
              <w:ind w:left="193"/>
              <w:spacing w:after="0" w:line="93" w:lineRule="exact"/>
              <w:rPr>
                <w:sz w:val="20"/>
                <w:szCs w:val="20"/>
                <w:color w:val="auto"/>
              </w:rPr>
            </w:pPr>
            <w:r>
              <w:rPr>
                <w:rFonts w:ascii="Arial" w:cs="Arial" w:eastAsia="Arial" w:hAnsi="Arial"/>
                <w:sz w:val="10"/>
                <w:szCs w:val="10"/>
                <w:b w:val="1"/>
                <w:bCs w:val="1"/>
                <w:color w:val="auto"/>
                <w:w w:val="96"/>
              </w:rPr>
              <w:t>8.7%</w:t>
            </w:r>
          </w:p>
        </w:tc>
      </w:tr>
      <w:tr>
        <w:trPr>
          <w:trHeight w:val="93"/>
        </w:trPr>
        <w:tc>
          <w:tcPr>
            <w:tcW w:w="45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r>
      <w:tr>
        <w:trPr>
          <w:trHeight w:val="79"/>
        </w:trPr>
        <w:tc>
          <w:tcPr>
            <w:tcW w:w="4540" w:type="dxa"/>
            <w:vAlign w:val="bottom"/>
            <w:tcBorders>
              <w:left w:val="single" w:sz="8" w:color="auto"/>
              <w:right w:val="single" w:sz="8" w:color="auto"/>
            </w:tcBorders>
            <w:shd w:val="clear" w:color="auto" w:fill="2AD2C9"/>
          </w:tcPr>
          <w:p>
            <w:pPr>
              <w:ind w:left="20"/>
              <w:spacing w:after="0" w:line="79" w:lineRule="exact"/>
              <w:rPr>
                <w:sz w:val="20"/>
                <w:szCs w:val="20"/>
                <w:color w:val="auto"/>
              </w:rPr>
            </w:pPr>
            <w:r>
              <w:rPr>
                <w:rFonts w:ascii="Arial" w:cs="Arial" w:eastAsia="Arial" w:hAnsi="Arial"/>
                <w:sz w:val="8"/>
                <w:szCs w:val="8"/>
                <w:b w:val="1"/>
                <w:bCs w:val="1"/>
                <w:color w:val="FFFFFF"/>
              </w:rPr>
              <w:t>Capital requirement</w:t>
            </w:r>
          </w:p>
        </w:tc>
        <w:tc>
          <w:tcPr>
            <w:tcW w:w="980" w:type="dxa"/>
            <w:vAlign w:val="bottom"/>
            <w:shd w:val="clear" w:color="auto" w:fill="2AD2C9"/>
          </w:tcPr>
          <w:p>
            <w:pPr>
              <w:spacing w:after="0"/>
              <w:rPr>
                <w:sz w:val="6"/>
                <w:szCs w:val="6"/>
                <w:color w:val="auto"/>
              </w:rPr>
            </w:pPr>
          </w:p>
        </w:tc>
        <w:tc>
          <w:tcPr>
            <w:tcW w:w="1000" w:type="dxa"/>
            <w:vAlign w:val="bottom"/>
            <w:shd w:val="clear" w:color="auto" w:fill="2AD2C9"/>
          </w:tcPr>
          <w:p>
            <w:pPr>
              <w:jc w:val="center"/>
              <w:spacing w:after="0" w:line="79" w:lineRule="exact"/>
              <w:rPr>
                <w:sz w:val="20"/>
                <w:szCs w:val="20"/>
                <w:color w:val="auto"/>
              </w:rPr>
            </w:pPr>
            <w:r>
              <w:rPr>
                <w:rFonts w:ascii="Arial" w:cs="Arial" w:eastAsia="Arial" w:hAnsi="Arial"/>
                <w:sz w:val="8"/>
                <w:szCs w:val="8"/>
                <w:b w:val="1"/>
                <w:bCs w:val="1"/>
                <w:color w:val="FFFFFF"/>
              </w:rPr>
              <w:t>Quarter</w:t>
            </w:r>
          </w:p>
        </w:tc>
        <w:tc>
          <w:tcPr>
            <w:tcW w:w="1040" w:type="dxa"/>
            <w:vAlign w:val="bottom"/>
            <w:tcBorders>
              <w:right w:val="single" w:sz="8" w:color="auto"/>
            </w:tcBorders>
            <w:shd w:val="clear" w:color="auto" w:fill="2AD2C9"/>
          </w:tcPr>
          <w:p>
            <w:pPr>
              <w:spacing w:after="0"/>
              <w:rPr>
                <w:sz w:val="6"/>
                <w:szCs w:val="6"/>
                <w:color w:val="auto"/>
              </w:rPr>
            </w:pPr>
          </w:p>
        </w:tc>
        <w:tc>
          <w:tcPr>
            <w:tcW w:w="700" w:type="dxa"/>
            <w:vAlign w:val="bottom"/>
            <w:shd w:val="clear" w:color="auto" w:fill="2AD2C9"/>
          </w:tcPr>
          <w:p>
            <w:pPr>
              <w:spacing w:after="0"/>
              <w:rPr>
                <w:sz w:val="6"/>
                <w:szCs w:val="6"/>
                <w:color w:val="auto"/>
              </w:rPr>
            </w:pPr>
          </w:p>
        </w:tc>
        <w:tc>
          <w:tcPr>
            <w:tcW w:w="1340" w:type="dxa"/>
            <w:vAlign w:val="bottom"/>
            <w:tcBorders>
              <w:right w:val="single" w:sz="8" w:color="auto"/>
            </w:tcBorders>
            <w:shd w:val="clear" w:color="auto" w:fill="2AD2C9"/>
          </w:tcPr>
          <w:p>
            <w:pPr>
              <w:ind w:left="60"/>
              <w:spacing w:after="0" w:line="79" w:lineRule="exact"/>
              <w:rPr>
                <w:sz w:val="20"/>
                <w:szCs w:val="20"/>
                <w:color w:val="auto"/>
              </w:rPr>
            </w:pPr>
            <w:r>
              <w:rPr>
                <w:rFonts w:ascii="Arial" w:cs="Arial" w:eastAsia="Arial" w:hAnsi="Arial"/>
                <w:sz w:val="8"/>
                <w:szCs w:val="8"/>
                <w:b w:val="1"/>
                <w:bCs w:val="1"/>
                <w:color w:val="FFFFFF"/>
              </w:rPr>
              <w:t>Change %</w:t>
            </w:r>
          </w:p>
        </w:tc>
      </w:tr>
      <w:tr>
        <w:trPr>
          <w:trHeight w:val="117"/>
        </w:trPr>
        <w:tc>
          <w:tcPr>
            <w:tcW w:w="4540" w:type="dxa"/>
            <w:vAlign w:val="bottom"/>
            <w:tcBorders>
              <w:left w:val="single" w:sz="8" w:color="auto"/>
              <w:bottom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0"/>
                <w:szCs w:val="10"/>
                <w:color w:val="FFFFFF"/>
              </w:rPr>
              <w:t>(S/ thousand)</w:t>
            </w:r>
          </w:p>
        </w:tc>
        <w:tc>
          <w:tcPr>
            <w:tcW w:w="98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0"/>
                <w:szCs w:val="10"/>
                <w:b w:val="1"/>
                <w:bCs w:val="1"/>
                <w:color w:val="FFFFFF"/>
              </w:rPr>
              <w:t>Jun 23</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rPr>
              <w:t>Mar 24</w:t>
            </w:r>
          </w:p>
        </w:tc>
        <w:tc>
          <w:tcPr>
            <w:tcW w:w="1040" w:type="dxa"/>
            <w:vAlign w:val="bottom"/>
            <w:tcBorders>
              <w:bottom w:val="single" w:sz="8" w:color="auto"/>
              <w:right w:val="single" w:sz="8" w:color="auto"/>
            </w:tcBorders>
            <w:shd w:val="clear" w:color="auto" w:fill="2AD2C9"/>
          </w:tcPr>
          <w:p>
            <w:pPr>
              <w:ind w:left="360"/>
              <w:spacing w:after="0"/>
              <w:rPr>
                <w:sz w:val="20"/>
                <w:szCs w:val="20"/>
                <w:color w:val="auto"/>
              </w:rPr>
            </w:pPr>
            <w:r>
              <w:rPr>
                <w:rFonts w:ascii="Arial" w:cs="Arial" w:eastAsia="Arial" w:hAnsi="Arial"/>
                <w:sz w:val="10"/>
                <w:szCs w:val="10"/>
                <w:b w:val="1"/>
                <w:bCs w:val="1"/>
                <w:color w:val="FFFFFF"/>
              </w:rPr>
              <w:t>Jun 24</w:t>
            </w:r>
          </w:p>
        </w:tc>
        <w:tc>
          <w:tcPr>
            <w:tcW w:w="700" w:type="dxa"/>
            <w:vAlign w:val="bottom"/>
            <w:tcBorders>
              <w:bottom w:val="single" w:sz="8" w:color="auto"/>
            </w:tcBorders>
            <w:shd w:val="clear" w:color="auto" w:fill="2AD2C9"/>
          </w:tcPr>
          <w:p>
            <w:pPr>
              <w:jc w:val="center"/>
              <w:ind w:left="213"/>
              <w:spacing w:after="0"/>
              <w:rPr>
                <w:sz w:val="20"/>
                <w:szCs w:val="20"/>
                <w:color w:val="auto"/>
              </w:rPr>
            </w:pPr>
            <w:r>
              <w:rPr>
                <w:rFonts w:ascii="Arial" w:cs="Arial" w:eastAsia="Arial" w:hAnsi="Arial"/>
                <w:sz w:val="10"/>
                <w:szCs w:val="10"/>
                <w:b w:val="1"/>
                <w:bCs w:val="1"/>
                <w:color w:val="FFFFFF"/>
                <w:w w:val="92"/>
              </w:rPr>
              <w:t>QoQ</w:t>
            </w:r>
          </w:p>
        </w:tc>
        <w:tc>
          <w:tcPr>
            <w:tcW w:w="1340" w:type="dxa"/>
            <w:vAlign w:val="bottom"/>
            <w:tcBorders>
              <w:bottom w:val="single" w:sz="8" w:color="auto"/>
              <w:right w:val="single" w:sz="8" w:color="auto"/>
            </w:tcBorders>
            <w:shd w:val="clear" w:color="auto" w:fill="2AD2C9"/>
          </w:tcPr>
          <w:p>
            <w:pPr>
              <w:jc w:val="center"/>
              <w:ind w:left="193"/>
              <w:spacing w:after="0"/>
              <w:rPr>
                <w:sz w:val="20"/>
                <w:szCs w:val="20"/>
                <w:color w:val="auto"/>
              </w:rPr>
            </w:pPr>
            <w:r>
              <w:rPr>
                <w:rFonts w:ascii="Arial" w:cs="Arial" w:eastAsia="Arial" w:hAnsi="Arial"/>
                <w:sz w:val="10"/>
                <w:szCs w:val="10"/>
                <w:b w:val="1"/>
                <w:bCs w:val="1"/>
                <w:color w:val="FFFFFF"/>
                <w:w w:val="92"/>
              </w:rPr>
              <w:t>YoY</w:t>
            </w:r>
          </w:p>
        </w:tc>
      </w:tr>
      <w:tr>
        <w:trPr>
          <w:trHeight w:val="81"/>
        </w:trPr>
        <w:tc>
          <w:tcPr>
            <w:tcW w:w="4540" w:type="dxa"/>
            <w:vAlign w:val="bottom"/>
            <w:tcBorders>
              <w:left w:val="single" w:sz="8" w:color="auto"/>
              <w:right w:val="single" w:sz="8" w:color="auto"/>
            </w:tcBorders>
          </w:tcPr>
          <w:p>
            <w:pPr>
              <w:ind w:left="20"/>
              <w:spacing w:after="0" w:line="81" w:lineRule="exact"/>
              <w:rPr>
                <w:sz w:val="20"/>
                <w:szCs w:val="20"/>
                <w:color w:val="auto"/>
              </w:rPr>
            </w:pPr>
            <w:r>
              <w:rPr>
                <w:rFonts w:ascii="Arial" w:cs="Arial" w:eastAsia="Arial" w:hAnsi="Arial"/>
                <w:sz w:val="8"/>
                <w:szCs w:val="8"/>
                <w:color w:val="auto"/>
              </w:rPr>
              <w:t>Market risk capital requirement (5)</w:t>
            </w:r>
          </w:p>
        </w:tc>
        <w:tc>
          <w:tcPr>
            <w:tcW w:w="980" w:type="dxa"/>
            <w:vAlign w:val="bottom"/>
          </w:tcPr>
          <w:p>
            <w:pPr>
              <w:jc w:val="center"/>
              <w:spacing w:after="0" w:line="81" w:lineRule="exact"/>
              <w:rPr>
                <w:sz w:val="20"/>
                <w:szCs w:val="20"/>
                <w:color w:val="auto"/>
              </w:rPr>
            </w:pPr>
            <w:r>
              <w:rPr>
                <w:rFonts w:ascii="Arial" w:cs="Arial" w:eastAsia="Arial" w:hAnsi="Arial"/>
                <w:sz w:val="8"/>
                <w:szCs w:val="8"/>
                <w:color w:val="auto"/>
              </w:rPr>
              <w:t>230,725</w:t>
            </w:r>
          </w:p>
        </w:tc>
        <w:tc>
          <w:tcPr>
            <w:tcW w:w="1000" w:type="dxa"/>
            <w:vAlign w:val="bottom"/>
          </w:tcPr>
          <w:p>
            <w:pPr>
              <w:jc w:val="center"/>
              <w:spacing w:after="0" w:line="81" w:lineRule="exact"/>
              <w:rPr>
                <w:sz w:val="20"/>
                <w:szCs w:val="20"/>
                <w:color w:val="auto"/>
              </w:rPr>
            </w:pPr>
            <w:r>
              <w:rPr>
                <w:rFonts w:ascii="Arial" w:cs="Arial" w:eastAsia="Arial" w:hAnsi="Arial"/>
                <w:sz w:val="8"/>
                <w:szCs w:val="8"/>
                <w:color w:val="auto"/>
              </w:rPr>
              <w:t>303,255</w:t>
            </w:r>
          </w:p>
        </w:tc>
        <w:tc>
          <w:tcPr>
            <w:tcW w:w="104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330,070</w:t>
            </w:r>
          </w:p>
        </w:tc>
        <w:tc>
          <w:tcPr>
            <w:tcW w:w="700" w:type="dxa"/>
            <w:vAlign w:val="bottom"/>
          </w:tcPr>
          <w:p>
            <w:pPr>
              <w:jc w:val="center"/>
              <w:ind w:left="233"/>
              <w:spacing w:after="0" w:line="81" w:lineRule="exact"/>
              <w:rPr>
                <w:sz w:val="20"/>
                <w:szCs w:val="20"/>
                <w:color w:val="auto"/>
              </w:rPr>
            </w:pPr>
            <w:r>
              <w:rPr>
                <w:rFonts w:ascii="Arial" w:cs="Arial" w:eastAsia="Arial" w:hAnsi="Arial"/>
                <w:sz w:val="8"/>
                <w:szCs w:val="8"/>
                <w:color w:val="auto"/>
              </w:rPr>
              <w:t>8.8%</w:t>
            </w:r>
          </w:p>
        </w:tc>
        <w:tc>
          <w:tcPr>
            <w:tcW w:w="1340" w:type="dxa"/>
            <w:vAlign w:val="bottom"/>
            <w:tcBorders>
              <w:right w:val="single" w:sz="8" w:color="auto"/>
            </w:tcBorders>
          </w:tcPr>
          <w:p>
            <w:pPr>
              <w:jc w:val="center"/>
              <w:ind w:left="213"/>
              <w:spacing w:after="0" w:line="81" w:lineRule="exact"/>
              <w:rPr>
                <w:sz w:val="20"/>
                <w:szCs w:val="20"/>
                <w:color w:val="auto"/>
              </w:rPr>
            </w:pPr>
            <w:r>
              <w:rPr>
                <w:rFonts w:ascii="Arial" w:cs="Arial" w:eastAsia="Arial" w:hAnsi="Arial"/>
                <w:sz w:val="8"/>
                <w:szCs w:val="8"/>
                <w:color w:val="auto"/>
              </w:rPr>
              <w:t>43.1%</w:t>
            </w:r>
          </w:p>
        </w:tc>
      </w:tr>
      <w:tr>
        <w:trPr>
          <w:trHeight w:val="103"/>
        </w:trPr>
        <w:tc>
          <w:tcPr>
            <w:tcW w:w="454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Credit risk capital requirement</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5"/>
              </w:rPr>
              <w:t>11,602,125</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5"/>
              </w:rPr>
              <w:t>11,861,426</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5"/>
              </w:rPr>
              <w:t>12,492,593</w:t>
            </w:r>
          </w:p>
        </w:tc>
        <w:tc>
          <w:tcPr>
            <w:tcW w:w="700" w:type="dxa"/>
            <w:vAlign w:val="bottom"/>
          </w:tcPr>
          <w:p>
            <w:pPr>
              <w:jc w:val="center"/>
              <w:ind w:left="233"/>
              <w:spacing w:after="0" w:line="103" w:lineRule="exact"/>
              <w:rPr>
                <w:sz w:val="20"/>
                <w:szCs w:val="20"/>
                <w:color w:val="auto"/>
              </w:rPr>
            </w:pPr>
            <w:r>
              <w:rPr>
                <w:rFonts w:ascii="Arial" w:cs="Arial" w:eastAsia="Arial" w:hAnsi="Arial"/>
                <w:sz w:val="10"/>
                <w:szCs w:val="10"/>
                <w:color w:val="auto"/>
                <w:w w:val="96"/>
              </w:rPr>
              <w:t>5.3%</w:t>
            </w:r>
          </w:p>
        </w:tc>
        <w:tc>
          <w:tcPr>
            <w:tcW w:w="1340" w:type="dxa"/>
            <w:vAlign w:val="bottom"/>
            <w:tcBorders>
              <w:right w:val="single" w:sz="8" w:color="auto"/>
            </w:tcBorders>
          </w:tcPr>
          <w:p>
            <w:pPr>
              <w:jc w:val="center"/>
              <w:ind w:left="193"/>
              <w:spacing w:after="0" w:line="103" w:lineRule="exact"/>
              <w:rPr>
                <w:sz w:val="20"/>
                <w:szCs w:val="20"/>
                <w:color w:val="auto"/>
              </w:rPr>
            </w:pPr>
            <w:r>
              <w:rPr>
                <w:rFonts w:ascii="Arial" w:cs="Arial" w:eastAsia="Arial" w:hAnsi="Arial"/>
                <w:sz w:val="10"/>
                <w:szCs w:val="10"/>
                <w:color w:val="auto"/>
                <w:w w:val="96"/>
              </w:rPr>
              <w:t>7.7%</w:t>
            </w:r>
          </w:p>
        </w:tc>
      </w:tr>
      <w:tr>
        <w:trPr>
          <w:trHeight w:val="103"/>
        </w:trPr>
        <w:tc>
          <w:tcPr>
            <w:tcW w:w="454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Operational risk capital requirement</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4"/>
              </w:rPr>
              <w:t>1,540,780</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8"/>
              </w:rPr>
              <w:t>1,684,206</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1,733,542</w:t>
            </w:r>
          </w:p>
        </w:tc>
        <w:tc>
          <w:tcPr>
            <w:tcW w:w="700" w:type="dxa"/>
            <w:vAlign w:val="bottom"/>
          </w:tcPr>
          <w:p>
            <w:pPr>
              <w:jc w:val="center"/>
              <w:ind w:left="233"/>
              <w:spacing w:after="0" w:line="103" w:lineRule="exact"/>
              <w:rPr>
                <w:sz w:val="20"/>
                <w:szCs w:val="20"/>
                <w:color w:val="auto"/>
              </w:rPr>
            </w:pPr>
            <w:r>
              <w:rPr>
                <w:rFonts w:ascii="Arial" w:cs="Arial" w:eastAsia="Arial" w:hAnsi="Arial"/>
                <w:sz w:val="10"/>
                <w:szCs w:val="10"/>
                <w:color w:val="auto"/>
                <w:w w:val="96"/>
              </w:rPr>
              <w:t>2.9%</w:t>
            </w:r>
          </w:p>
        </w:tc>
        <w:tc>
          <w:tcPr>
            <w:tcW w:w="1340" w:type="dxa"/>
            <w:vAlign w:val="bottom"/>
            <w:tcBorders>
              <w:right w:val="single" w:sz="8" w:color="auto"/>
            </w:tcBorders>
          </w:tcPr>
          <w:p>
            <w:pPr>
              <w:jc w:val="center"/>
              <w:ind w:left="213"/>
              <w:spacing w:after="0" w:line="103" w:lineRule="exact"/>
              <w:rPr>
                <w:sz w:val="20"/>
                <w:szCs w:val="20"/>
                <w:color w:val="auto"/>
              </w:rPr>
            </w:pPr>
            <w:r>
              <w:rPr>
                <w:rFonts w:ascii="Arial" w:cs="Arial" w:eastAsia="Arial" w:hAnsi="Arial"/>
                <w:sz w:val="10"/>
                <w:szCs w:val="10"/>
                <w:color w:val="auto"/>
                <w:w w:val="98"/>
              </w:rPr>
              <w:t>12.5%</w:t>
            </w:r>
          </w:p>
        </w:tc>
      </w:tr>
      <w:tr>
        <w:trPr>
          <w:trHeight w:val="115"/>
        </w:trPr>
        <w:tc>
          <w:tcPr>
            <w:tcW w:w="4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Additional capital requirements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4"/>
              </w:rPr>
              <w:t>3,494,025</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5,418,896</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4"/>
              </w:rPr>
              <w:t>5,709,468</w:t>
            </w:r>
          </w:p>
        </w:tc>
        <w:tc>
          <w:tcPr>
            <w:tcW w:w="700" w:type="dxa"/>
            <w:vAlign w:val="bottom"/>
            <w:tcBorders>
              <w:bottom w:val="single" w:sz="8" w:color="auto"/>
            </w:tcBorders>
          </w:tcPr>
          <w:p>
            <w:pPr>
              <w:jc w:val="center"/>
              <w:ind w:left="233"/>
              <w:spacing w:after="0"/>
              <w:rPr>
                <w:sz w:val="20"/>
                <w:szCs w:val="20"/>
                <w:color w:val="auto"/>
              </w:rPr>
            </w:pPr>
            <w:r>
              <w:rPr>
                <w:rFonts w:ascii="Arial" w:cs="Arial" w:eastAsia="Arial" w:hAnsi="Arial"/>
                <w:sz w:val="10"/>
                <w:szCs w:val="10"/>
                <w:color w:val="auto"/>
                <w:w w:val="96"/>
              </w:rPr>
              <w:t>5.4%</w:t>
            </w:r>
          </w:p>
        </w:tc>
        <w:tc>
          <w:tcPr>
            <w:tcW w:w="1340" w:type="dxa"/>
            <w:vAlign w:val="bottom"/>
            <w:tcBorders>
              <w:bottom w:val="single" w:sz="8" w:color="auto"/>
              <w:right w:val="single" w:sz="8" w:color="auto"/>
            </w:tcBorders>
          </w:tcPr>
          <w:p>
            <w:pPr>
              <w:jc w:val="center"/>
              <w:ind w:left="213"/>
              <w:spacing w:after="0"/>
              <w:rPr>
                <w:sz w:val="20"/>
                <w:szCs w:val="20"/>
                <w:color w:val="auto"/>
              </w:rPr>
            </w:pPr>
            <w:r>
              <w:rPr>
                <w:rFonts w:ascii="Arial" w:cs="Arial" w:eastAsia="Arial" w:hAnsi="Arial"/>
                <w:sz w:val="10"/>
                <w:szCs w:val="10"/>
                <w:color w:val="auto"/>
                <w:w w:val="98"/>
              </w:rPr>
              <w:t>63.4%</w:t>
            </w:r>
          </w:p>
        </w:tc>
      </w:tr>
      <w:tr>
        <w:trPr>
          <w:trHeight w:val="93"/>
        </w:trPr>
        <w:tc>
          <w:tcPr>
            <w:tcW w:w="4540" w:type="dxa"/>
            <w:vAlign w:val="bottom"/>
            <w:tcBorders>
              <w:left w:val="single" w:sz="8" w:color="auto"/>
              <w:bottom w:val="single" w:sz="8" w:color="auto"/>
              <w:right w:val="single" w:sz="8" w:color="auto"/>
            </w:tcBorders>
          </w:tcPr>
          <w:p>
            <w:pPr>
              <w:ind w:left="20"/>
              <w:spacing w:after="0" w:line="93" w:lineRule="exact"/>
              <w:rPr>
                <w:sz w:val="20"/>
                <w:szCs w:val="20"/>
                <w:color w:val="auto"/>
              </w:rPr>
            </w:pPr>
            <w:r>
              <w:rPr>
                <w:rFonts w:ascii="Arial" w:cs="Arial" w:eastAsia="Arial" w:hAnsi="Arial"/>
                <w:sz w:val="10"/>
                <w:szCs w:val="10"/>
                <w:b w:val="1"/>
                <w:bCs w:val="1"/>
                <w:color w:val="auto"/>
              </w:rPr>
              <w:t>Total</w:t>
            </w:r>
          </w:p>
        </w:tc>
        <w:tc>
          <w:tcPr>
            <w:tcW w:w="98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5"/>
              </w:rPr>
              <w:t>16,867,655</w:t>
            </w:r>
          </w:p>
        </w:tc>
        <w:tc>
          <w:tcPr>
            <w:tcW w:w="10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5"/>
              </w:rPr>
              <w:t>19,267,782</w:t>
            </w:r>
          </w:p>
        </w:tc>
        <w:tc>
          <w:tcPr>
            <w:tcW w:w="104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5"/>
              </w:rPr>
              <w:t>20,265,673</w:t>
            </w:r>
          </w:p>
        </w:tc>
        <w:tc>
          <w:tcPr>
            <w:tcW w:w="700" w:type="dxa"/>
            <w:vAlign w:val="bottom"/>
            <w:tcBorders>
              <w:bottom w:val="single" w:sz="8" w:color="auto"/>
            </w:tcBorders>
          </w:tcPr>
          <w:p>
            <w:pPr>
              <w:jc w:val="center"/>
              <w:ind w:left="233"/>
              <w:spacing w:after="0" w:line="93" w:lineRule="exact"/>
              <w:rPr>
                <w:sz w:val="20"/>
                <w:szCs w:val="20"/>
                <w:color w:val="auto"/>
              </w:rPr>
            </w:pPr>
            <w:r>
              <w:rPr>
                <w:rFonts w:ascii="Arial" w:cs="Arial" w:eastAsia="Arial" w:hAnsi="Arial"/>
                <w:sz w:val="10"/>
                <w:szCs w:val="10"/>
                <w:b w:val="1"/>
                <w:bCs w:val="1"/>
                <w:color w:val="auto"/>
                <w:w w:val="96"/>
              </w:rPr>
              <w:t>5.2%</w:t>
            </w:r>
          </w:p>
        </w:tc>
        <w:tc>
          <w:tcPr>
            <w:tcW w:w="1340" w:type="dxa"/>
            <w:vAlign w:val="bottom"/>
            <w:tcBorders>
              <w:bottom w:val="single" w:sz="8" w:color="auto"/>
              <w:right w:val="single" w:sz="8" w:color="auto"/>
            </w:tcBorders>
          </w:tcPr>
          <w:p>
            <w:pPr>
              <w:jc w:val="center"/>
              <w:ind w:left="213"/>
              <w:spacing w:after="0" w:line="93" w:lineRule="exact"/>
              <w:rPr>
                <w:sz w:val="20"/>
                <w:szCs w:val="20"/>
                <w:color w:val="auto"/>
              </w:rPr>
            </w:pPr>
            <w:r>
              <w:rPr>
                <w:rFonts w:ascii="Arial" w:cs="Arial" w:eastAsia="Arial" w:hAnsi="Arial"/>
                <w:sz w:val="10"/>
                <w:szCs w:val="10"/>
                <w:b w:val="1"/>
                <w:bCs w:val="1"/>
                <w:color w:val="auto"/>
                <w:w w:val="98"/>
              </w:rPr>
              <w:t>20.1%</w:t>
            </w:r>
          </w:p>
        </w:tc>
      </w:tr>
    </w:tbl>
    <w:p>
      <w:pPr>
        <w:spacing w:after="0" w:line="117" w:lineRule="exact"/>
        <w:rPr>
          <w:sz w:val="20"/>
          <w:szCs w:val="20"/>
          <w:color w:val="auto"/>
        </w:rPr>
      </w:pPr>
    </w:p>
    <w:p>
      <w:pPr>
        <w:ind w:left="4420"/>
        <w:spacing w:after="0"/>
        <w:rPr>
          <w:sz w:val="20"/>
          <w:szCs w:val="20"/>
          <w:color w:val="auto"/>
        </w:rPr>
      </w:pPr>
      <w:r>
        <w:rPr>
          <w:rFonts w:ascii="Arial" w:cs="Arial" w:eastAsia="Arial" w:hAnsi="Arial"/>
          <w:sz w:val="11"/>
          <w:szCs w:val="11"/>
          <w:b w:val="1"/>
          <w:bCs w:val="1"/>
          <w:color w:val="auto"/>
        </w:rPr>
        <w:t>Capital Ratios under Local Regulation</w:t>
      </w:r>
    </w:p>
    <w:p>
      <w:pPr>
        <w:spacing w:after="0" w:line="138" w:lineRule="exact"/>
        <w:rPr>
          <w:sz w:val="20"/>
          <w:szCs w:val="20"/>
          <w:color w:val="auto"/>
        </w:rPr>
      </w:pPr>
    </w:p>
    <w:tbl>
      <w:tblPr>
        <w:tblLayout w:type="fixed"/>
        <w:tblInd w:w="910" w:type="dxa"/>
        <w:tblCellMar>
          <w:top w:w="0" w:type="dxa"/>
          <w:left w:w="0" w:type="dxa"/>
          <w:bottom w:w="0" w:type="dxa"/>
          <w:right w:w="0" w:type="dxa"/>
        </w:tblCellMar>
      </w:tblPr>
      <w:tr>
        <w:trPr>
          <w:trHeight w:val="99"/>
        </w:trPr>
        <w:tc>
          <w:tcPr>
            <w:tcW w:w="3960" w:type="dxa"/>
            <w:vAlign w:val="bottom"/>
            <w:tcBorders>
              <w:top w:val="single" w:sz="8" w:color="auto"/>
              <w:left w:val="single" w:sz="8" w:color="auto"/>
              <w:right w:val="single" w:sz="8" w:color="auto"/>
            </w:tcBorders>
            <w:shd w:val="clear" w:color="auto" w:fill="2AD2C9"/>
          </w:tcPr>
          <w:p>
            <w:pPr>
              <w:ind w:left="40"/>
              <w:spacing w:after="0" w:line="99" w:lineRule="exact"/>
              <w:rPr>
                <w:sz w:val="20"/>
                <w:szCs w:val="20"/>
                <w:color w:val="auto"/>
              </w:rPr>
            </w:pPr>
            <w:r>
              <w:rPr>
                <w:rFonts w:ascii="Arial" w:cs="Arial" w:eastAsia="Arial" w:hAnsi="Arial"/>
                <w:sz w:val="10"/>
                <w:szCs w:val="10"/>
                <w:b w:val="1"/>
                <w:bCs w:val="1"/>
                <w:color w:val="FFFFFF"/>
              </w:rPr>
              <w:t>Capital ratios under Local Regulation</w:t>
            </w:r>
          </w:p>
        </w:tc>
        <w:tc>
          <w:tcPr>
            <w:tcW w:w="1000" w:type="dxa"/>
            <w:vAlign w:val="bottom"/>
            <w:tcBorders>
              <w:top w:val="single" w:sz="8" w:color="auto"/>
            </w:tcBorders>
            <w:shd w:val="clear" w:color="auto" w:fill="2AD2C9"/>
          </w:tcPr>
          <w:p>
            <w:pPr>
              <w:spacing w:after="0"/>
              <w:rPr>
                <w:sz w:val="8"/>
                <w:szCs w:val="8"/>
                <w:color w:val="auto"/>
              </w:rPr>
            </w:pPr>
          </w:p>
        </w:tc>
        <w:tc>
          <w:tcPr>
            <w:tcW w:w="1000" w:type="dxa"/>
            <w:vAlign w:val="bottom"/>
            <w:tcBorders>
              <w:top w:val="single" w:sz="8" w:color="auto"/>
            </w:tcBorders>
            <w:shd w:val="clear" w:color="auto" w:fill="2AD2C9"/>
          </w:tcPr>
          <w:p>
            <w:pPr>
              <w:ind w:left="320"/>
              <w:spacing w:after="0" w:line="99" w:lineRule="exact"/>
              <w:rPr>
                <w:sz w:val="20"/>
                <w:szCs w:val="20"/>
                <w:color w:val="auto"/>
              </w:rPr>
            </w:pPr>
            <w:r>
              <w:rPr>
                <w:rFonts w:ascii="Arial" w:cs="Arial" w:eastAsia="Arial" w:hAnsi="Arial"/>
                <w:sz w:val="10"/>
                <w:szCs w:val="10"/>
                <w:b w:val="1"/>
                <w:bCs w:val="1"/>
                <w:color w:val="FFFFFF"/>
              </w:rPr>
              <w:t>Quarter</w:t>
            </w:r>
          </w:p>
        </w:tc>
        <w:tc>
          <w:tcPr>
            <w:tcW w:w="1020" w:type="dxa"/>
            <w:vAlign w:val="bottom"/>
            <w:tcBorders>
              <w:top w:val="single" w:sz="8" w:color="auto"/>
              <w:right w:val="single" w:sz="8" w:color="auto"/>
            </w:tcBorders>
            <w:shd w:val="clear" w:color="auto" w:fill="2AD2C9"/>
          </w:tcPr>
          <w:p>
            <w:pPr>
              <w:spacing w:after="0"/>
              <w:rPr>
                <w:sz w:val="8"/>
                <w:szCs w:val="8"/>
                <w:color w:val="auto"/>
              </w:rPr>
            </w:pPr>
          </w:p>
        </w:tc>
        <w:tc>
          <w:tcPr>
            <w:tcW w:w="720" w:type="dxa"/>
            <w:vAlign w:val="bottom"/>
            <w:tcBorders>
              <w:top w:val="single" w:sz="8" w:color="auto"/>
            </w:tcBorders>
            <w:shd w:val="clear" w:color="auto" w:fill="2AD2C9"/>
          </w:tcPr>
          <w:p>
            <w:pPr>
              <w:spacing w:after="0"/>
              <w:rPr>
                <w:sz w:val="8"/>
                <w:szCs w:val="8"/>
                <w:color w:val="auto"/>
              </w:rPr>
            </w:pPr>
          </w:p>
        </w:tc>
        <w:tc>
          <w:tcPr>
            <w:tcW w:w="1320" w:type="dxa"/>
            <w:vAlign w:val="bottom"/>
            <w:tcBorders>
              <w:top w:val="single" w:sz="8" w:color="auto"/>
              <w:right w:val="single" w:sz="8" w:color="auto"/>
            </w:tcBorders>
            <w:shd w:val="clear" w:color="auto" w:fill="2AD2C9"/>
          </w:tcPr>
          <w:p>
            <w:pPr>
              <w:ind w:left="60"/>
              <w:spacing w:after="0" w:line="99" w:lineRule="exact"/>
              <w:rPr>
                <w:sz w:val="20"/>
                <w:szCs w:val="20"/>
                <w:color w:val="auto"/>
              </w:rPr>
            </w:pPr>
            <w:r>
              <w:rPr>
                <w:rFonts w:ascii="Arial" w:cs="Arial" w:eastAsia="Arial" w:hAnsi="Arial"/>
                <w:sz w:val="10"/>
                <w:szCs w:val="10"/>
                <w:b w:val="1"/>
                <w:bCs w:val="1"/>
                <w:color w:val="FFFFFF"/>
              </w:rPr>
              <w:t>Change %</w:t>
            </w:r>
          </w:p>
        </w:tc>
      </w:tr>
      <w:tr>
        <w:trPr>
          <w:trHeight w:val="117"/>
        </w:trPr>
        <w:tc>
          <w:tcPr>
            <w:tcW w:w="396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0"/>
                <w:szCs w:val="10"/>
                <w:color w:val="FFFFFF"/>
              </w:rPr>
              <w:t>(S/. thousand)</w:t>
            </w:r>
          </w:p>
        </w:tc>
        <w:tc>
          <w:tcPr>
            <w:tcW w:w="1000" w:type="dxa"/>
            <w:vAlign w:val="bottom"/>
            <w:tcBorders>
              <w:bottom w:val="single" w:sz="8" w:color="auto"/>
            </w:tcBorders>
            <w:shd w:val="clear" w:color="auto" w:fill="2AD2C9"/>
          </w:tcPr>
          <w:p>
            <w:pPr>
              <w:ind w:left="340"/>
              <w:spacing w:after="0"/>
              <w:rPr>
                <w:sz w:val="20"/>
                <w:szCs w:val="20"/>
                <w:color w:val="auto"/>
              </w:rPr>
            </w:pPr>
            <w:r>
              <w:rPr>
                <w:rFonts w:ascii="Arial" w:cs="Arial" w:eastAsia="Arial" w:hAnsi="Arial"/>
                <w:sz w:val="10"/>
                <w:szCs w:val="10"/>
                <w:b w:val="1"/>
                <w:bCs w:val="1"/>
                <w:color w:val="FFFFFF"/>
              </w:rPr>
              <w:t>Jun 23</w:t>
            </w:r>
          </w:p>
        </w:tc>
        <w:tc>
          <w:tcPr>
            <w:tcW w:w="1000" w:type="dxa"/>
            <w:vAlign w:val="bottom"/>
            <w:tcBorders>
              <w:bottom w:val="single" w:sz="8" w:color="auto"/>
            </w:tcBorders>
            <w:shd w:val="clear" w:color="auto" w:fill="2AD2C9"/>
          </w:tcPr>
          <w:p>
            <w:pPr>
              <w:ind w:left="340"/>
              <w:spacing w:after="0"/>
              <w:rPr>
                <w:sz w:val="20"/>
                <w:szCs w:val="20"/>
                <w:color w:val="auto"/>
              </w:rPr>
            </w:pPr>
            <w:r>
              <w:rPr>
                <w:rFonts w:ascii="Arial" w:cs="Arial" w:eastAsia="Arial" w:hAnsi="Arial"/>
                <w:sz w:val="10"/>
                <w:szCs w:val="10"/>
                <w:b w:val="1"/>
                <w:bCs w:val="1"/>
                <w:color w:val="FFFFFF"/>
              </w:rPr>
              <w:t>Mar 24</w:t>
            </w:r>
          </w:p>
        </w:tc>
        <w:tc>
          <w:tcPr>
            <w:tcW w:w="1020" w:type="dxa"/>
            <w:vAlign w:val="bottom"/>
            <w:tcBorders>
              <w:bottom w:val="single" w:sz="8" w:color="auto"/>
              <w:right w:val="single" w:sz="8" w:color="auto"/>
            </w:tcBorders>
            <w:shd w:val="clear" w:color="auto" w:fill="2AD2C9"/>
          </w:tcPr>
          <w:p>
            <w:pPr>
              <w:ind w:left="360"/>
              <w:spacing w:after="0"/>
              <w:rPr>
                <w:sz w:val="20"/>
                <w:szCs w:val="20"/>
                <w:color w:val="auto"/>
              </w:rPr>
            </w:pPr>
            <w:r>
              <w:rPr>
                <w:rFonts w:ascii="Arial" w:cs="Arial" w:eastAsia="Arial" w:hAnsi="Arial"/>
                <w:sz w:val="10"/>
                <w:szCs w:val="10"/>
                <w:b w:val="1"/>
                <w:bCs w:val="1"/>
                <w:color w:val="FFFFFF"/>
              </w:rPr>
              <w:t>Jun 24</w:t>
            </w:r>
          </w:p>
        </w:tc>
        <w:tc>
          <w:tcPr>
            <w:tcW w:w="720" w:type="dxa"/>
            <w:vAlign w:val="bottom"/>
            <w:tcBorders>
              <w:bottom w:val="single" w:sz="8" w:color="auto"/>
            </w:tcBorders>
            <w:shd w:val="clear" w:color="auto" w:fill="2AD2C9"/>
          </w:tcPr>
          <w:p>
            <w:pPr>
              <w:jc w:val="center"/>
              <w:ind w:left="234"/>
              <w:spacing w:after="0"/>
              <w:rPr>
                <w:sz w:val="20"/>
                <w:szCs w:val="20"/>
                <w:color w:val="auto"/>
              </w:rPr>
            </w:pPr>
            <w:r>
              <w:rPr>
                <w:rFonts w:ascii="Arial" w:cs="Arial" w:eastAsia="Arial" w:hAnsi="Arial"/>
                <w:sz w:val="10"/>
                <w:szCs w:val="10"/>
                <w:b w:val="1"/>
                <w:bCs w:val="1"/>
                <w:color w:val="FFFFFF"/>
                <w:w w:val="92"/>
              </w:rPr>
              <w:t>QoQ</w:t>
            </w:r>
          </w:p>
        </w:tc>
        <w:tc>
          <w:tcPr>
            <w:tcW w:w="1320" w:type="dxa"/>
            <w:vAlign w:val="bottom"/>
            <w:tcBorders>
              <w:bottom w:val="single" w:sz="8" w:color="auto"/>
              <w:right w:val="single" w:sz="8" w:color="auto"/>
            </w:tcBorders>
            <w:shd w:val="clear" w:color="auto" w:fill="2AD2C9"/>
          </w:tcPr>
          <w:p>
            <w:pPr>
              <w:jc w:val="center"/>
              <w:ind w:left="213"/>
              <w:spacing w:after="0"/>
              <w:rPr>
                <w:sz w:val="20"/>
                <w:szCs w:val="20"/>
                <w:color w:val="auto"/>
              </w:rPr>
            </w:pPr>
            <w:r>
              <w:rPr>
                <w:rFonts w:ascii="Arial" w:cs="Arial" w:eastAsia="Arial" w:hAnsi="Arial"/>
                <w:sz w:val="10"/>
                <w:szCs w:val="10"/>
                <w:b w:val="1"/>
                <w:bCs w:val="1"/>
                <w:color w:val="FFFFFF"/>
                <w:w w:val="92"/>
              </w:rPr>
              <w:t>YoY</w:t>
            </w:r>
          </w:p>
        </w:tc>
      </w:tr>
      <w:tr>
        <w:trPr>
          <w:trHeight w:val="79"/>
        </w:trPr>
        <w:tc>
          <w:tcPr>
            <w:tcW w:w="3960" w:type="dxa"/>
            <w:vAlign w:val="bottom"/>
            <w:tcBorders>
              <w:left w:val="single" w:sz="8" w:color="auto"/>
              <w:right w:val="single" w:sz="8" w:color="auto"/>
            </w:tcBorders>
          </w:tcPr>
          <w:p>
            <w:pPr>
              <w:ind w:left="40"/>
              <w:spacing w:after="0" w:line="79" w:lineRule="exact"/>
              <w:rPr>
                <w:sz w:val="20"/>
                <w:szCs w:val="20"/>
                <w:color w:val="auto"/>
              </w:rPr>
            </w:pPr>
            <w:r>
              <w:rPr>
                <w:rFonts w:ascii="Arial" w:cs="Arial" w:eastAsia="Arial" w:hAnsi="Arial"/>
                <w:sz w:val="8"/>
                <w:szCs w:val="8"/>
                <w:b w:val="1"/>
                <w:bCs w:val="1"/>
                <w:color w:val="auto"/>
              </w:rPr>
              <w:t>Common Equity Tier 1 ratio</w:t>
            </w:r>
          </w:p>
        </w:tc>
        <w:tc>
          <w:tcPr>
            <w:tcW w:w="1000" w:type="dxa"/>
            <w:vAlign w:val="bottom"/>
          </w:tcPr>
          <w:p>
            <w:pPr>
              <w:ind w:left="340"/>
              <w:spacing w:after="0" w:line="79" w:lineRule="exact"/>
              <w:rPr>
                <w:sz w:val="20"/>
                <w:szCs w:val="20"/>
                <w:color w:val="auto"/>
              </w:rPr>
            </w:pPr>
            <w:r>
              <w:rPr>
                <w:rFonts w:ascii="Arial" w:cs="Arial" w:eastAsia="Arial" w:hAnsi="Arial"/>
                <w:sz w:val="8"/>
                <w:szCs w:val="8"/>
                <w:color w:val="auto"/>
              </w:rPr>
              <w:t>12.75%</w:t>
            </w:r>
          </w:p>
        </w:tc>
        <w:tc>
          <w:tcPr>
            <w:tcW w:w="1000" w:type="dxa"/>
            <w:vAlign w:val="bottom"/>
          </w:tcPr>
          <w:p>
            <w:pPr>
              <w:ind w:left="340"/>
              <w:spacing w:after="0" w:line="79" w:lineRule="exact"/>
              <w:rPr>
                <w:sz w:val="20"/>
                <w:szCs w:val="20"/>
                <w:color w:val="auto"/>
              </w:rPr>
            </w:pPr>
            <w:r>
              <w:rPr>
                <w:rFonts w:ascii="Arial" w:cs="Arial" w:eastAsia="Arial" w:hAnsi="Arial"/>
                <w:sz w:val="8"/>
                <w:szCs w:val="8"/>
                <w:color w:val="auto"/>
              </w:rPr>
              <w:t>11.72%</w:t>
            </w:r>
          </w:p>
        </w:tc>
        <w:tc>
          <w:tcPr>
            <w:tcW w:w="1020" w:type="dxa"/>
            <w:vAlign w:val="bottom"/>
            <w:tcBorders>
              <w:right w:val="single" w:sz="8" w:color="auto"/>
            </w:tcBorders>
          </w:tcPr>
          <w:p>
            <w:pPr>
              <w:ind w:left="340"/>
              <w:spacing w:after="0" w:line="79" w:lineRule="exact"/>
              <w:rPr>
                <w:sz w:val="20"/>
                <w:szCs w:val="20"/>
                <w:color w:val="auto"/>
              </w:rPr>
            </w:pPr>
            <w:r>
              <w:rPr>
                <w:rFonts w:ascii="Arial" w:cs="Arial" w:eastAsia="Arial" w:hAnsi="Arial"/>
                <w:sz w:val="8"/>
                <w:szCs w:val="8"/>
                <w:color w:val="auto"/>
              </w:rPr>
              <w:t>11.90%</w:t>
            </w:r>
          </w:p>
        </w:tc>
        <w:tc>
          <w:tcPr>
            <w:tcW w:w="720" w:type="dxa"/>
            <w:vAlign w:val="bottom"/>
          </w:tcPr>
          <w:p>
            <w:pPr>
              <w:jc w:val="center"/>
              <w:ind w:left="234"/>
              <w:spacing w:after="0" w:line="79" w:lineRule="exact"/>
              <w:rPr>
                <w:sz w:val="20"/>
                <w:szCs w:val="20"/>
                <w:color w:val="auto"/>
              </w:rPr>
            </w:pPr>
            <w:r>
              <w:rPr>
                <w:rFonts w:ascii="Arial" w:cs="Arial" w:eastAsia="Arial" w:hAnsi="Arial"/>
                <w:sz w:val="8"/>
                <w:szCs w:val="8"/>
                <w:color w:val="auto"/>
              </w:rPr>
              <w:t>18 bps</w:t>
            </w:r>
          </w:p>
        </w:tc>
        <w:tc>
          <w:tcPr>
            <w:tcW w:w="1320" w:type="dxa"/>
            <w:vAlign w:val="bottom"/>
            <w:tcBorders>
              <w:right w:val="single" w:sz="8" w:color="auto"/>
            </w:tcBorders>
          </w:tcPr>
          <w:p>
            <w:pPr>
              <w:jc w:val="center"/>
              <w:ind w:left="233"/>
              <w:spacing w:after="0" w:line="79" w:lineRule="exact"/>
              <w:rPr>
                <w:sz w:val="20"/>
                <w:szCs w:val="20"/>
                <w:color w:val="auto"/>
              </w:rPr>
            </w:pPr>
            <w:r>
              <w:rPr>
                <w:rFonts w:ascii="Arial" w:cs="Arial" w:eastAsia="Arial" w:hAnsi="Arial"/>
                <w:sz w:val="8"/>
                <w:szCs w:val="8"/>
                <w:color w:val="auto"/>
              </w:rPr>
              <w:t>-85 bps</w:t>
            </w:r>
          </w:p>
        </w:tc>
      </w:tr>
      <w:tr>
        <w:trPr>
          <w:trHeight w:val="103"/>
        </w:trPr>
        <w:tc>
          <w:tcPr>
            <w:tcW w:w="396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b w:val="1"/>
                <w:bCs w:val="1"/>
                <w:color w:val="auto"/>
              </w:rPr>
              <w:t>Tier 1 Capital ratio</w:t>
            </w:r>
          </w:p>
        </w:tc>
        <w:tc>
          <w:tcPr>
            <w:tcW w:w="1000" w:type="dxa"/>
            <w:vAlign w:val="bottom"/>
          </w:tcPr>
          <w:p>
            <w:pPr>
              <w:ind w:left="340"/>
              <w:spacing w:after="0" w:line="103" w:lineRule="exact"/>
              <w:rPr>
                <w:sz w:val="20"/>
                <w:szCs w:val="20"/>
                <w:color w:val="auto"/>
              </w:rPr>
            </w:pPr>
            <w:r>
              <w:rPr>
                <w:rFonts w:ascii="Arial" w:cs="Arial" w:eastAsia="Arial" w:hAnsi="Arial"/>
                <w:sz w:val="10"/>
                <w:szCs w:val="10"/>
                <w:color w:val="auto"/>
              </w:rPr>
              <w:t>12.75%</w:t>
            </w:r>
          </w:p>
        </w:tc>
        <w:tc>
          <w:tcPr>
            <w:tcW w:w="1000" w:type="dxa"/>
            <w:vAlign w:val="bottom"/>
          </w:tcPr>
          <w:p>
            <w:pPr>
              <w:ind w:left="340"/>
              <w:spacing w:after="0" w:line="103" w:lineRule="exact"/>
              <w:rPr>
                <w:sz w:val="20"/>
                <w:szCs w:val="20"/>
                <w:color w:val="auto"/>
              </w:rPr>
            </w:pPr>
            <w:r>
              <w:rPr>
                <w:rFonts w:ascii="Arial" w:cs="Arial" w:eastAsia="Arial" w:hAnsi="Arial"/>
                <w:sz w:val="10"/>
                <w:szCs w:val="10"/>
                <w:color w:val="auto"/>
              </w:rPr>
              <w:t>11.72%</w:t>
            </w:r>
          </w:p>
        </w:tc>
        <w:tc>
          <w:tcPr>
            <w:tcW w:w="1020" w:type="dxa"/>
            <w:vAlign w:val="bottom"/>
            <w:tcBorders>
              <w:right w:val="single" w:sz="8" w:color="auto"/>
            </w:tcBorders>
          </w:tcPr>
          <w:p>
            <w:pPr>
              <w:ind w:left="340"/>
              <w:spacing w:after="0" w:line="103" w:lineRule="exact"/>
              <w:rPr>
                <w:sz w:val="20"/>
                <w:szCs w:val="20"/>
                <w:color w:val="auto"/>
              </w:rPr>
            </w:pPr>
            <w:r>
              <w:rPr>
                <w:rFonts w:ascii="Arial" w:cs="Arial" w:eastAsia="Arial" w:hAnsi="Arial"/>
                <w:sz w:val="10"/>
                <w:szCs w:val="10"/>
                <w:color w:val="auto"/>
              </w:rPr>
              <w:t>11.90%</w:t>
            </w:r>
          </w:p>
        </w:tc>
        <w:tc>
          <w:tcPr>
            <w:tcW w:w="720" w:type="dxa"/>
            <w:vAlign w:val="bottom"/>
          </w:tcPr>
          <w:p>
            <w:pPr>
              <w:jc w:val="center"/>
              <w:ind w:left="234"/>
              <w:spacing w:after="0" w:line="103" w:lineRule="exact"/>
              <w:rPr>
                <w:sz w:val="20"/>
                <w:szCs w:val="20"/>
                <w:color w:val="auto"/>
              </w:rPr>
            </w:pPr>
            <w:r>
              <w:rPr>
                <w:rFonts w:ascii="Arial" w:cs="Arial" w:eastAsia="Arial" w:hAnsi="Arial"/>
                <w:sz w:val="10"/>
                <w:szCs w:val="10"/>
                <w:color w:val="auto"/>
                <w:w w:val="93"/>
              </w:rPr>
              <w:t>18 bps</w:t>
            </w:r>
          </w:p>
        </w:tc>
        <w:tc>
          <w:tcPr>
            <w:tcW w:w="1320" w:type="dxa"/>
            <w:vAlign w:val="bottom"/>
            <w:tcBorders>
              <w:right w:val="single" w:sz="8" w:color="auto"/>
            </w:tcBorders>
          </w:tcPr>
          <w:p>
            <w:pPr>
              <w:jc w:val="center"/>
              <w:ind w:left="233"/>
              <w:spacing w:after="0" w:line="103" w:lineRule="exact"/>
              <w:rPr>
                <w:sz w:val="20"/>
                <w:szCs w:val="20"/>
                <w:color w:val="auto"/>
              </w:rPr>
            </w:pPr>
            <w:r>
              <w:rPr>
                <w:rFonts w:ascii="Arial" w:cs="Arial" w:eastAsia="Arial" w:hAnsi="Arial"/>
                <w:sz w:val="10"/>
                <w:szCs w:val="10"/>
                <w:color w:val="auto"/>
                <w:w w:val="95"/>
              </w:rPr>
              <w:t>-85 bps</w:t>
            </w:r>
          </w:p>
        </w:tc>
      </w:tr>
      <w:tr>
        <w:trPr>
          <w:trHeight w:val="11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0"/>
                <w:szCs w:val="10"/>
                <w:b w:val="1"/>
                <w:bCs w:val="1"/>
                <w:color w:val="auto"/>
              </w:rPr>
              <w:t>Regulatory Global Capital ratio</w:t>
            </w: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0"/>
                <w:szCs w:val="10"/>
                <w:color w:val="auto"/>
              </w:rPr>
              <w:t>17.20%</w:t>
            </w: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0"/>
                <w:szCs w:val="10"/>
                <w:color w:val="auto"/>
              </w:rPr>
              <w:t>16.12%</w:t>
            </w:r>
          </w:p>
        </w:tc>
        <w:tc>
          <w:tcPr>
            <w:tcW w:w="10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0"/>
                <w:szCs w:val="10"/>
                <w:color w:val="auto"/>
              </w:rPr>
              <w:t>16.24%</w:t>
            </w:r>
          </w:p>
        </w:tc>
        <w:tc>
          <w:tcPr>
            <w:tcW w:w="720" w:type="dxa"/>
            <w:vAlign w:val="bottom"/>
            <w:tcBorders>
              <w:bottom w:val="single" w:sz="8" w:color="auto"/>
            </w:tcBorders>
          </w:tcPr>
          <w:p>
            <w:pPr>
              <w:jc w:val="center"/>
              <w:ind w:left="234"/>
              <w:spacing w:after="0"/>
              <w:rPr>
                <w:sz w:val="20"/>
                <w:szCs w:val="20"/>
                <w:color w:val="auto"/>
              </w:rPr>
            </w:pPr>
            <w:r>
              <w:rPr>
                <w:rFonts w:ascii="Arial" w:cs="Arial" w:eastAsia="Arial" w:hAnsi="Arial"/>
                <w:sz w:val="10"/>
                <w:szCs w:val="10"/>
                <w:color w:val="auto"/>
                <w:w w:val="93"/>
              </w:rPr>
              <w:t>12 bps</w:t>
            </w:r>
          </w:p>
        </w:tc>
        <w:tc>
          <w:tcPr>
            <w:tcW w:w="1320" w:type="dxa"/>
            <w:vAlign w:val="bottom"/>
            <w:tcBorders>
              <w:bottom w:val="single" w:sz="8" w:color="auto"/>
              <w:right w:val="single" w:sz="8" w:color="auto"/>
            </w:tcBorders>
          </w:tcPr>
          <w:p>
            <w:pPr>
              <w:jc w:val="center"/>
              <w:ind w:left="233"/>
              <w:spacing w:after="0"/>
              <w:rPr>
                <w:sz w:val="20"/>
                <w:szCs w:val="20"/>
                <w:color w:val="auto"/>
              </w:rPr>
            </w:pPr>
            <w:r>
              <w:rPr>
                <w:rFonts w:ascii="Arial" w:cs="Arial" w:eastAsia="Arial" w:hAnsi="Arial"/>
                <w:sz w:val="10"/>
                <w:szCs w:val="10"/>
                <w:color w:val="auto"/>
                <w:w w:val="95"/>
              </w:rPr>
              <w:t>-96 bps</w:t>
            </w:r>
          </w:p>
        </w:tc>
      </w:tr>
    </w:tbl>
    <w:p>
      <w:pPr>
        <w:spacing w:after="0" w:line="86" w:lineRule="exact"/>
        <w:rPr>
          <w:sz w:val="20"/>
          <w:szCs w:val="20"/>
          <w:color w:val="auto"/>
        </w:rPr>
      </w:pPr>
    </w:p>
    <w:p>
      <w:pPr>
        <w:ind w:left="2020" w:hanging="139"/>
        <w:spacing w:after="0"/>
        <w:tabs>
          <w:tab w:leader="none" w:pos="2020" w:val="left"/>
        </w:tabs>
        <w:numPr>
          <w:ilvl w:val="0"/>
          <w:numId w:val="51"/>
        </w:numPr>
        <w:rPr>
          <w:rFonts w:ascii="Arial" w:cs="Arial" w:eastAsia="Arial" w:hAnsi="Arial"/>
          <w:sz w:val="10"/>
          <w:szCs w:val="10"/>
          <w:color w:val="auto"/>
        </w:rPr>
      </w:pPr>
      <w:r>
        <w:rPr>
          <w:rFonts w:ascii="Arial" w:cs="Arial" w:eastAsia="Arial" w:hAnsi="Arial"/>
          <w:sz w:val="10"/>
          <w:szCs w:val="10"/>
          <w:color w:val="auto"/>
        </w:rPr>
        <w:t>Up to 1.25% of total risk-weighted assets.</w:t>
      </w:r>
    </w:p>
    <w:p>
      <w:pPr>
        <w:ind w:left="1880" w:right="1360" w:firstLine="1"/>
        <w:spacing w:after="0" w:line="214" w:lineRule="auto"/>
        <w:tabs>
          <w:tab w:leader="none" w:pos="2013" w:val="left"/>
        </w:tabs>
        <w:numPr>
          <w:ilvl w:val="0"/>
          <w:numId w:val="51"/>
        </w:numPr>
        <w:rPr>
          <w:rFonts w:ascii="Arial" w:cs="Arial" w:eastAsia="Arial" w:hAnsi="Arial"/>
          <w:sz w:val="10"/>
          <w:szCs w:val="10"/>
          <w:color w:val="auto"/>
        </w:rPr>
      </w:pPr>
      <w:r>
        <w:rPr>
          <w:rFonts w:ascii="Arial" w:cs="Arial" w:eastAsia="Arial" w:hAnsi="Arial"/>
          <w:sz w:val="10"/>
          <w:szCs w:val="10"/>
          <w:color w:val="auto"/>
        </w:rPr>
        <w:t>Common Equity Tier 1 = Capital Stock + Reserves + Accumulated earnings – Unrealized profits or losses - 100% deductions (investment in subsidiaries, goodwill, intangible assets and deferred tax assets based on future returns).</w:t>
      </w:r>
    </w:p>
    <w:p>
      <w:pPr>
        <w:ind w:left="2020" w:hanging="139"/>
        <w:spacing w:after="0" w:line="214" w:lineRule="auto"/>
        <w:tabs>
          <w:tab w:leader="none" w:pos="2020" w:val="left"/>
        </w:tabs>
        <w:numPr>
          <w:ilvl w:val="0"/>
          <w:numId w:val="51"/>
        </w:numPr>
        <w:rPr>
          <w:rFonts w:ascii="Arial" w:cs="Arial" w:eastAsia="Arial" w:hAnsi="Arial"/>
          <w:sz w:val="10"/>
          <w:szCs w:val="10"/>
          <w:color w:val="auto"/>
        </w:rPr>
      </w:pPr>
      <w:r>
        <w:rPr>
          <w:rFonts w:ascii="Arial" w:cs="Arial" w:eastAsia="Arial" w:hAnsi="Arial"/>
          <w:sz w:val="10"/>
          <w:szCs w:val="10"/>
          <w:color w:val="auto"/>
        </w:rPr>
        <w:t>Regulatory Tier 1 Capital = Common Equity Tier 1 + Tier 1 Subordinated Debt (Perpetual).</w:t>
      </w:r>
    </w:p>
    <w:p>
      <w:pPr>
        <w:ind w:left="2020" w:hanging="139"/>
        <w:spacing w:after="0"/>
        <w:tabs>
          <w:tab w:leader="none" w:pos="2020" w:val="left"/>
        </w:tabs>
        <w:numPr>
          <w:ilvl w:val="0"/>
          <w:numId w:val="51"/>
        </w:numPr>
        <w:rPr>
          <w:rFonts w:ascii="Arial" w:cs="Arial" w:eastAsia="Arial" w:hAnsi="Arial"/>
          <w:sz w:val="10"/>
          <w:szCs w:val="10"/>
          <w:color w:val="auto"/>
        </w:rPr>
      </w:pPr>
      <w:r>
        <w:rPr>
          <w:rFonts w:ascii="Arial" w:cs="Arial" w:eastAsia="Arial" w:hAnsi="Arial"/>
          <w:sz w:val="10"/>
          <w:szCs w:val="10"/>
          <w:color w:val="auto"/>
        </w:rPr>
        <w:t>Regulatory Tier 2 Capital = Subordinated Debt + Loan loss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622300</wp:posOffset>
            </wp:positionV>
            <wp:extent cx="7164705" cy="133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93345</wp:posOffset>
            </wp:positionV>
            <wp:extent cx="1502410" cy="4438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5263515</wp:posOffset>
            </wp:positionH>
            <wp:positionV relativeFrom="paragraph">
              <wp:posOffset>210820</wp:posOffset>
            </wp:positionV>
            <wp:extent cx="1750695" cy="3263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750695" cy="326390"/>
                    </a:xfrm>
                    <a:prstGeom prst="rect">
                      <a:avLst/>
                    </a:prstGeom>
                    <a:noFill/>
                  </pic:spPr>
                </pic:pic>
              </a:graphicData>
            </a:graphic>
          </wp:anchor>
        </w:drawing>
      </w:r>
    </w:p>
    <w:p>
      <w:pPr>
        <w:sectPr>
          <w:pgSz w:w="11900" w:h="16838" w:orient="portrait"/>
          <w:cols w:equalWidth="0" w:num="1">
            <w:col w:w="10240"/>
          </w:cols>
          <w:pgMar w:left="540" w:top="300" w:right="1119" w:bottom="1440" w:gutter="0" w:footer="0" w:header="0"/>
        </w:sectPr>
      </w:pPr>
    </w:p>
    <w:bookmarkStart w:id="56" w:name="page57"/>
    <w:bookmarkEnd w:id="56"/>
    <w:p>
      <w:pPr>
        <w:jc w:val="both"/>
        <w:ind w:left="2480"/>
        <w:spacing w:after="0"/>
        <w:tabs>
          <w:tab w:leader="none" w:pos="2680" w:val="left"/>
          <w:tab w:leader="none" w:pos="7680"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10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64705" cy="581025"/>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12. Appendix</w:t>
      </w:r>
    </w:p>
    <w:p>
      <w:pPr>
        <w:spacing w:after="0" w:line="244" w:lineRule="exact"/>
        <w:rPr>
          <w:sz w:val="20"/>
          <w:szCs w:val="20"/>
          <w:color w:val="auto"/>
        </w:rPr>
      </w:pPr>
    </w:p>
    <w:p>
      <w:pPr>
        <w:jc w:val="center"/>
        <w:ind w:right="-579"/>
        <w:spacing w:after="0"/>
        <w:rPr>
          <w:sz w:val="20"/>
          <w:szCs w:val="20"/>
          <w:color w:val="auto"/>
        </w:rPr>
      </w:pPr>
      <w:r>
        <w:rPr>
          <w:rFonts w:ascii="Arial" w:cs="Arial" w:eastAsia="Arial" w:hAnsi="Arial"/>
          <w:sz w:val="14"/>
          <w:szCs w:val="14"/>
          <w:b w:val="1"/>
          <w:bCs w:val="1"/>
          <w:color w:val="auto"/>
        </w:rPr>
        <w:t>Regulatory Capital and Capital Adequacy Ratios at Mibanco</w:t>
      </w:r>
    </w:p>
    <w:p>
      <w:pPr>
        <w:spacing w:after="0" w:line="7" w:lineRule="exact"/>
        <w:rPr>
          <w:sz w:val="20"/>
          <w:szCs w:val="20"/>
          <w:color w:val="auto"/>
        </w:rPr>
      </w:pPr>
    </w:p>
    <w:p>
      <w:pPr>
        <w:jc w:val="center"/>
        <w:ind w:right="-579"/>
        <w:spacing w:after="0"/>
        <w:rPr>
          <w:sz w:val="20"/>
          <w:szCs w:val="20"/>
          <w:color w:val="auto"/>
        </w:rPr>
      </w:pPr>
      <w:r>
        <w:rPr>
          <w:rFonts w:ascii="Arial" w:cs="Arial" w:eastAsia="Arial" w:hAnsi="Arial"/>
          <w:sz w:val="14"/>
          <w:szCs w:val="14"/>
          <w:b w:val="1"/>
          <w:bCs w:val="1"/>
          <w:color w:val="auto"/>
        </w:rPr>
        <w:t>(S/ thousands, IFRS)</w:t>
      </w:r>
    </w:p>
    <w:p>
      <w:pPr>
        <w:spacing w:after="0" w:line="128" w:lineRule="exact"/>
        <w:rPr>
          <w:sz w:val="20"/>
          <w:szCs w:val="20"/>
          <w:color w:val="auto"/>
        </w:rPr>
      </w:pPr>
    </w:p>
    <w:tbl>
      <w:tblPr>
        <w:tblLayout w:type="fixed"/>
        <w:tblInd w:w="630" w:type="dxa"/>
        <w:tblCellMar>
          <w:top w:w="0" w:type="dxa"/>
          <w:left w:w="0" w:type="dxa"/>
          <w:bottom w:w="0" w:type="dxa"/>
          <w:right w:w="0" w:type="dxa"/>
        </w:tblCellMar>
      </w:tblPr>
      <w:tr>
        <w:trPr>
          <w:trHeight w:val="99"/>
        </w:trPr>
        <w:tc>
          <w:tcPr>
            <w:tcW w:w="4540" w:type="dxa"/>
            <w:vAlign w:val="bottom"/>
            <w:tcBorders>
              <w:top w:val="single" w:sz="8" w:color="auto"/>
              <w:left w:val="single" w:sz="8" w:color="auto"/>
              <w:right w:val="single" w:sz="8" w:color="auto"/>
            </w:tcBorders>
            <w:shd w:val="clear" w:color="auto" w:fill="2AD2C9"/>
          </w:tcPr>
          <w:p>
            <w:pPr>
              <w:ind w:left="20"/>
              <w:spacing w:after="0" w:line="99" w:lineRule="exact"/>
              <w:rPr>
                <w:sz w:val="20"/>
                <w:szCs w:val="20"/>
                <w:color w:val="auto"/>
              </w:rPr>
            </w:pPr>
            <w:r>
              <w:rPr>
                <w:rFonts w:ascii="Arial" w:cs="Arial" w:eastAsia="Arial" w:hAnsi="Arial"/>
                <w:sz w:val="10"/>
                <w:szCs w:val="10"/>
                <w:b w:val="1"/>
                <w:bCs w:val="1"/>
                <w:color w:val="FFFFFF"/>
              </w:rPr>
              <w:t>Regulatory Capital</w:t>
            </w:r>
          </w:p>
        </w:tc>
        <w:tc>
          <w:tcPr>
            <w:tcW w:w="980" w:type="dxa"/>
            <w:vAlign w:val="bottom"/>
            <w:tcBorders>
              <w:top w:val="single" w:sz="8" w:color="auto"/>
            </w:tcBorders>
            <w:shd w:val="clear" w:color="auto" w:fill="2AD2C9"/>
          </w:tcPr>
          <w:p>
            <w:pPr>
              <w:spacing w:after="0"/>
              <w:rPr>
                <w:sz w:val="8"/>
                <w:szCs w:val="8"/>
                <w:color w:val="auto"/>
              </w:rPr>
            </w:pPr>
          </w:p>
        </w:tc>
        <w:tc>
          <w:tcPr>
            <w:tcW w:w="1000" w:type="dxa"/>
            <w:vAlign w:val="bottom"/>
            <w:tcBorders>
              <w:top w:val="single" w:sz="8" w:color="auto"/>
            </w:tcBorders>
            <w:shd w:val="clear" w:color="auto" w:fill="2AD2C9"/>
          </w:tcPr>
          <w:p>
            <w:pPr>
              <w:jc w:val="center"/>
              <w:spacing w:after="0" w:line="99" w:lineRule="exact"/>
              <w:rPr>
                <w:sz w:val="20"/>
                <w:szCs w:val="20"/>
                <w:color w:val="auto"/>
              </w:rPr>
            </w:pPr>
            <w:r>
              <w:rPr>
                <w:rFonts w:ascii="Arial" w:cs="Arial" w:eastAsia="Arial" w:hAnsi="Arial"/>
                <w:sz w:val="10"/>
                <w:szCs w:val="10"/>
                <w:b w:val="1"/>
                <w:bCs w:val="1"/>
                <w:color w:val="FFFFFF"/>
                <w:w w:val="93"/>
              </w:rPr>
              <w:t>Quarter</w:t>
            </w:r>
          </w:p>
        </w:tc>
        <w:tc>
          <w:tcPr>
            <w:tcW w:w="1040" w:type="dxa"/>
            <w:vAlign w:val="bottom"/>
            <w:tcBorders>
              <w:top w:val="single" w:sz="8" w:color="auto"/>
              <w:right w:val="single" w:sz="8" w:color="auto"/>
            </w:tcBorders>
            <w:shd w:val="clear" w:color="auto" w:fill="2AD2C9"/>
          </w:tcPr>
          <w:p>
            <w:pPr>
              <w:spacing w:after="0"/>
              <w:rPr>
                <w:sz w:val="8"/>
                <w:szCs w:val="8"/>
                <w:color w:val="auto"/>
              </w:rPr>
            </w:pPr>
          </w:p>
        </w:tc>
        <w:tc>
          <w:tcPr>
            <w:tcW w:w="700" w:type="dxa"/>
            <w:vAlign w:val="bottom"/>
            <w:tcBorders>
              <w:top w:val="single" w:sz="8" w:color="auto"/>
            </w:tcBorders>
            <w:shd w:val="clear" w:color="auto" w:fill="2AD2C9"/>
          </w:tcPr>
          <w:p>
            <w:pPr>
              <w:spacing w:after="0"/>
              <w:rPr>
                <w:sz w:val="8"/>
                <w:szCs w:val="8"/>
                <w:color w:val="auto"/>
              </w:rPr>
            </w:pPr>
          </w:p>
        </w:tc>
        <w:tc>
          <w:tcPr>
            <w:tcW w:w="1340" w:type="dxa"/>
            <w:vAlign w:val="bottom"/>
            <w:tcBorders>
              <w:top w:val="single" w:sz="8" w:color="auto"/>
              <w:right w:val="single" w:sz="8" w:color="auto"/>
            </w:tcBorders>
            <w:shd w:val="clear" w:color="auto" w:fill="2AD2C9"/>
          </w:tcPr>
          <w:p>
            <w:pPr>
              <w:ind w:left="60"/>
              <w:spacing w:after="0" w:line="99" w:lineRule="exact"/>
              <w:rPr>
                <w:sz w:val="20"/>
                <w:szCs w:val="20"/>
                <w:color w:val="auto"/>
              </w:rPr>
            </w:pPr>
            <w:r>
              <w:rPr>
                <w:rFonts w:ascii="Arial" w:cs="Arial" w:eastAsia="Arial" w:hAnsi="Arial"/>
                <w:sz w:val="10"/>
                <w:szCs w:val="10"/>
                <w:b w:val="1"/>
                <w:bCs w:val="1"/>
                <w:color w:val="FFFFFF"/>
              </w:rPr>
              <w:t>% Change</w:t>
            </w:r>
          </w:p>
        </w:tc>
      </w:tr>
      <w:tr>
        <w:trPr>
          <w:trHeight w:val="117"/>
        </w:trPr>
        <w:tc>
          <w:tcPr>
            <w:tcW w:w="4540" w:type="dxa"/>
            <w:vAlign w:val="bottom"/>
            <w:tcBorders>
              <w:left w:val="single" w:sz="8" w:color="auto"/>
              <w:bottom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0"/>
                <w:szCs w:val="10"/>
                <w:color w:val="FFFFFF"/>
              </w:rPr>
              <w:t>(S/ thousand)</w:t>
            </w:r>
          </w:p>
        </w:tc>
        <w:tc>
          <w:tcPr>
            <w:tcW w:w="98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0"/>
                <w:szCs w:val="10"/>
                <w:b w:val="1"/>
                <w:bCs w:val="1"/>
                <w:color w:val="FFFFFF"/>
              </w:rPr>
              <w:t>Jun 23</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rPr>
              <w:t>Mar 24</w:t>
            </w:r>
          </w:p>
        </w:tc>
        <w:tc>
          <w:tcPr>
            <w:tcW w:w="1040" w:type="dxa"/>
            <w:vAlign w:val="bottom"/>
            <w:tcBorders>
              <w:bottom w:val="single" w:sz="8" w:color="auto"/>
              <w:right w:val="single" w:sz="8" w:color="auto"/>
            </w:tcBorders>
            <w:shd w:val="clear" w:color="auto" w:fill="2AD2C9"/>
          </w:tcPr>
          <w:p>
            <w:pPr>
              <w:ind w:left="360"/>
              <w:spacing w:after="0"/>
              <w:rPr>
                <w:sz w:val="20"/>
                <w:szCs w:val="20"/>
                <w:color w:val="auto"/>
              </w:rPr>
            </w:pPr>
            <w:r>
              <w:rPr>
                <w:rFonts w:ascii="Arial" w:cs="Arial" w:eastAsia="Arial" w:hAnsi="Arial"/>
                <w:sz w:val="10"/>
                <w:szCs w:val="10"/>
                <w:b w:val="1"/>
                <w:bCs w:val="1"/>
                <w:color w:val="FFFFFF"/>
              </w:rPr>
              <w:t>Jun 24</w:t>
            </w:r>
          </w:p>
        </w:tc>
        <w:tc>
          <w:tcPr>
            <w:tcW w:w="700" w:type="dxa"/>
            <w:vAlign w:val="bottom"/>
            <w:tcBorders>
              <w:bottom w:val="single" w:sz="8" w:color="auto"/>
            </w:tcBorders>
            <w:shd w:val="clear" w:color="auto" w:fill="2AD2C9"/>
          </w:tcPr>
          <w:p>
            <w:pPr>
              <w:jc w:val="center"/>
              <w:ind w:left="213"/>
              <w:spacing w:after="0"/>
              <w:rPr>
                <w:sz w:val="20"/>
                <w:szCs w:val="20"/>
                <w:color w:val="auto"/>
              </w:rPr>
            </w:pPr>
            <w:r>
              <w:rPr>
                <w:rFonts w:ascii="Arial" w:cs="Arial" w:eastAsia="Arial" w:hAnsi="Arial"/>
                <w:sz w:val="10"/>
                <w:szCs w:val="10"/>
                <w:b w:val="1"/>
                <w:bCs w:val="1"/>
                <w:color w:val="FFFFFF"/>
                <w:w w:val="92"/>
              </w:rPr>
              <w:t>QoQ</w:t>
            </w:r>
          </w:p>
        </w:tc>
        <w:tc>
          <w:tcPr>
            <w:tcW w:w="1340" w:type="dxa"/>
            <w:vAlign w:val="bottom"/>
            <w:tcBorders>
              <w:bottom w:val="single" w:sz="8" w:color="auto"/>
              <w:right w:val="single" w:sz="8" w:color="auto"/>
            </w:tcBorders>
            <w:shd w:val="clear" w:color="auto" w:fill="2AD2C9"/>
          </w:tcPr>
          <w:p>
            <w:pPr>
              <w:ind w:left="700"/>
              <w:spacing w:after="0"/>
              <w:rPr>
                <w:sz w:val="20"/>
                <w:szCs w:val="20"/>
                <w:color w:val="auto"/>
              </w:rPr>
            </w:pPr>
            <w:r>
              <w:rPr>
                <w:rFonts w:ascii="Arial" w:cs="Arial" w:eastAsia="Arial" w:hAnsi="Arial"/>
                <w:sz w:val="10"/>
                <w:szCs w:val="10"/>
                <w:b w:val="1"/>
                <w:bCs w:val="1"/>
                <w:color w:val="FFFFFF"/>
              </w:rPr>
              <w:t>YoY</w:t>
            </w:r>
          </w:p>
        </w:tc>
      </w:tr>
      <w:tr>
        <w:trPr>
          <w:trHeight w:val="81"/>
        </w:trPr>
        <w:tc>
          <w:tcPr>
            <w:tcW w:w="4540" w:type="dxa"/>
            <w:vAlign w:val="bottom"/>
            <w:tcBorders>
              <w:left w:val="single" w:sz="8" w:color="auto"/>
              <w:right w:val="single" w:sz="8" w:color="auto"/>
            </w:tcBorders>
          </w:tcPr>
          <w:p>
            <w:pPr>
              <w:ind w:left="20"/>
              <w:spacing w:after="0" w:line="81" w:lineRule="exact"/>
              <w:rPr>
                <w:sz w:val="20"/>
                <w:szCs w:val="20"/>
                <w:color w:val="auto"/>
              </w:rPr>
            </w:pPr>
            <w:r>
              <w:rPr>
                <w:rFonts w:ascii="Arial" w:cs="Arial" w:eastAsia="Arial" w:hAnsi="Arial"/>
                <w:sz w:val="8"/>
                <w:szCs w:val="8"/>
                <w:color w:val="auto"/>
              </w:rPr>
              <w:t>Capital Stock</w:t>
            </w:r>
          </w:p>
        </w:tc>
        <w:tc>
          <w:tcPr>
            <w:tcW w:w="980" w:type="dxa"/>
            <w:vAlign w:val="bottom"/>
          </w:tcPr>
          <w:p>
            <w:pPr>
              <w:jc w:val="center"/>
              <w:spacing w:after="0" w:line="81" w:lineRule="exact"/>
              <w:rPr>
                <w:sz w:val="20"/>
                <w:szCs w:val="20"/>
                <w:color w:val="auto"/>
              </w:rPr>
            </w:pPr>
            <w:r>
              <w:rPr>
                <w:rFonts w:ascii="Arial" w:cs="Arial" w:eastAsia="Arial" w:hAnsi="Arial"/>
                <w:sz w:val="8"/>
                <w:szCs w:val="8"/>
                <w:color w:val="auto"/>
              </w:rPr>
              <w:t>1,840,606</w:t>
            </w:r>
          </w:p>
        </w:tc>
        <w:tc>
          <w:tcPr>
            <w:tcW w:w="1000" w:type="dxa"/>
            <w:vAlign w:val="bottom"/>
          </w:tcPr>
          <w:p>
            <w:pPr>
              <w:jc w:val="center"/>
              <w:spacing w:after="0" w:line="81" w:lineRule="exact"/>
              <w:rPr>
                <w:sz w:val="20"/>
                <w:szCs w:val="20"/>
                <w:color w:val="auto"/>
              </w:rPr>
            </w:pPr>
            <w:r>
              <w:rPr>
                <w:rFonts w:ascii="Arial" w:cs="Arial" w:eastAsia="Arial" w:hAnsi="Arial"/>
                <w:sz w:val="8"/>
                <w:szCs w:val="8"/>
                <w:color w:val="auto"/>
              </w:rPr>
              <w:t>1,840,606</w:t>
            </w:r>
          </w:p>
        </w:tc>
        <w:tc>
          <w:tcPr>
            <w:tcW w:w="104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1,840,606</w:t>
            </w:r>
          </w:p>
        </w:tc>
        <w:tc>
          <w:tcPr>
            <w:tcW w:w="700" w:type="dxa"/>
            <w:vAlign w:val="bottom"/>
          </w:tcPr>
          <w:p>
            <w:pPr>
              <w:jc w:val="center"/>
              <w:ind w:left="233"/>
              <w:spacing w:after="0" w:line="81" w:lineRule="exact"/>
              <w:rPr>
                <w:sz w:val="20"/>
                <w:szCs w:val="20"/>
                <w:color w:val="auto"/>
              </w:rPr>
            </w:pPr>
            <w:r>
              <w:rPr>
                <w:rFonts w:ascii="Arial" w:cs="Arial" w:eastAsia="Arial" w:hAnsi="Arial"/>
                <w:sz w:val="8"/>
                <w:szCs w:val="8"/>
                <w:color w:val="auto"/>
              </w:rPr>
              <w:t>0.0%</w:t>
            </w:r>
          </w:p>
        </w:tc>
        <w:tc>
          <w:tcPr>
            <w:tcW w:w="1340" w:type="dxa"/>
            <w:vAlign w:val="bottom"/>
            <w:tcBorders>
              <w:right w:val="single" w:sz="8" w:color="auto"/>
            </w:tcBorders>
          </w:tcPr>
          <w:p>
            <w:pPr>
              <w:jc w:val="center"/>
              <w:ind w:left="193"/>
              <w:spacing w:after="0" w:line="81" w:lineRule="exact"/>
              <w:rPr>
                <w:sz w:val="20"/>
                <w:szCs w:val="20"/>
                <w:color w:val="auto"/>
              </w:rPr>
            </w:pPr>
            <w:r>
              <w:rPr>
                <w:rFonts w:ascii="Arial" w:cs="Arial" w:eastAsia="Arial" w:hAnsi="Arial"/>
                <w:sz w:val="8"/>
                <w:szCs w:val="8"/>
                <w:color w:val="auto"/>
              </w:rPr>
              <w:t>0.0%</w:t>
            </w:r>
          </w:p>
        </w:tc>
      </w:tr>
      <w:tr>
        <w:trPr>
          <w:trHeight w:val="103"/>
        </w:trPr>
        <w:tc>
          <w:tcPr>
            <w:tcW w:w="454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Reserves</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3"/>
              </w:rPr>
              <w:t>308,056</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9"/>
              </w:rPr>
              <w:t>334,650</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3"/>
              </w:rPr>
              <w:t>334,650</w:t>
            </w:r>
          </w:p>
        </w:tc>
        <w:tc>
          <w:tcPr>
            <w:tcW w:w="700" w:type="dxa"/>
            <w:vAlign w:val="bottom"/>
          </w:tcPr>
          <w:p>
            <w:pPr>
              <w:jc w:val="center"/>
              <w:ind w:left="233"/>
              <w:spacing w:after="0" w:line="103" w:lineRule="exact"/>
              <w:rPr>
                <w:sz w:val="20"/>
                <w:szCs w:val="20"/>
                <w:color w:val="auto"/>
              </w:rPr>
            </w:pPr>
            <w:r>
              <w:rPr>
                <w:rFonts w:ascii="Arial" w:cs="Arial" w:eastAsia="Arial" w:hAnsi="Arial"/>
                <w:sz w:val="10"/>
                <w:szCs w:val="10"/>
                <w:color w:val="auto"/>
                <w:w w:val="96"/>
              </w:rPr>
              <w:t>0.0%</w:t>
            </w:r>
          </w:p>
        </w:tc>
        <w:tc>
          <w:tcPr>
            <w:tcW w:w="1340" w:type="dxa"/>
            <w:vAlign w:val="bottom"/>
            <w:tcBorders>
              <w:right w:val="single" w:sz="8" w:color="auto"/>
            </w:tcBorders>
          </w:tcPr>
          <w:p>
            <w:pPr>
              <w:jc w:val="center"/>
              <w:ind w:left="193"/>
              <w:spacing w:after="0" w:line="103" w:lineRule="exact"/>
              <w:rPr>
                <w:sz w:val="20"/>
                <w:szCs w:val="20"/>
                <w:color w:val="auto"/>
              </w:rPr>
            </w:pPr>
            <w:r>
              <w:rPr>
                <w:rFonts w:ascii="Arial" w:cs="Arial" w:eastAsia="Arial" w:hAnsi="Arial"/>
                <w:sz w:val="10"/>
                <w:szCs w:val="10"/>
                <w:color w:val="auto"/>
                <w:w w:val="96"/>
              </w:rPr>
              <w:t>8.6%</w:t>
            </w:r>
          </w:p>
        </w:tc>
      </w:tr>
      <w:tr>
        <w:trPr>
          <w:trHeight w:val="103"/>
        </w:trPr>
        <w:tc>
          <w:tcPr>
            <w:tcW w:w="454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Accumulated earnings</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3"/>
              </w:rPr>
              <w:t>611,151</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3"/>
              </w:rPr>
              <w:t>310,119</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3"/>
              </w:rPr>
              <w:t>356,449</w:t>
            </w:r>
          </w:p>
        </w:tc>
        <w:tc>
          <w:tcPr>
            <w:tcW w:w="700" w:type="dxa"/>
            <w:vAlign w:val="bottom"/>
          </w:tcPr>
          <w:p>
            <w:pPr>
              <w:jc w:val="center"/>
              <w:ind w:left="213"/>
              <w:spacing w:after="0" w:line="103" w:lineRule="exact"/>
              <w:rPr>
                <w:sz w:val="20"/>
                <w:szCs w:val="20"/>
                <w:color w:val="auto"/>
              </w:rPr>
            </w:pPr>
            <w:r>
              <w:rPr>
                <w:rFonts w:ascii="Arial" w:cs="Arial" w:eastAsia="Arial" w:hAnsi="Arial"/>
                <w:sz w:val="10"/>
                <w:szCs w:val="10"/>
                <w:color w:val="auto"/>
                <w:w w:val="98"/>
              </w:rPr>
              <w:t>14.9%</w:t>
            </w:r>
          </w:p>
        </w:tc>
        <w:tc>
          <w:tcPr>
            <w:tcW w:w="1340" w:type="dxa"/>
            <w:vAlign w:val="bottom"/>
            <w:tcBorders>
              <w:right w:val="single" w:sz="8" w:color="auto"/>
            </w:tcBorders>
          </w:tcPr>
          <w:p>
            <w:pPr>
              <w:jc w:val="center"/>
              <w:ind w:left="193"/>
              <w:spacing w:after="0" w:line="103" w:lineRule="exact"/>
              <w:rPr>
                <w:sz w:val="20"/>
                <w:szCs w:val="20"/>
                <w:color w:val="auto"/>
              </w:rPr>
            </w:pPr>
            <w:r>
              <w:rPr>
                <w:rFonts w:ascii="Arial" w:cs="Arial" w:eastAsia="Arial" w:hAnsi="Arial"/>
                <w:sz w:val="10"/>
                <w:szCs w:val="10"/>
                <w:color w:val="auto"/>
                <w:w w:val="94"/>
              </w:rPr>
              <w:t>-41.7%</w:t>
            </w:r>
          </w:p>
        </w:tc>
      </w:tr>
      <w:tr>
        <w:trPr>
          <w:trHeight w:val="103"/>
        </w:trPr>
        <w:tc>
          <w:tcPr>
            <w:tcW w:w="454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Loan loss reserves</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3"/>
              </w:rPr>
              <w:t>170,901</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9"/>
              </w:rPr>
              <w:t>154,452</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3"/>
              </w:rPr>
              <w:t>150,127</w:t>
            </w:r>
          </w:p>
        </w:tc>
        <w:tc>
          <w:tcPr>
            <w:tcW w:w="700" w:type="dxa"/>
            <w:vAlign w:val="bottom"/>
          </w:tcPr>
          <w:p>
            <w:pPr>
              <w:jc w:val="center"/>
              <w:ind w:left="213"/>
              <w:spacing w:after="0" w:line="103" w:lineRule="exact"/>
              <w:rPr>
                <w:sz w:val="20"/>
                <w:szCs w:val="20"/>
                <w:color w:val="auto"/>
              </w:rPr>
            </w:pPr>
            <w:r>
              <w:rPr>
                <w:rFonts w:ascii="Arial" w:cs="Arial" w:eastAsia="Arial" w:hAnsi="Arial"/>
                <w:sz w:val="10"/>
                <w:szCs w:val="10"/>
                <w:color w:val="auto"/>
                <w:w w:val="91"/>
              </w:rPr>
              <w:t>-2.8%</w:t>
            </w:r>
          </w:p>
        </w:tc>
        <w:tc>
          <w:tcPr>
            <w:tcW w:w="1340" w:type="dxa"/>
            <w:vAlign w:val="bottom"/>
            <w:tcBorders>
              <w:right w:val="single" w:sz="8" w:color="auto"/>
            </w:tcBorders>
          </w:tcPr>
          <w:p>
            <w:pPr>
              <w:jc w:val="center"/>
              <w:ind w:left="193"/>
              <w:spacing w:after="0" w:line="103" w:lineRule="exact"/>
              <w:rPr>
                <w:sz w:val="20"/>
                <w:szCs w:val="20"/>
                <w:color w:val="auto"/>
              </w:rPr>
            </w:pPr>
            <w:r>
              <w:rPr>
                <w:rFonts w:ascii="Arial" w:cs="Arial" w:eastAsia="Arial" w:hAnsi="Arial"/>
                <w:sz w:val="10"/>
                <w:szCs w:val="10"/>
                <w:color w:val="auto"/>
                <w:w w:val="94"/>
              </w:rPr>
              <w:t>-12.2%</w:t>
            </w:r>
          </w:p>
        </w:tc>
      </w:tr>
      <w:tr>
        <w:trPr>
          <w:trHeight w:val="103"/>
        </w:trPr>
        <w:tc>
          <w:tcPr>
            <w:tcW w:w="454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Perpetual subordinated debt</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rPr>
              <w:t>-</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rPr>
              <w:t>-</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73"/>
              </w:rPr>
              <w:t>-</w:t>
            </w:r>
          </w:p>
        </w:tc>
        <w:tc>
          <w:tcPr>
            <w:tcW w:w="700" w:type="dxa"/>
            <w:vAlign w:val="bottom"/>
          </w:tcPr>
          <w:p>
            <w:pPr>
              <w:jc w:val="center"/>
              <w:ind w:left="233"/>
              <w:spacing w:after="0" w:line="103" w:lineRule="exact"/>
              <w:rPr>
                <w:sz w:val="20"/>
                <w:szCs w:val="20"/>
                <w:color w:val="auto"/>
              </w:rPr>
            </w:pPr>
            <w:r>
              <w:rPr>
                <w:rFonts w:ascii="Arial" w:cs="Arial" w:eastAsia="Arial" w:hAnsi="Arial"/>
                <w:sz w:val="10"/>
                <w:szCs w:val="10"/>
                <w:color w:val="auto"/>
              </w:rPr>
              <w:t>n.a</w:t>
            </w:r>
          </w:p>
        </w:tc>
        <w:tc>
          <w:tcPr>
            <w:tcW w:w="1340" w:type="dxa"/>
            <w:vAlign w:val="bottom"/>
            <w:tcBorders>
              <w:right w:val="single" w:sz="8" w:color="auto"/>
            </w:tcBorders>
          </w:tcPr>
          <w:p>
            <w:pPr>
              <w:ind w:left="720"/>
              <w:spacing w:after="0" w:line="103" w:lineRule="exact"/>
              <w:rPr>
                <w:sz w:val="20"/>
                <w:szCs w:val="20"/>
                <w:color w:val="auto"/>
              </w:rPr>
            </w:pPr>
            <w:r>
              <w:rPr>
                <w:rFonts w:ascii="Arial" w:cs="Arial" w:eastAsia="Arial" w:hAnsi="Arial"/>
                <w:sz w:val="10"/>
                <w:szCs w:val="10"/>
                <w:color w:val="auto"/>
              </w:rPr>
              <w:t>n.a.</w:t>
            </w:r>
          </w:p>
        </w:tc>
      </w:tr>
      <w:tr>
        <w:trPr>
          <w:trHeight w:val="103"/>
        </w:trPr>
        <w:tc>
          <w:tcPr>
            <w:tcW w:w="454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Subordinated debt</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3"/>
              </w:rPr>
              <w:t>173,000</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9"/>
              </w:rPr>
              <w:t>173,000</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3"/>
              </w:rPr>
              <w:t>167,000</w:t>
            </w:r>
          </w:p>
        </w:tc>
        <w:tc>
          <w:tcPr>
            <w:tcW w:w="700" w:type="dxa"/>
            <w:vAlign w:val="bottom"/>
          </w:tcPr>
          <w:p>
            <w:pPr>
              <w:jc w:val="center"/>
              <w:ind w:left="213"/>
              <w:spacing w:after="0" w:line="103" w:lineRule="exact"/>
              <w:rPr>
                <w:sz w:val="20"/>
                <w:szCs w:val="20"/>
                <w:color w:val="auto"/>
              </w:rPr>
            </w:pPr>
            <w:r>
              <w:rPr>
                <w:rFonts w:ascii="Arial" w:cs="Arial" w:eastAsia="Arial" w:hAnsi="Arial"/>
                <w:sz w:val="10"/>
                <w:szCs w:val="10"/>
                <w:color w:val="auto"/>
                <w:w w:val="91"/>
              </w:rPr>
              <w:t>-3.5%</w:t>
            </w:r>
          </w:p>
        </w:tc>
        <w:tc>
          <w:tcPr>
            <w:tcW w:w="1340" w:type="dxa"/>
            <w:vAlign w:val="bottom"/>
            <w:tcBorders>
              <w:right w:val="single" w:sz="8" w:color="auto"/>
            </w:tcBorders>
          </w:tcPr>
          <w:p>
            <w:pPr>
              <w:jc w:val="center"/>
              <w:ind w:left="213"/>
              <w:spacing w:after="0" w:line="103" w:lineRule="exact"/>
              <w:rPr>
                <w:sz w:val="20"/>
                <w:szCs w:val="20"/>
                <w:color w:val="auto"/>
              </w:rPr>
            </w:pPr>
            <w:r>
              <w:rPr>
                <w:rFonts w:ascii="Arial" w:cs="Arial" w:eastAsia="Arial" w:hAnsi="Arial"/>
                <w:sz w:val="10"/>
                <w:szCs w:val="10"/>
                <w:color w:val="auto"/>
                <w:w w:val="91"/>
              </w:rPr>
              <w:t>-3.5%</w:t>
            </w:r>
          </w:p>
        </w:tc>
      </w:tr>
      <w:tr>
        <w:trPr>
          <w:trHeight w:val="103"/>
        </w:trPr>
        <w:tc>
          <w:tcPr>
            <w:tcW w:w="454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Unrealidez Profit or Losses</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4"/>
              </w:rPr>
              <w:t>(4,727)</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rPr>
              <w:t>(4,984)</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(600)</w:t>
            </w:r>
          </w:p>
        </w:tc>
        <w:tc>
          <w:tcPr>
            <w:tcW w:w="700" w:type="dxa"/>
            <w:vAlign w:val="bottom"/>
          </w:tcPr>
          <w:p>
            <w:pPr>
              <w:jc w:val="center"/>
              <w:ind w:left="233"/>
              <w:spacing w:after="0" w:line="103" w:lineRule="exact"/>
              <w:rPr>
                <w:sz w:val="20"/>
                <w:szCs w:val="20"/>
                <w:color w:val="auto"/>
              </w:rPr>
            </w:pPr>
            <w:r>
              <w:rPr>
                <w:rFonts w:ascii="Arial" w:cs="Arial" w:eastAsia="Arial" w:hAnsi="Arial"/>
                <w:sz w:val="10"/>
                <w:szCs w:val="10"/>
                <w:color w:val="auto"/>
                <w:w w:val="94"/>
              </w:rPr>
              <w:t>-88.0%</w:t>
            </w:r>
          </w:p>
        </w:tc>
        <w:tc>
          <w:tcPr>
            <w:tcW w:w="1340" w:type="dxa"/>
            <w:vAlign w:val="bottom"/>
            <w:tcBorders>
              <w:right w:val="single" w:sz="8" w:color="auto"/>
            </w:tcBorders>
          </w:tcPr>
          <w:p>
            <w:pPr>
              <w:jc w:val="center"/>
              <w:ind w:left="193"/>
              <w:spacing w:after="0" w:line="103" w:lineRule="exact"/>
              <w:rPr>
                <w:sz w:val="20"/>
                <w:szCs w:val="20"/>
                <w:color w:val="auto"/>
              </w:rPr>
            </w:pPr>
            <w:r>
              <w:rPr>
                <w:rFonts w:ascii="Arial" w:cs="Arial" w:eastAsia="Arial" w:hAnsi="Arial"/>
                <w:sz w:val="10"/>
                <w:szCs w:val="10"/>
                <w:color w:val="auto"/>
                <w:w w:val="94"/>
              </w:rPr>
              <w:t>-87.3%</w:t>
            </w:r>
          </w:p>
        </w:tc>
      </w:tr>
      <w:tr>
        <w:trPr>
          <w:trHeight w:val="103"/>
        </w:trPr>
        <w:tc>
          <w:tcPr>
            <w:tcW w:w="454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Investment in subsidiaries and others, net of unrealized profit and net income in subsidiaries</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4"/>
              </w:rPr>
              <w:t>(275)</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rPr>
              <w:t>(283)</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(288)</w:t>
            </w:r>
          </w:p>
        </w:tc>
        <w:tc>
          <w:tcPr>
            <w:tcW w:w="700" w:type="dxa"/>
            <w:vAlign w:val="bottom"/>
          </w:tcPr>
          <w:p>
            <w:pPr>
              <w:jc w:val="center"/>
              <w:ind w:left="233"/>
              <w:spacing w:after="0" w:line="103" w:lineRule="exact"/>
              <w:rPr>
                <w:sz w:val="20"/>
                <w:szCs w:val="20"/>
                <w:color w:val="auto"/>
              </w:rPr>
            </w:pPr>
            <w:r>
              <w:rPr>
                <w:rFonts w:ascii="Arial" w:cs="Arial" w:eastAsia="Arial" w:hAnsi="Arial"/>
                <w:sz w:val="10"/>
                <w:szCs w:val="10"/>
                <w:color w:val="auto"/>
                <w:w w:val="96"/>
              </w:rPr>
              <w:t>1.6%</w:t>
            </w:r>
          </w:p>
        </w:tc>
        <w:tc>
          <w:tcPr>
            <w:tcW w:w="1340" w:type="dxa"/>
            <w:vAlign w:val="bottom"/>
            <w:tcBorders>
              <w:right w:val="single" w:sz="8" w:color="auto"/>
            </w:tcBorders>
          </w:tcPr>
          <w:p>
            <w:pPr>
              <w:jc w:val="center"/>
              <w:ind w:left="193"/>
              <w:spacing w:after="0" w:line="103" w:lineRule="exact"/>
              <w:rPr>
                <w:sz w:val="20"/>
                <w:szCs w:val="20"/>
                <w:color w:val="auto"/>
              </w:rPr>
            </w:pPr>
            <w:r>
              <w:rPr>
                <w:rFonts w:ascii="Arial" w:cs="Arial" w:eastAsia="Arial" w:hAnsi="Arial"/>
                <w:sz w:val="10"/>
                <w:szCs w:val="10"/>
                <w:color w:val="auto"/>
                <w:w w:val="96"/>
              </w:rPr>
              <w:t>4.6%</w:t>
            </w:r>
          </w:p>
        </w:tc>
      </w:tr>
      <w:tr>
        <w:trPr>
          <w:trHeight w:val="103"/>
        </w:trPr>
        <w:tc>
          <w:tcPr>
            <w:tcW w:w="454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Intangibles</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3"/>
              </w:rPr>
              <w:t>(138,239)</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3"/>
              </w:rPr>
              <w:t>(150,274)</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8"/>
              </w:rPr>
              <w:t>(123,177)</w:t>
            </w:r>
          </w:p>
        </w:tc>
        <w:tc>
          <w:tcPr>
            <w:tcW w:w="700" w:type="dxa"/>
            <w:vAlign w:val="bottom"/>
          </w:tcPr>
          <w:p>
            <w:pPr>
              <w:jc w:val="center"/>
              <w:ind w:left="233"/>
              <w:spacing w:after="0" w:line="103" w:lineRule="exact"/>
              <w:rPr>
                <w:sz w:val="20"/>
                <w:szCs w:val="20"/>
                <w:color w:val="auto"/>
              </w:rPr>
            </w:pPr>
            <w:r>
              <w:rPr>
                <w:rFonts w:ascii="Arial" w:cs="Arial" w:eastAsia="Arial" w:hAnsi="Arial"/>
                <w:sz w:val="10"/>
                <w:szCs w:val="10"/>
                <w:color w:val="auto"/>
                <w:w w:val="94"/>
              </w:rPr>
              <w:t>-18.0%</w:t>
            </w:r>
          </w:p>
        </w:tc>
        <w:tc>
          <w:tcPr>
            <w:tcW w:w="1340" w:type="dxa"/>
            <w:vAlign w:val="bottom"/>
            <w:tcBorders>
              <w:right w:val="single" w:sz="8" w:color="auto"/>
            </w:tcBorders>
          </w:tcPr>
          <w:p>
            <w:pPr>
              <w:jc w:val="center"/>
              <w:ind w:left="193"/>
              <w:spacing w:after="0" w:line="103" w:lineRule="exact"/>
              <w:rPr>
                <w:sz w:val="20"/>
                <w:szCs w:val="20"/>
                <w:color w:val="auto"/>
              </w:rPr>
            </w:pPr>
            <w:r>
              <w:rPr>
                <w:rFonts w:ascii="Arial" w:cs="Arial" w:eastAsia="Arial" w:hAnsi="Arial"/>
                <w:sz w:val="10"/>
                <w:szCs w:val="10"/>
                <w:color w:val="auto"/>
                <w:w w:val="94"/>
              </w:rPr>
              <w:t>-10.9%</w:t>
            </w:r>
          </w:p>
        </w:tc>
      </w:tr>
      <w:tr>
        <w:trPr>
          <w:trHeight w:val="115"/>
        </w:trPr>
        <w:tc>
          <w:tcPr>
            <w:tcW w:w="4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Goodwill</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3"/>
              </w:rPr>
              <w:t>(139,180)</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3"/>
              </w:rPr>
              <w:t>(139,180)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(139,180)</w:t>
            </w:r>
          </w:p>
        </w:tc>
        <w:tc>
          <w:tcPr>
            <w:tcW w:w="700" w:type="dxa"/>
            <w:vAlign w:val="bottom"/>
            <w:tcBorders>
              <w:bottom w:val="single" w:sz="8" w:color="auto"/>
            </w:tcBorders>
          </w:tcPr>
          <w:p>
            <w:pPr>
              <w:jc w:val="center"/>
              <w:ind w:left="233"/>
              <w:spacing w:after="0"/>
              <w:rPr>
                <w:sz w:val="20"/>
                <w:szCs w:val="20"/>
                <w:color w:val="auto"/>
              </w:rPr>
            </w:pPr>
            <w:r>
              <w:rPr>
                <w:rFonts w:ascii="Arial" w:cs="Arial" w:eastAsia="Arial" w:hAnsi="Arial"/>
                <w:sz w:val="10"/>
                <w:szCs w:val="10"/>
                <w:color w:val="auto"/>
                <w:w w:val="96"/>
              </w:rPr>
              <w:t>0.0%</w:t>
            </w:r>
          </w:p>
        </w:tc>
        <w:tc>
          <w:tcPr>
            <w:tcW w:w="1340" w:type="dxa"/>
            <w:vAlign w:val="bottom"/>
            <w:tcBorders>
              <w:bottom w:val="single" w:sz="8" w:color="auto"/>
              <w:right w:val="single" w:sz="8" w:color="auto"/>
            </w:tcBorders>
          </w:tcPr>
          <w:p>
            <w:pPr>
              <w:jc w:val="center"/>
              <w:ind w:left="193"/>
              <w:spacing w:after="0"/>
              <w:rPr>
                <w:sz w:val="20"/>
                <w:szCs w:val="20"/>
                <w:color w:val="auto"/>
              </w:rPr>
            </w:pPr>
            <w:r>
              <w:rPr>
                <w:rFonts w:ascii="Arial" w:cs="Arial" w:eastAsia="Arial" w:hAnsi="Arial"/>
                <w:sz w:val="10"/>
                <w:szCs w:val="10"/>
                <w:color w:val="auto"/>
                <w:w w:val="96"/>
              </w:rPr>
              <w:t>0.0%</w:t>
            </w:r>
          </w:p>
        </w:tc>
      </w:tr>
      <w:tr>
        <w:trPr>
          <w:trHeight w:val="93"/>
        </w:trPr>
        <w:tc>
          <w:tcPr>
            <w:tcW w:w="4540" w:type="dxa"/>
            <w:vAlign w:val="bottom"/>
            <w:tcBorders>
              <w:left w:val="single" w:sz="8" w:color="auto"/>
              <w:bottom w:val="single" w:sz="8" w:color="auto"/>
              <w:right w:val="single" w:sz="8" w:color="auto"/>
            </w:tcBorders>
          </w:tcPr>
          <w:p>
            <w:pPr>
              <w:ind w:left="20"/>
              <w:spacing w:after="0" w:line="93" w:lineRule="exact"/>
              <w:rPr>
                <w:sz w:val="20"/>
                <w:szCs w:val="20"/>
                <w:color w:val="auto"/>
              </w:rPr>
            </w:pPr>
            <w:r>
              <w:rPr>
                <w:rFonts w:ascii="Arial" w:cs="Arial" w:eastAsia="Arial" w:hAnsi="Arial"/>
                <w:sz w:val="10"/>
                <w:szCs w:val="10"/>
                <w:b w:val="1"/>
                <w:bCs w:val="1"/>
                <w:color w:val="auto"/>
              </w:rPr>
              <w:t>Total Regulatory Capital</w:t>
            </w:r>
          </w:p>
        </w:tc>
        <w:tc>
          <w:tcPr>
            <w:tcW w:w="98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4"/>
              </w:rPr>
              <w:t>2,821,292</w:t>
            </w:r>
          </w:p>
        </w:tc>
        <w:tc>
          <w:tcPr>
            <w:tcW w:w="10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8"/>
              </w:rPr>
              <w:t>2,518,105</w:t>
            </w:r>
          </w:p>
        </w:tc>
        <w:tc>
          <w:tcPr>
            <w:tcW w:w="104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4"/>
              </w:rPr>
              <w:t>2,585,586</w:t>
            </w:r>
          </w:p>
        </w:tc>
        <w:tc>
          <w:tcPr>
            <w:tcW w:w="700" w:type="dxa"/>
            <w:vAlign w:val="bottom"/>
            <w:tcBorders>
              <w:bottom w:val="single" w:sz="8" w:color="auto"/>
            </w:tcBorders>
          </w:tcPr>
          <w:p>
            <w:pPr>
              <w:jc w:val="center"/>
              <w:ind w:left="233"/>
              <w:spacing w:after="0" w:line="93" w:lineRule="exact"/>
              <w:rPr>
                <w:sz w:val="20"/>
                <w:szCs w:val="20"/>
                <w:color w:val="auto"/>
              </w:rPr>
            </w:pPr>
            <w:r>
              <w:rPr>
                <w:rFonts w:ascii="Arial" w:cs="Arial" w:eastAsia="Arial" w:hAnsi="Arial"/>
                <w:sz w:val="10"/>
                <w:szCs w:val="10"/>
                <w:b w:val="1"/>
                <w:bCs w:val="1"/>
                <w:color w:val="auto"/>
                <w:w w:val="96"/>
              </w:rPr>
              <w:t>2.7%</w:t>
            </w:r>
          </w:p>
        </w:tc>
        <w:tc>
          <w:tcPr>
            <w:tcW w:w="1340" w:type="dxa"/>
            <w:vAlign w:val="bottom"/>
            <w:tcBorders>
              <w:bottom w:val="single" w:sz="8" w:color="auto"/>
              <w:right w:val="single" w:sz="8" w:color="auto"/>
            </w:tcBorders>
          </w:tcPr>
          <w:p>
            <w:pPr>
              <w:jc w:val="center"/>
              <w:ind w:left="213"/>
              <w:spacing w:after="0" w:line="93" w:lineRule="exact"/>
              <w:rPr>
                <w:sz w:val="20"/>
                <w:szCs w:val="20"/>
                <w:color w:val="auto"/>
              </w:rPr>
            </w:pPr>
            <w:r>
              <w:rPr>
                <w:rFonts w:ascii="Arial" w:cs="Arial" w:eastAsia="Arial" w:hAnsi="Arial"/>
                <w:sz w:val="10"/>
                <w:szCs w:val="10"/>
                <w:b w:val="1"/>
                <w:bCs w:val="1"/>
                <w:color w:val="auto"/>
                <w:w w:val="91"/>
              </w:rPr>
              <w:t>-8.4%</w:t>
            </w:r>
          </w:p>
        </w:tc>
      </w:tr>
      <w:tr>
        <w:trPr>
          <w:trHeight w:val="93"/>
        </w:trPr>
        <w:tc>
          <w:tcPr>
            <w:tcW w:w="4540" w:type="dxa"/>
            <w:vAlign w:val="bottom"/>
            <w:tcBorders>
              <w:left w:val="single" w:sz="8" w:color="auto"/>
              <w:bottom w:val="single" w:sz="8" w:color="auto"/>
              <w:right w:val="single" w:sz="8" w:color="auto"/>
            </w:tcBorders>
          </w:tcPr>
          <w:p>
            <w:pPr>
              <w:ind w:left="20"/>
              <w:spacing w:after="0" w:line="93" w:lineRule="exact"/>
              <w:rPr>
                <w:sz w:val="20"/>
                <w:szCs w:val="20"/>
                <w:color w:val="auto"/>
              </w:rPr>
            </w:pPr>
            <w:r>
              <w:rPr>
                <w:rFonts w:ascii="Arial" w:cs="Arial" w:eastAsia="Arial" w:hAnsi="Arial"/>
                <w:sz w:val="10"/>
                <w:szCs w:val="10"/>
                <w:b w:val="1"/>
                <w:bCs w:val="1"/>
                <w:color w:val="auto"/>
              </w:rPr>
              <w:t>Tier Common Equity (2)</w:t>
            </w:r>
          </w:p>
        </w:tc>
        <w:tc>
          <w:tcPr>
            <w:tcW w:w="98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4"/>
              </w:rPr>
              <w:t>2,477,391</w:t>
            </w:r>
          </w:p>
        </w:tc>
        <w:tc>
          <w:tcPr>
            <w:tcW w:w="10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8"/>
              </w:rPr>
              <w:t>2,190,653</w:t>
            </w:r>
          </w:p>
        </w:tc>
        <w:tc>
          <w:tcPr>
            <w:tcW w:w="104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4"/>
              </w:rPr>
              <w:t>2,268,460</w:t>
            </w:r>
          </w:p>
        </w:tc>
        <w:tc>
          <w:tcPr>
            <w:tcW w:w="700" w:type="dxa"/>
            <w:vAlign w:val="bottom"/>
            <w:tcBorders>
              <w:bottom w:val="single" w:sz="8" w:color="auto"/>
            </w:tcBorders>
          </w:tcPr>
          <w:p>
            <w:pPr>
              <w:jc w:val="center"/>
              <w:ind w:left="233"/>
              <w:spacing w:after="0" w:line="93" w:lineRule="exact"/>
              <w:rPr>
                <w:sz w:val="20"/>
                <w:szCs w:val="20"/>
                <w:color w:val="auto"/>
              </w:rPr>
            </w:pPr>
            <w:r>
              <w:rPr>
                <w:rFonts w:ascii="Arial" w:cs="Arial" w:eastAsia="Arial" w:hAnsi="Arial"/>
                <w:sz w:val="10"/>
                <w:szCs w:val="10"/>
                <w:b w:val="1"/>
                <w:bCs w:val="1"/>
                <w:color w:val="auto"/>
                <w:w w:val="96"/>
              </w:rPr>
              <w:t>3.6%</w:t>
            </w:r>
          </w:p>
        </w:tc>
        <w:tc>
          <w:tcPr>
            <w:tcW w:w="1340" w:type="dxa"/>
            <w:vAlign w:val="bottom"/>
            <w:tcBorders>
              <w:bottom w:val="single" w:sz="8" w:color="auto"/>
              <w:right w:val="single" w:sz="8" w:color="auto"/>
            </w:tcBorders>
          </w:tcPr>
          <w:p>
            <w:pPr>
              <w:jc w:val="center"/>
              <w:ind w:left="213"/>
              <w:spacing w:after="0" w:line="93" w:lineRule="exact"/>
              <w:rPr>
                <w:sz w:val="20"/>
                <w:szCs w:val="20"/>
                <w:color w:val="auto"/>
              </w:rPr>
            </w:pPr>
            <w:r>
              <w:rPr>
                <w:rFonts w:ascii="Arial" w:cs="Arial" w:eastAsia="Arial" w:hAnsi="Arial"/>
                <w:sz w:val="10"/>
                <w:szCs w:val="10"/>
                <w:b w:val="1"/>
                <w:bCs w:val="1"/>
                <w:color w:val="auto"/>
                <w:w w:val="91"/>
              </w:rPr>
              <w:t>-8.4%</w:t>
            </w:r>
          </w:p>
        </w:tc>
      </w:tr>
      <w:tr>
        <w:trPr>
          <w:trHeight w:val="93"/>
        </w:trPr>
        <w:tc>
          <w:tcPr>
            <w:tcW w:w="4540" w:type="dxa"/>
            <w:vAlign w:val="bottom"/>
            <w:tcBorders>
              <w:left w:val="single" w:sz="8" w:color="auto"/>
              <w:bottom w:val="single" w:sz="8" w:color="auto"/>
              <w:right w:val="single" w:sz="8" w:color="auto"/>
            </w:tcBorders>
          </w:tcPr>
          <w:p>
            <w:pPr>
              <w:ind w:left="20"/>
              <w:spacing w:after="0" w:line="93" w:lineRule="exact"/>
              <w:rPr>
                <w:sz w:val="20"/>
                <w:szCs w:val="20"/>
                <w:color w:val="auto"/>
              </w:rPr>
            </w:pPr>
            <w:r>
              <w:rPr>
                <w:rFonts w:ascii="Arial" w:cs="Arial" w:eastAsia="Arial" w:hAnsi="Arial"/>
                <w:sz w:val="10"/>
                <w:szCs w:val="10"/>
                <w:b w:val="1"/>
                <w:bCs w:val="1"/>
                <w:color w:val="auto"/>
              </w:rPr>
              <w:t>Regulatory Tier 1 Capital (3)</w:t>
            </w:r>
          </w:p>
        </w:tc>
        <w:tc>
          <w:tcPr>
            <w:tcW w:w="98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4"/>
              </w:rPr>
              <w:t>2,477,391</w:t>
            </w:r>
          </w:p>
        </w:tc>
        <w:tc>
          <w:tcPr>
            <w:tcW w:w="10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8"/>
              </w:rPr>
              <w:t>2,190,653</w:t>
            </w:r>
          </w:p>
        </w:tc>
        <w:tc>
          <w:tcPr>
            <w:tcW w:w="104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4"/>
              </w:rPr>
              <w:t>2,268,460</w:t>
            </w:r>
          </w:p>
        </w:tc>
        <w:tc>
          <w:tcPr>
            <w:tcW w:w="700" w:type="dxa"/>
            <w:vAlign w:val="bottom"/>
            <w:tcBorders>
              <w:bottom w:val="single" w:sz="8" w:color="auto"/>
            </w:tcBorders>
          </w:tcPr>
          <w:p>
            <w:pPr>
              <w:jc w:val="center"/>
              <w:ind w:left="233"/>
              <w:spacing w:after="0" w:line="93" w:lineRule="exact"/>
              <w:rPr>
                <w:sz w:val="20"/>
                <w:szCs w:val="20"/>
                <w:color w:val="auto"/>
              </w:rPr>
            </w:pPr>
            <w:r>
              <w:rPr>
                <w:rFonts w:ascii="Arial" w:cs="Arial" w:eastAsia="Arial" w:hAnsi="Arial"/>
                <w:sz w:val="10"/>
                <w:szCs w:val="10"/>
                <w:b w:val="1"/>
                <w:bCs w:val="1"/>
                <w:color w:val="auto"/>
                <w:w w:val="96"/>
              </w:rPr>
              <w:t>3.6%</w:t>
            </w:r>
          </w:p>
        </w:tc>
        <w:tc>
          <w:tcPr>
            <w:tcW w:w="1340" w:type="dxa"/>
            <w:vAlign w:val="bottom"/>
            <w:tcBorders>
              <w:bottom w:val="single" w:sz="8" w:color="auto"/>
              <w:right w:val="single" w:sz="8" w:color="auto"/>
            </w:tcBorders>
          </w:tcPr>
          <w:p>
            <w:pPr>
              <w:jc w:val="center"/>
              <w:ind w:left="213"/>
              <w:spacing w:after="0" w:line="93" w:lineRule="exact"/>
              <w:rPr>
                <w:sz w:val="20"/>
                <w:szCs w:val="20"/>
                <w:color w:val="auto"/>
              </w:rPr>
            </w:pPr>
            <w:r>
              <w:rPr>
                <w:rFonts w:ascii="Arial" w:cs="Arial" w:eastAsia="Arial" w:hAnsi="Arial"/>
                <w:sz w:val="10"/>
                <w:szCs w:val="10"/>
                <w:b w:val="1"/>
                <w:bCs w:val="1"/>
                <w:color w:val="auto"/>
                <w:w w:val="91"/>
              </w:rPr>
              <w:t>-8.4%</w:t>
            </w:r>
          </w:p>
        </w:tc>
      </w:tr>
      <w:tr>
        <w:trPr>
          <w:trHeight w:val="93"/>
        </w:trPr>
        <w:tc>
          <w:tcPr>
            <w:tcW w:w="4540" w:type="dxa"/>
            <w:vAlign w:val="bottom"/>
            <w:tcBorders>
              <w:left w:val="single" w:sz="8" w:color="auto"/>
              <w:bottom w:val="single" w:sz="8" w:color="auto"/>
              <w:right w:val="single" w:sz="8" w:color="auto"/>
            </w:tcBorders>
          </w:tcPr>
          <w:p>
            <w:pPr>
              <w:ind w:left="20"/>
              <w:spacing w:after="0" w:line="93" w:lineRule="exact"/>
              <w:rPr>
                <w:sz w:val="20"/>
                <w:szCs w:val="20"/>
                <w:color w:val="auto"/>
              </w:rPr>
            </w:pPr>
            <w:r>
              <w:rPr>
                <w:rFonts w:ascii="Arial" w:cs="Arial" w:eastAsia="Arial" w:hAnsi="Arial"/>
                <w:sz w:val="10"/>
                <w:szCs w:val="10"/>
                <w:b w:val="1"/>
                <w:bCs w:val="1"/>
                <w:color w:val="auto"/>
              </w:rPr>
              <w:t>Regulatory Tier 2 Capital (4)</w:t>
            </w:r>
          </w:p>
        </w:tc>
        <w:tc>
          <w:tcPr>
            <w:tcW w:w="98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3"/>
              </w:rPr>
              <w:t>343,901</w:t>
            </w:r>
          </w:p>
        </w:tc>
        <w:tc>
          <w:tcPr>
            <w:tcW w:w="10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9"/>
              </w:rPr>
              <w:t>327,452</w:t>
            </w:r>
          </w:p>
        </w:tc>
        <w:tc>
          <w:tcPr>
            <w:tcW w:w="104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3"/>
              </w:rPr>
              <w:t>317,127</w:t>
            </w:r>
          </w:p>
        </w:tc>
        <w:tc>
          <w:tcPr>
            <w:tcW w:w="700" w:type="dxa"/>
            <w:vAlign w:val="bottom"/>
            <w:tcBorders>
              <w:bottom w:val="single" w:sz="8" w:color="auto"/>
            </w:tcBorders>
          </w:tcPr>
          <w:p>
            <w:pPr>
              <w:jc w:val="center"/>
              <w:ind w:left="213"/>
              <w:spacing w:after="0" w:line="93" w:lineRule="exact"/>
              <w:rPr>
                <w:sz w:val="20"/>
                <w:szCs w:val="20"/>
                <w:color w:val="auto"/>
              </w:rPr>
            </w:pPr>
            <w:r>
              <w:rPr>
                <w:rFonts w:ascii="Arial" w:cs="Arial" w:eastAsia="Arial" w:hAnsi="Arial"/>
                <w:sz w:val="10"/>
                <w:szCs w:val="10"/>
                <w:b w:val="1"/>
                <w:bCs w:val="1"/>
                <w:color w:val="auto"/>
                <w:w w:val="91"/>
              </w:rPr>
              <w:t>-3.2%</w:t>
            </w:r>
          </w:p>
        </w:tc>
        <w:tc>
          <w:tcPr>
            <w:tcW w:w="1340" w:type="dxa"/>
            <w:vAlign w:val="bottom"/>
            <w:tcBorders>
              <w:bottom w:val="single" w:sz="8" w:color="auto"/>
              <w:right w:val="single" w:sz="8" w:color="auto"/>
            </w:tcBorders>
          </w:tcPr>
          <w:p>
            <w:pPr>
              <w:jc w:val="center"/>
              <w:ind w:left="213"/>
              <w:spacing w:after="0" w:line="93" w:lineRule="exact"/>
              <w:rPr>
                <w:sz w:val="20"/>
                <w:szCs w:val="20"/>
                <w:color w:val="auto"/>
              </w:rPr>
            </w:pPr>
            <w:r>
              <w:rPr>
                <w:rFonts w:ascii="Arial" w:cs="Arial" w:eastAsia="Arial" w:hAnsi="Arial"/>
                <w:sz w:val="10"/>
                <w:szCs w:val="10"/>
                <w:b w:val="1"/>
                <w:bCs w:val="1"/>
                <w:color w:val="auto"/>
                <w:w w:val="91"/>
              </w:rPr>
              <w:t>-7.8%</w:t>
            </w:r>
          </w:p>
        </w:tc>
      </w:tr>
      <w:tr>
        <w:trPr>
          <w:trHeight w:val="93"/>
        </w:trPr>
        <w:tc>
          <w:tcPr>
            <w:tcW w:w="45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r>
      <w:tr>
        <w:trPr>
          <w:trHeight w:val="79"/>
        </w:trPr>
        <w:tc>
          <w:tcPr>
            <w:tcW w:w="4540" w:type="dxa"/>
            <w:vAlign w:val="bottom"/>
            <w:tcBorders>
              <w:left w:val="single" w:sz="8" w:color="auto"/>
              <w:right w:val="single" w:sz="8" w:color="auto"/>
            </w:tcBorders>
            <w:shd w:val="clear" w:color="auto" w:fill="2AD2C9"/>
          </w:tcPr>
          <w:p>
            <w:pPr>
              <w:ind w:left="20"/>
              <w:spacing w:after="0" w:line="79" w:lineRule="exact"/>
              <w:rPr>
                <w:sz w:val="20"/>
                <w:szCs w:val="20"/>
                <w:color w:val="auto"/>
              </w:rPr>
            </w:pPr>
            <w:r>
              <w:rPr>
                <w:rFonts w:ascii="Arial" w:cs="Arial" w:eastAsia="Arial" w:hAnsi="Arial"/>
                <w:sz w:val="8"/>
                <w:szCs w:val="8"/>
                <w:b w:val="1"/>
                <w:bCs w:val="1"/>
                <w:color w:val="FFFFFF"/>
              </w:rPr>
              <w:t>Total risk-weighted assets</w:t>
            </w:r>
          </w:p>
        </w:tc>
        <w:tc>
          <w:tcPr>
            <w:tcW w:w="980" w:type="dxa"/>
            <w:vAlign w:val="bottom"/>
            <w:shd w:val="clear" w:color="auto" w:fill="2AD2C9"/>
          </w:tcPr>
          <w:p>
            <w:pPr>
              <w:spacing w:after="0"/>
              <w:rPr>
                <w:sz w:val="6"/>
                <w:szCs w:val="6"/>
                <w:color w:val="auto"/>
              </w:rPr>
            </w:pPr>
          </w:p>
        </w:tc>
        <w:tc>
          <w:tcPr>
            <w:tcW w:w="1000" w:type="dxa"/>
            <w:vAlign w:val="bottom"/>
            <w:shd w:val="clear" w:color="auto" w:fill="2AD2C9"/>
          </w:tcPr>
          <w:p>
            <w:pPr>
              <w:jc w:val="center"/>
              <w:spacing w:after="0" w:line="79" w:lineRule="exact"/>
              <w:rPr>
                <w:sz w:val="20"/>
                <w:szCs w:val="20"/>
                <w:color w:val="auto"/>
              </w:rPr>
            </w:pPr>
            <w:r>
              <w:rPr>
                <w:rFonts w:ascii="Arial" w:cs="Arial" w:eastAsia="Arial" w:hAnsi="Arial"/>
                <w:sz w:val="8"/>
                <w:szCs w:val="8"/>
                <w:b w:val="1"/>
                <w:bCs w:val="1"/>
                <w:color w:val="FFFFFF"/>
              </w:rPr>
              <w:t>Quarter</w:t>
            </w:r>
          </w:p>
        </w:tc>
        <w:tc>
          <w:tcPr>
            <w:tcW w:w="1040" w:type="dxa"/>
            <w:vAlign w:val="bottom"/>
            <w:tcBorders>
              <w:right w:val="single" w:sz="8" w:color="auto"/>
            </w:tcBorders>
            <w:shd w:val="clear" w:color="auto" w:fill="2AD2C9"/>
          </w:tcPr>
          <w:p>
            <w:pPr>
              <w:spacing w:after="0"/>
              <w:rPr>
                <w:sz w:val="6"/>
                <w:szCs w:val="6"/>
                <w:color w:val="auto"/>
              </w:rPr>
            </w:pPr>
          </w:p>
        </w:tc>
        <w:tc>
          <w:tcPr>
            <w:tcW w:w="700" w:type="dxa"/>
            <w:vAlign w:val="bottom"/>
            <w:shd w:val="clear" w:color="auto" w:fill="2AD2C9"/>
          </w:tcPr>
          <w:p>
            <w:pPr>
              <w:spacing w:after="0"/>
              <w:rPr>
                <w:sz w:val="6"/>
                <w:szCs w:val="6"/>
                <w:color w:val="auto"/>
              </w:rPr>
            </w:pPr>
          </w:p>
        </w:tc>
        <w:tc>
          <w:tcPr>
            <w:tcW w:w="1340" w:type="dxa"/>
            <w:vAlign w:val="bottom"/>
            <w:tcBorders>
              <w:right w:val="single" w:sz="8" w:color="auto"/>
            </w:tcBorders>
            <w:shd w:val="clear" w:color="auto" w:fill="2AD2C9"/>
          </w:tcPr>
          <w:p>
            <w:pPr>
              <w:ind w:left="60"/>
              <w:spacing w:after="0" w:line="79" w:lineRule="exact"/>
              <w:rPr>
                <w:sz w:val="20"/>
                <w:szCs w:val="20"/>
                <w:color w:val="auto"/>
              </w:rPr>
            </w:pPr>
            <w:r>
              <w:rPr>
                <w:rFonts w:ascii="Arial" w:cs="Arial" w:eastAsia="Arial" w:hAnsi="Arial"/>
                <w:sz w:val="8"/>
                <w:szCs w:val="8"/>
                <w:b w:val="1"/>
                <w:bCs w:val="1"/>
                <w:color w:val="FFFFFF"/>
              </w:rPr>
              <w:t>% change</w:t>
            </w:r>
          </w:p>
        </w:tc>
      </w:tr>
      <w:tr>
        <w:trPr>
          <w:trHeight w:val="117"/>
        </w:trPr>
        <w:tc>
          <w:tcPr>
            <w:tcW w:w="4540" w:type="dxa"/>
            <w:vAlign w:val="bottom"/>
            <w:tcBorders>
              <w:left w:val="single" w:sz="8" w:color="auto"/>
              <w:bottom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0"/>
                <w:szCs w:val="10"/>
                <w:color w:val="FFFFFF"/>
              </w:rPr>
              <w:t>(S/ thousand)</w:t>
            </w:r>
          </w:p>
        </w:tc>
        <w:tc>
          <w:tcPr>
            <w:tcW w:w="98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0"/>
                <w:szCs w:val="10"/>
                <w:b w:val="1"/>
                <w:bCs w:val="1"/>
                <w:color w:val="FFFFFF"/>
              </w:rPr>
              <w:t>Jun 23</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rPr>
              <w:t>Mar 24</w:t>
            </w:r>
          </w:p>
        </w:tc>
        <w:tc>
          <w:tcPr>
            <w:tcW w:w="1040" w:type="dxa"/>
            <w:vAlign w:val="bottom"/>
            <w:tcBorders>
              <w:bottom w:val="single" w:sz="8" w:color="auto"/>
              <w:right w:val="single" w:sz="8" w:color="auto"/>
            </w:tcBorders>
            <w:shd w:val="clear" w:color="auto" w:fill="2AD2C9"/>
          </w:tcPr>
          <w:p>
            <w:pPr>
              <w:ind w:left="360"/>
              <w:spacing w:after="0"/>
              <w:rPr>
                <w:sz w:val="20"/>
                <w:szCs w:val="20"/>
                <w:color w:val="auto"/>
              </w:rPr>
            </w:pPr>
            <w:r>
              <w:rPr>
                <w:rFonts w:ascii="Arial" w:cs="Arial" w:eastAsia="Arial" w:hAnsi="Arial"/>
                <w:sz w:val="10"/>
                <w:szCs w:val="10"/>
                <w:b w:val="1"/>
                <w:bCs w:val="1"/>
                <w:color w:val="FFFFFF"/>
              </w:rPr>
              <w:t>Jun 24</w:t>
            </w:r>
          </w:p>
        </w:tc>
        <w:tc>
          <w:tcPr>
            <w:tcW w:w="700" w:type="dxa"/>
            <w:vAlign w:val="bottom"/>
            <w:tcBorders>
              <w:bottom w:val="single" w:sz="8" w:color="auto"/>
            </w:tcBorders>
            <w:shd w:val="clear" w:color="auto" w:fill="2AD2C9"/>
          </w:tcPr>
          <w:p>
            <w:pPr>
              <w:jc w:val="center"/>
              <w:ind w:left="213"/>
              <w:spacing w:after="0"/>
              <w:rPr>
                <w:sz w:val="20"/>
                <w:szCs w:val="20"/>
                <w:color w:val="auto"/>
              </w:rPr>
            </w:pPr>
            <w:r>
              <w:rPr>
                <w:rFonts w:ascii="Arial" w:cs="Arial" w:eastAsia="Arial" w:hAnsi="Arial"/>
                <w:sz w:val="10"/>
                <w:szCs w:val="10"/>
                <w:b w:val="1"/>
                <w:bCs w:val="1"/>
                <w:color w:val="FFFFFF"/>
                <w:w w:val="92"/>
              </w:rPr>
              <w:t>QoQ</w:t>
            </w:r>
          </w:p>
        </w:tc>
        <w:tc>
          <w:tcPr>
            <w:tcW w:w="1340" w:type="dxa"/>
            <w:vAlign w:val="bottom"/>
            <w:tcBorders>
              <w:bottom w:val="single" w:sz="8" w:color="auto"/>
              <w:right w:val="single" w:sz="8" w:color="auto"/>
            </w:tcBorders>
            <w:shd w:val="clear" w:color="auto" w:fill="2AD2C9"/>
          </w:tcPr>
          <w:p>
            <w:pPr>
              <w:ind w:left="700"/>
              <w:spacing w:after="0"/>
              <w:rPr>
                <w:sz w:val="20"/>
                <w:szCs w:val="20"/>
                <w:color w:val="auto"/>
              </w:rPr>
            </w:pPr>
            <w:r>
              <w:rPr>
                <w:rFonts w:ascii="Arial" w:cs="Arial" w:eastAsia="Arial" w:hAnsi="Arial"/>
                <w:sz w:val="10"/>
                <w:szCs w:val="10"/>
                <w:b w:val="1"/>
                <w:bCs w:val="1"/>
                <w:color w:val="FFFFFF"/>
              </w:rPr>
              <w:t>YoY</w:t>
            </w:r>
          </w:p>
        </w:tc>
      </w:tr>
      <w:tr>
        <w:trPr>
          <w:trHeight w:val="81"/>
        </w:trPr>
        <w:tc>
          <w:tcPr>
            <w:tcW w:w="4540" w:type="dxa"/>
            <w:vAlign w:val="bottom"/>
            <w:tcBorders>
              <w:left w:val="single" w:sz="8" w:color="auto"/>
              <w:right w:val="single" w:sz="8" w:color="auto"/>
            </w:tcBorders>
          </w:tcPr>
          <w:p>
            <w:pPr>
              <w:ind w:left="20"/>
              <w:spacing w:after="0" w:line="81" w:lineRule="exact"/>
              <w:rPr>
                <w:sz w:val="20"/>
                <w:szCs w:val="20"/>
                <w:color w:val="auto"/>
              </w:rPr>
            </w:pPr>
            <w:r>
              <w:rPr>
                <w:rFonts w:ascii="Arial" w:cs="Arial" w:eastAsia="Arial" w:hAnsi="Arial"/>
                <w:sz w:val="8"/>
                <w:szCs w:val="8"/>
                <w:color w:val="auto"/>
              </w:rPr>
              <w:t>Market risk-weighted assets</w:t>
            </w:r>
          </w:p>
        </w:tc>
        <w:tc>
          <w:tcPr>
            <w:tcW w:w="980" w:type="dxa"/>
            <w:vAlign w:val="bottom"/>
          </w:tcPr>
          <w:p>
            <w:pPr>
              <w:jc w:val="center"/>
              <w:spacing w:after="0" w:line="81" w:lineRule="exact"/>
              <w:rPr>
                <w:sz w:val="20"/>
                <w:szCs w:val="20"/>
                <w:color w:val="auto"/>
              </w:rPr>
            </w:pPr>
            <w:r>
              <w:rPr>
                <w:rFonts w:ascii="Arial" w:cs="Arial" w:eastAsia="Arial" w:hAnsi="Arial"/>
                <w:sz w:val="8"/>
                <w:szCs w:val="8"/>
                <w:color w:val="auto"/>
              </w:rPr>
              <w:t>181,227</w:t>
            </w:r>
          </w:p>
        </w:tc>
        <w:tc>
          <w:tcPr>
            <w:tcW w:w="1000" w:type="dxa"/>
            <w:vAlign w:val="bottom"/>
          </w:tcPr>
          <w:p>
            <w:pPr>
              <w:jc w:val="center"/>
              <w:spacing w:after="0" w:line="81" w:lineRule="exact"/>
              <w:rPr>
                <w:sz w:val="20"/>
                <w:szCs w:val="20"/>
                <w:color w:val="auto"/>
              </w:rPr>
            </w:pPr>
            <w:r>
              <w:rPr>
                <w:rFonts w:ascii="Arial" w:cs="Arial" w:eastAsia="Arial" w:hAnsi="Arial"/>
                <w:sz w:val="8"/>
                <w:szCs w:val="8"/>
                <w:color w:val="auto"/>
              </w:rPr>
              <w:t>252,255</w:t>
            </w:r>
          </w:p>
        </w:tc>
        <w:tc>
          <w:tcPr>
            <w:tcW w:w="104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249,120</w:t>
            </w:r>
          </w:p>
        </w:tc>
        <w:tc>
          <w:tcPr>
            <w:tcW w:w="700" w:type="dxa"/>
            <w:vAlign w:val="bottom"/>
          </w:tcPr>
          <w:p>
            <w:pPr>
              <w:jc w:val="center"/>
              <w:ind w:left="213"/>
              <w:spacing w:after="0" w:line="81" w:lineRule="exact"/>
              <w:rPr>
                <w:sz w:val="20"/>
                <w:szCs w:val="20"/>
                <w:color w:val="auto"/>
              </w:rPr>
            </w:pPr>
            <w:r>
              <w:rPr>
                <w:rFonts w:ascii="Arial" w:cs="Arial" w:eastAsia="Arial" w:hAnsi="Arial"/>
                <w:sz w:val="8"/>
                <w:szCs w:val="8"/>
                <w:color w:val="auto"/>
              </w:rPr>
              <w:t>-1.2%</w:t>
            </w:r>
          </w:p>
        </w:tc>
        <w:tc>
          <w:tcPr>
            <w:tcW w:w="1340" w:type="dxa"/>
            <w:vAlign w:val="bottom"/>
            <w:tcBorders>
              <w:right w:val="single" w:sz="8" w:color="auto"/>
            </w:tcBorders>
          </w:tcPr>
          <w:p>
            <w:pPr>
              <w:jc w:val="center"/>
              <w:ind w:left="213"/>
              <w:spacing w:after="0" w:line="81" w:lineRule="exact"/>
              <w:rPr>
                <w:sz w:val="20"/>
                <w:szCs w:val="20"/>
                <w:color w:val="auto"/>
              </w:rPr>
            </w:pPr>
            <w:r>
              <w:rPr>
                <w:rFonts w:ascii="Arial" w:cs="Arial" w:eastAsia="Arial" w:hAnsi="Arial"/>
                <w:sz w:val="8"/>
                <w:szCs w:val="8"/>
                <w:color w:val="auto"/>
              </w:rPr>
              <w:t>37.5%</w:t>
            </w:r>
          </w:p>
        </w:tc>
      </w:tr>
      <w:tr>
        <w:trPr>
          <w:trHeight w:val="103"/>
        </w:trPr>
        <w:tc>
          <w:tcPr>
            <w:tcW w:w="454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Credit risk-weighted assets</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5"/>
              </w:rPr>
              <w:t>13,372,354</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5"/>
              </w:rPr>
              <w:t>12,151,596</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1"/>
              </w:rPr>
              <w:t>11,811,650</w:t>
            </w:r>
          </w:p>
        </w:tc>
        <w:tc>
          <w:tcPr>
            <w:tcW w:w="700" w:type="dxa"/>
            <w:vAlign w:val="bottom"/>
          </w:tcPr>
          <w:p>
            <w:pPr>
              <w:jc w:val="center"/>
              <w:ind w:left="213"/>
              <w:spacing w:after="0" w:line="103" w:lineRule="exact"/>
              <w:rPr>
                <w:sz w:val="20"/>
                <w:szCs w:val="20"/>
                <w:color w:val="auto"/>
              </w:rPr>
            </w:pPr>
            <w:r>
              <w:rPr>
                <w:rFonts w:ascii="Arial" w:cs="Arial" w:eastAsia="Arial" w:hAnsi="Arial"/>
                <w:sz w:val="10"/>
                <w:szCs w:val="10"/>
                <w:color w:val="auto"/>
                <w:w w:val="91"/>
              </w:rPr>
              <w:t>-2.8%</w:t>
            </w:r>
          </w:p>
        </w:tc>
        <w:tc>
          <w:tcPr>
            <w:tcW w:w="1340" w:type="dxa"/>
            <w:vAlign w:val="bottom"/>
            <w:tcBorders>
              <w:right w:val="single" w:sz="8" w:color="auto"/>
            </w:tcBorders>
          </w:tcPr>
          <w:p>
            <w:pPr>
              <w:jc w:val="center"/>
              <w:ind w:left="193"/>
              <w:spacing w:after="0" w:line="103" w:lineRule="exact"/>
              <w:rPr>
                <w:sz w:val="20"/>
                <w:szCs w:val="20"/>
                <w:color w:val="auto"/>
              </w:rPr>
            </w:pPr>
            <w:r>
              <w:rPr>
                <w:rFonts w:ascii="Arial" w:cs="Arial" w:eastAsia="Arial" w:hAnsi="Arial"/>
                <w:sz w:val="10"/>
                <w:szCs w:val="10"/>
                <w:color w:val="auto"/>
                <w:w w:val="94"/>
              </w:rPr>
              <w:t>-11.7%</w:t>
            </w:r>
          </w:p>
        </w:tc>
      </w:tr>
      <w:tr>
        <w:trPr>
          <w:trHeight w:val="115"/>
        </w:trPr>
        <w:tc>
          <w:tcPr>
            <w:tcW w:w="4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Operational risk-weighted assets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4"/>
              </w:rPr>
              <w:t>1,470,726</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1,559,737</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4"/>
              </w:rPr>
              <w:t>1,584,653</w:t>
            </w:r>
          </w:p>
        </w:tc>
        <w:tc>
          <w:tcPr>
            <w:tcW w:w="700" w:type="dxa"/>
            <w:vAlign w:val="bottom"/>
            <w:tcBorders>
              <w:bottom w:val="single" w:sz="8" w:color="auto"/>
            </w:tcBorders>
          </w:tcPr>
          <w:p>
            <w:pPr>
              <w:jc w:val="center"/>
              <w:ind w:left="233"/>
              <w:spacing w:after="0"/>
              <w:rPr>
                <w:sz w:val="20"/>
                <w:szCs w:val="20"/>
                <w:color w:val="auto"/>
              </w:rPr>
            </w:pPr>
            <w:r>
              <w:rPr>
                <w:rFonts w:ascii="Arial" w:cs="Arial" w:eastAsia="Arial" w:hAnsi="Arial"/>
                <w:sz w:val="10"/>
                <w:szCs w:val="10"/>
                <w:color w:val="auto"/>
                <w:w w:val="96"/>
              </w:rPr>
              <w:t>1.6%</w:t>
            </w:r>
          </w:p>
        </w:tc>
        <w:tc>
          <w:tcPr>
            <w:tcW w:w="1340" w:type="dxa"/>
            <w:vAlign w:val="bottom"/>
            <w:tcBorders>
              <w:bottom w:val="single" w:sz="8" w:color="auto"/>
              <w:right w:val="single" w:sz="8" w:color="auto"/>
            </w:tcBorders>
          </w:tcPr>
          <w:p>
            <w:pPr>
              <w:jc w:val="center"/>
              <w:ind w:left="193"/>
              <w:spacing w:after="0"/>
              <w:rPr>
                <w:sz w:val="20"/>
                <w:szCs w:val="20"/>
                <w:color w:val="auto"/>
              </w:rPr>
            </w:pPr>
            <w:r>
              <w:rPr>
                <w:rFonts w:ascii="Arial" w:cs="Arial" w:eastAsia="Arial" w:hAnsi="Arial"/>
                <w:sz w:val="10"/>
                <w:szCs w:val="10"/>
                <w:color w:val="auto"/>
                <w:w w:val="96"/>
              </w:rPr>
              <w:t>7.7%</w:t>
            </w:r>
          </w:p>
        </w:tc>
      </w:tr>
      <w:tr>
        <w:trPr>
          <w:trHeight w:val="93"/>
        </w:trPr>
        <w:tc>
          <w:tcPr>
            <w:tcW w:w="4540" w:type="dxa"/>
            <w:vAlign w:val="bottom"/>
            <w:tcBorders>
              <w:left w:val="single" w:sz="8" w:color="auto"/>
              <w:bottom w:val="single" w:sz="8" w:color="auto"/>
              <w:right w:val="single" w:sz="8" w:color="auto"/>
            </w:tcBorders>
          </w:tcPr>
          <w:p>
            <w:pPr>
              <w:ind w:left="20"/>
              <w:spacing w:after="0" w:line="93" w:lineRule="exact"/>
              <w:rPr>
                <w:sz w:val="20"/>
                <w:szCs w:val="20"/>
                <w:color w:val="auto"/>
              </w:rPr>
            </w:pPr>
            <w:r>
              <w:rPr>
                <w:rFonts w:ascii="Arial" w:cs="Arial" w:eastAsia="Arial" w:hAnsi="Arial"/>
                <w:sz w:val="10"/>
                <w:szCs w:val="10"/>
                <w:b w:val="1"/>
                <w:bCs w:val="1"/>
                <w:color w:val="auto"/>
              </w:rPr>
              <w:t>Total</w:t>
            </w:r>
          </w:p>
        </w:tc>
        <w:tc>
          <w:tcPr>
            <w:tcW w:w="98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5"/>
              </w:rPr>
              <w:t>15,024,307</w:t>
            </w:r>
          </w:p>
        </w:tc>
        <w:tc>
          <w:tcPr>
            <w:tcW w:w="10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5"/>
              </w:rPr>
              <w:t>13,963,589</w:t>
            </w:r>
          </w:p>
        </w:tc>
        <w:tc>
          <w:tcPr>
            <w:tcW w:w="104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5"/>
              </w:rPr>
              <w:t>13,645,422</w:t>
            </w:r>
          </w:p>
        </w:tc>
        <w:tc>
          <w:tcPr>
            <w:tcW w:w="700" w:type="dxa"/>
            <w:vAlign w:val="bottom"/>
            <w:tcBorders>
              <w:bottom w:val="single" w:sz="8" w:color="auto"/>
            </w:tcBorders>
          </w:tcPr>
          <w:p>
            <w:pPr>
              <w:jc w:val="center"/>
              <w:ind w:left="213"/>
              <w:spacing w:after="0" w:line="93" w:lineRule="exact"/>
              <w:rPr>
                <w:sz w:val="20"/>
                <w:szCs w:val="20"/>
                <w:color w:val="auto"/>
              </w:rPr>
            </w:pPr>
            <w:r>
              <w:rPr>
                <w:rFonts w:ascii="Arial" w:cs="Arial" w:eastAsia="Arial" w:hAnsi="Arial"/>
                <w:sz w:val="10"/>
                <w:szCs w:val="10"/>
                <w:b w:val="1"/>
                <w:bCs w:val="1"/>
                <w:color w:val="auto"/>
                <w:w w:val="91"/>
              </w:rPr>
              <w:t>-2.3%</w:t>
            </w:r>
          </w:p>
        </w:tc>
        <w:tc>
          <w:tcPr>
            <w:tcW w:w="1340" w:type="dxa"/>
            <w:vAlign w:val="bottom"/>
            <w:tcBorders>
              <w:bottom w:val="single" w:sz="8" w:color="auto"/>
              <w:right w:val="single" w:sz="8" w:color="auto"/>
            </w:tcBorders>
          </w:tcPr>
          <w:p>
            <w:pPr>
              <w:jc w:val="center"/>
              <w:ind w:left="213"/>
              <w:spacing w:after="0" w:line="93" w:lineRule="exact"/>
              <w:rPr>
                <w:sz w:val="20"/>
                <w:szCs w:val="20"/>
                <w:color w:val="auto"/>
              </w:rPr>
            </w:pPr>
            <w:r>
              <w:rPr>
                <w:rFonts w:ascii="Arial" w:cs="Arial" w:eastAsia="Arial" w:hAnsi="Arial"/>
                <w:sz w:val="10"/>
                <w:szCs w:val="10"/>
                <w:b w:val="1"/>
                <w:bCs w:val="1"/>
                <w:color w:val="auto"/>
                <w:w w:val="91"/>
              </w:rPr>
              <w:t>-9.2%</w:t>
            </w:r>
          </w:p>
        </w:tc>
      </w:tr>
      <w:tr>
        <w:trPr>
          <w:trHeight w:val="93"/>
        </w:trPr>
        <w:tc>
          <w:tcPr>
            <w:tcW w:w="454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r>
      <w:tr>
        <w:trPr>
          <w:trHeight w:val="79"/>
        </w:trPr>
        <w:tc>
          <w:tcPr>
            <w:tcW w:w="4540" w:type="dxa"/>
            <w:vAlign w:val="bottom"/>
            <w:tcBorders>
              <w:left w:val="single" w:sz="8" w:color="auto"/>
              <w:right w:val="single" w:sz="8" w:color="auto"/>
            </w:tcBorders>
            <w:shd w:val="clear" w:color="auto" w:fill="2AD2C9"/>
          </w:tcPr>
          <w:p>
            <w:pPr>
              <w:ind w:left="20"/>
              <w:spacing w:after="0" w:line="79" w:lineRule="exact"/>
              <w:rPr>
                <w:sz w:val="20"/>
                <w:szCs w:val="20"/>
                <w:color w:val="auto"/>
              </w:rPr>
            </w:pPr>
            <w:r>
              <w:rPr>
                <w:rFonts w:ascii="Arial" w:cs="Arial" w:eastAsia="Arial" w:hAnsi="Arial"/>
                <w:sz w:val="8"/>
                <w:szCs w:val="8"/>
                <w:b w:val="1"/>
                <w:bCs w:val="1"/>
                <w:color w:val="FFFFFF"/>
              </w:rPr>
              <w:t>Capital requirement</w:t>
            </w:r>
          </w:p>
        </w:tc>
        <w:tc>
          <w:tcPr>
            <w:tcW w:w="980" w:type="dxa"/>
            <w:vAlign w:val="bottom"/>
            <w:shd w:val="clear" w:color="auto" w:fill="2AD2C9"/>
          </w:tcPr>
          <w:p>
            <w:pPr>
              <w:spacing w:after="0"/>
              <w:rPr>
                <w:sz w:val="6"/>
                <w:szCs w:val="6"/>
                <w:color w:val="auto"/>
              </w:rPr>
            </w:pPr>
          </w:p>
        </w:tc>
        <w:tc>
          <w:tcPr>
            <w:tcW w:w="1000" w:type="dxa"/>
            <w:vAlign w:val="bottom"/>
            <w:shd w:val="clear" w:color="auto" w:fill="2AD2C9"/>
          </w:tcPr>
          <w:p>
            <w:pPr>
              <w:jc w:val="center"/>
              <w:spacing w:after="0" w:line="79" w:lineRule="exact"/>
              <w:rPr>
                <w:sz w:val="20"/>
                <w:szCs w:val="20"/>
                <w:color w:val="auto"/>
              </w:rPr>
            </w:pPr>
            <w:r>
              <w:rPr>
                <w:rFonts w:ascii="Arial" w:cs="Arial" w:eastAsia="Arial" w:hAnsi="Arial"/>
                <w:sz w:val="8"/>
                <w:szCs w:val="8"/>
                <w:b w:val="1"/>
                <w:bCs w:val="1"/>
                <w:color w:val="FFFFFF"/>
              </w:rPr>
              <w:t>Quarter</w:t>
            </w:r>
          </w:p>
        </w:tc>
        <w:tc>
          <w:tcPr>
            <w:tcW w:w="1040" w:type="dxa"/>
            <w:vAlign w:val="bottom"/>
            <w:tcBorders>
              <w:right w:val="single" w:sz="8" w:color="auto"/>
            </w:tcBorders>
            <w:shd w:val="clear" w:color="auto" w:fill="2AD2C9"/>
          </w:tcPr>
          <w:p>
            <w:pPr>
              <w:spacing w:after="0"/>
              <w:rPr>
                <w:sz w:val="6"/>
                <w:szCs w:val="6"/>
                <w:color w:val="auto"/>
              </w:rPr>
            </w:pPr>
          </w:p>
        </w:tc>
        <w:tc>
          <w:tcPr>
            <w:tcW w:w="700" w:type="dxa"/>
            <w:vAlign w:val="bottom"/>
            <w:shd w:val="clear" w:color="auto" w:fill="2AD2C9"/>
          </w:tcPr>
          <w:p>
            <w:pPr>
              <w:spacing w:after="0"/>
              <w:rPr>
                <w:sz w:val="6"/>
                <w:szCs w:val="6"/>
                <w:color w:val="auto"/>
              </w:rPr>
            </w:pPr>
          </w:p>
        </w:tc>
        <w:tc>
          <w:tcPr>
            <w:tcW w:w="1340" w:type="dxa"/>
            <w:vAlign w:val="bottom"/>
            <w:tcBorders>
              <w:right w:val="single" w:sz="8" w:color="auto"/>
            </w:tcBorders>
            <w:shd w:val="clear" w:color="auto" w:fill="2AD2C9"/>
          </w:tcPr>
          <w:p>
            <w:pPr>
              <w:ind w:left="60"/>
              <w:spacing w:after="0" w:line="79" w:lineRule="exact"/>
              <w:rPr>
                <w:sz w:val="20"/>
                <w:szCs w:val="20"/>
                <w:color w:val="auto"/>
              </w:rPr>
            </w:pPr>
            <w:r>
              <w:rPr>
                <w:rFonts w:ascii="Arial" w:cs="Arial" w:eastAsia="Arial" w:hAnsi="Arial"/>
                <w:sz w:val="8"/>
                <w:szCs w:val="8"/>
                <w:b w:val="1"/>
                <w:bCs w:val="1"/>
                <w:color w:val="FFFFFF"/>
              </w:rPr>
              <w:t>% change</w:t>
            </w:r>
          </w:p>
        </w:tc>
      </w:tr>
      <w:tr>
        <w:trPr>
          <w:trHeight w:val="117"/>
        </w:trPr>
        <w:tc>
          <w:tcPr>
            <w:tcW w:w="4540" w:type="dxa"/>
            <w:vAlign w:val="bottom"/>
            <w:tcBorders>
              <w:left w:val="single" w:sz="8" w:color="auto"/>
              <w:bottom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0"/>
                <w:szCs w:val="10"/>
                <w:color w:val="FFFFFF"/>
              </w:rPr>
              <w:t>(S/ thousand)</w:t>
            </w:r>
          </w:p>
        </w:tc>
        <w:tc>
          <w:tcPr>
            <w:tcW w:w="98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0"/>
                <w:szCs w:val="10"/>
                <w:b w:val="1"/>
                <w:bCs w:val="1"/>
                <w:color w:val="FFFFFF"/>
              </w:rPr>
              <w:t>Jun 23</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rPr>
              <w:t>Mar 24</w:t>
            </w:r>
          </w:p>
        </w:tc>
        <w:tc>
          <w:tcPr>
            <w:tcW w:w="1040" w:type="dxa"/>
            <w:vAlign w:val="bottom"/>
            <w:tcBorders>
              <w:bottom w:val="single" w:sz="8" w:color="auto"/>
              <w:right w:val="single" w:sz="8" w:color="auto"/>
            </w:tcBorders>
            <w:shd w:val="clear" w:color="auto" w:fill="2AD2C9"/>
          </w:tcPr>
          <w:p>
            <w:pPr>
              <w:ind w:left="360"/>
              <w:spacing w:after="0"/>
              <w:rPr>
                <w:sz w:val="20"/>
                <w:szCs w:val="20"/>
                <w:color w:val="auto"/>
              </w:rPr>
            </w:pPr>
            <w:r>
              <w:rPr>
                <w:rFonts w:ascii="Arial" w:cs="Arial" w:eastAsia="Arial" w:hAnsi="Arial"/>
                <w:sz w:val="10"/>
                <w:szCs w:val="10"/>
                <w:b w:val="1"/>
                <w:bCs w:val="1"/>
                <w:color w:val="FFFFFF"/>
              </w:rPr>
              <w:t>Jun 24</w:t>
            </w:r>
          </w:p>
        </w:tc>
        <w:tc>
          <w:tcPr>
            <w:tcW w:w="700" w:type="dxa"/>
            <w:vAlign w:val="bottom"/>
            <w:tcBorders>
              <w:bottom w:val="single" w:sz="8" w:color="auto"/>
            </w:tcBorders>
            <w:shd w:val="clear" w:color="auto" w:fill="2AD2C9"/>
          </w:tcPr>
          <w:p>
            <w:pPr>
              <w:jc w:val="center"/>
              <w:ind w:left="213"/>
              <w:spacing w:after="0"/>
              <w:rPr>
                <w:sz w:val="20"/>
                <w:szCs w:val="20"/>
                <w:color w:val="auto"/>
              </w:rPr>
            </w:pPr>
            <w:r>
              <w:rPr>
                <w:rFonts w:ascii="Arial" w:cs="Arial" w:eastAsia="Arial" w:hAnsi="Arial"/>
                <w:sz w:val="10"/>
                <w:szCs w:val="10"/>
                <w:b w:val="1"/>
                <w:bCs w:val="1"/>
                <w:color w:val="FFFFFF"/>
                <w:w w:val="92"/>
              </w:rPr>
              <w:t>QoQ</w:t>
            </w:r>
          </w:p>
        </w:tc>
        <w:tc>
          <w:tcPr>
            <w:tcW w:w="1340" w:type="dxa"/>
            <w:vAlign w:val="bottom"/>
            <w:tcBorders>
              <w:bottom w:val="single" w:sz="8" w:color="auto"/>
              <w:right w:val="single" w:sz="8" w:color="auto"/>
            </w:tcBorders>
            <w:shd w:val="clear" w:color="auto" w:fill="2AD2C9"/>
          </w:tcPr>
          <w:p>
            <w:pPr>
              <w:ind w:left="700"/>
              <w:spacing w:after="0"/>
              <w:rPr>
                <w:sz w:val="20"/>
                <w:szCs w:val="20"/>
                <w:color w:val="auto"/>
              </w:rPr>
            </w:pPr>
            <w:r>
              <w:rPr>
                <w:rFonts w:ascii="Arial" w:cs="Arial" w:eastAsia="Arial" w:hAnsi="Arial"/>
                <w:sz w:val="10"/>
                <w:szCs w:val="10"/>
                <w:b w:val="1"/>
                <w:bCs w:val="1"/>
                <w:color w:val="FFFFFF"/>
              </w:rPr>
              <w:t>YoY</w:t>
            </w:r>
          </w:p>
        </w:tc>
      </w:tr>
      <w:tr>
        <w:trPr>
          <w:trHeight w:val="81"/>
        </w:trPr>
        <w:tc>
          <w:tcPr>
            <w:tcW w:w="4540" w:type="dxa"/>
            <w:vAlign w:val="bottom"/>
            <w:tcBorders>
              <w:left w:val="single" w:sz="8" w:color="auto"/>
              <w:right w:val="single" w:sz="8" w:color="auto"/>
            </w:tcBorders>
          </w:tcPr>
          <w:p>
            <w:pPr>
              <w:ind w:left="20"/>
              <w:spacing w:after="0" w:line="81" w:lineRule="exact"/>
              <w:rPr>
                <w:sz w:val="20"/>
                <w:szCs w:val="20"/>
                <w:color w:val="auto"/>
              </w:rPr>
            </w:pPr>
            <w:r>
              <w:rPr>
                <w:rFonts w:ascii="Arial" w:cs="Arial" w:eastAsia="Arial" w:hAnsi="Arial"/>
                <w:sz w:val="8"/>
                <w:szCs w:val="8"/>
                <w:color w:val="auto"/>
              </w:rPr>
              <w:t>Market risk capital requirement (5)</w:t>
            </w:r>
          </w:p>
        </w:tc>
        <w:tc>
          <w:tcPr>
            <w:tcW w:w="980" w:type="dxa"/>
            <w:vAlign w:val="bottom"/>
          </w:tcPr>
          <w:p>
            <w:pPr>
              <w:jc w:val="center"/>
              <w:spacing w:after="0" w:line="81" w:lineRule="exact"/>
              <w:rPr>
                <w:sz w:val="20"/>
                <w:szCs w:val="20"/>
                <w:color w:val="auto"/>
              </w:rPr>
            </w:pPr>
            <w:r>
              <w:rPr>
                <w:rFonts w:ascii="Arial" w:cs="Arial" w:eastAsia="Arial" w:hAnsi="Arial"/>
                <w:sz w:val="8"/>
                <w:szCs w:val="8"/>
                <w:color w:val="auto"/>
              </w:rPr>
              <w:t>18,123</w:t>
            </w:r>
          </w:p>
        </w:tc>
        <w:tc>
          <w:tcPr>
            <w:tcW w:w="1000" w:type="dxa"/>
            <w:vAlign w:val="bottom"/>
          </w:tcPr>
          <w:p>
            <w:pPr>
              <w:jc w:val="center"/>
              <w:spacing w:after="0" w:line="81" w:lineRule="exact"/>
              <w:rPr>
                <w:sz w:val="20"/>
                <w:szCs w:val="20"/>
                <w:color w:val="auto"/>
              </w:rPr>
            </w:pPr>
            <w:r>
              <w:rPr>
                <w:rFonts w:ascii="Arial" w:cs="Arial" w:eastAsia="Arial" w:hAnsi="Arial"/>
                <w:sz w:val="8"/>
                <w:szCs w:val="8"/>
                <w:color w:val="auto"/>
              </w:rPr>
              <w:t>25,226</w:t>
            </w:r>
          </w:p>
        </w:tc>
        <w:tc>
          <w:tcPr>
            <w:tcW w:w="104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24,912</w:t>
            </w:r>
          </w:p>
        </w:tc>
        <w:tc>
          <w:tcPr>
            <w:tcW w:w="700" w:type="dxa"/>
            <w:vAlign w:val="bottom"/>
          </w:tcPr>
          <w:p>
            <w:pPr>
              <w:jc w:val="center"/>
              <w:ind w:left="213"/>
              <w:spacing w:after="0" w:line="81" w:lineRule="exact"/>
              <w:rPr>
                <w:sz w:val="20"/>
                <w:szCs w:val="20"/>
                <w:color w:val="auto"/>
              </w:rPr>
            </w:pPr>
            <w:r>
              <w:rPr>
                <w:rFonts w:ascii="Arial" w:cs="Arial" w:eastAsia="Arial" w:hAnsi="Arial"/>
                <w:sz w:val="8"/>
                <w:szCs w:val="8"/>
                <w:color w:val="auto"/>
              </w:rPr>
              <w:t>-1.2%</w:t>
            </w:r>
          </w:p>
        </w:tc>
        <w:tc>
          <w:tcPr>
            <w:tcW w:w="1340" w:type="dxa"/>
            <w:vAlign w:val="bottom"/>
            <w:tcBorders>
              <w:right w:val="single" w:sz="8" w:color="auto"/>
            </w:tcBorders>
          </w:tcPr>
          <w:p>
            <w:pPr>
              <w:jc w:val="center"/>
              <w:ind w:left="213"/>
              <w:spacing w:after="0" w:line="81" w:lineRule="exact"/>
              <w:rPr>
                <w:sz w:val="20"/>
                <w:szCs w:val="20"/>
                <w:color w:val="auto"/>
              </w:rPr>
            </w:pPr>
            <w:r>
              <w:rPr>
                <w:rFonts w:ascii="Arial" w:cs="Arial" w:eastAsia="Arial" w:hAnsi="Arial"/>
                <w:sz w:val="8"/>
                <w:szCs w:val="8"/>
                <w:color w:val="auto"/>
              </w:rPr>
              <w:t>37.5%</w:t>
            </w:r>
          </w:p>
        </w:tc>
      </w:tr>
      <w:tr>
        <w:trPr>
          <w:trHeight w:val="103"/>
        </w:trPr>
        <w:tc>
          <w:tcPr>
            <w:tcW w:w="454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Credit risk capital requirement</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4"/>
              </w:rPr>
              <w:t>1,203,512</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8"/>
              </w:rPr>
              <w:t>1,093,644</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1,063,048</w:t>
            </w:r>
          </w:p>
        </w:tc>
        <w:tc>
          <w:tcPr>
            <w:tcW w:w="700" w:type="dxa"/>
            <w:vAlign w:val="bottom"/>
          </w:tcPr>
          <w:p>
            <w:pPr>
              <w:jc w:val="center"/>
              <w:ind w:left="213"/>
              <w:spacing w:after="0" w:line="103" w:lineRule="exact"/>
              <w:rPr>
                <w:sz w:val="20"/>
                <w:szCs w:val="20"/>
                <w:color w:val="auto"/>
              </w:rPr>
            </w:pPr>
            <w:r>
              <w:rPr>
                <w:rFonts w:ascii="Arial" w:cs="Arial" w:eastAsia="Arial" w:hAnsi="Arial"/>
                <w:sz w:val="10"/>
                <w:szCs w:val="10"/>
                <w:color w:val="auto"/>
                <w:w w:val="91"/>
              </w:rPr>
              <w:t>-2.8%</w:t>
            </w:r>
          </w:p>
        </w:tc>
        <w:tc>
          <w:tcPr>
            <w:tcW w:w="1340" w:type="dxa"/>
            <w:vAlign w:val="bottom"/>
            <w:tcBorders>
              <w:right w:val="single" w:sz="8" w:color="auto"/>
            </w:tcBorders>
          </w:tcPr>
          <w:p>
            <w:pPr>
              <w:jc w:val="center"/>
              <w:ind w:left="193"/>
              <w:spacing w:after="0" w:line="103" w:lineRule="exact"/>
              <w:rPr>
                <w:sz w:val="20"/>
                <w:szCs w:val="20"/>
                <w:color w:val="auto"/>
              </w:rPr>
            </w:pPr>
            <w:r>
              <w:rPr>
                <w:rFonts w:ascii="Arial" w:cs="Arial" w:eastAsia="Arial" w:hAnsi="Arial"/>
                <w:sz w:val="10"/>
                <w:szCs w:val="10"/>
                <w:color w:val="auto"/>
                <w:w w:val="94"/>
              </w:rPr>
              <w:t>-11.7%</w:t>
            </w:r>
          </w:p>
        </w:tc>
      </w:tr>
      <w:tr>
        <w:trPr>
          <w:trHeight w:val="103"/>
        </w:trPr>
        <w:tc>
          <w:tcPr>
            <w:tcW w:w="454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Operational risk capital requirement</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3"/>
              </w:rPr>
              <w:t>147,073</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9"/>
              </w:rPr>
              <w:t>155,974</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3"/>
              </w:rPr>
              <w:t>158,465</w:t>
            </w:r>
          </w:p>
        </w:tc>
        <w:tc>
          <w:tcPr>
            <w:tcW w:w="700" w:type="dxa"/>
            <w:vAlign w:val="bottom"/>
          </w:tcPr>
          <w:p>
            <w:pPr>
              <w:jc w:val="center"/>
              <w:ind w:left="233"/>
              <w:spacing w:after="0" w:line="103" w:lineRule="exact"/>
              <w:rPr>
                <w:sz w:val="20"/>
                <w:szCs w:val="20"/>
                <w:color w:val="auto"/>
              </w:rPr>
            </w:pPr>
            <w:r>
              <w:rPr>
                <w:rFonts w:ascii="Arial" w:cs="Arial" w:eastAsia="Arial" w:hAnsi="Arial"/>
                <w:sz w:val="10"/>
                <w:szCs w:val="10"/>
                <w:color w:val="auto"/>
                <w:w w:val="96"/>
              </w:rPr>
              <w:t>1.6%</w:t>
            </w:r>
          </w:p>
        </w:tc>
        <w:tc>
          <w:tcPr>
            <w:tcW w:w="1340" w:type="dxa"/>
            <w:vAlign w:val="bottom"/>
            <w:tcBorders>
              <w:right w:val="single" w:sz="8" w:color="auto"/>
            </w:tcBorders>
          </w:tcPr>
          <w:p>
            <w:pPr>
              <w:jc w:val="center"/>
              <w:ind w:left="193"/>
              <w:spacing w:after="0" w:line="103" w:lineRule="exact"/>
              <w:rPr>
                <w:sz w:val="20"/>
                <w:szCs w:val="20"/>
                <w:color w:val="auto"/>
              </w:rPr>
            </w:pPr>
            <w:r>
              <w:rPr>
                <w:rFonts w:ascii="Arial" w:cs="Arial" w:eastAsia="Arial" w:hAnsi="Arial"/>
                <w:sz w:val="10"/>
                <w:szCs w:val="10"/>
                <w:color w:val="auto"/>
                <w:w w:val="96"/>
              </w:rPr>
              <w:t>7.7%</w:t>
            </w:r>
          </w:p>
        </w:tc>
      </w:tr>
      <w:tr>
        <w:trPr>
          <w:trHeight w:val="115"/>
        </w:trPr>
        <w:tc>
          <w:tcPr>
            <w:tcW w:w="4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Additional capital requirements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3"/>
              </w:rPr>
              <w:t>405,891</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9"/>
              </w:rPr>
              <w:t>164,047</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3"/>
              </w:rPr>
              <w:t>159,457</w:t>
            </w:r>
          </w:p>
        </w:tc>
        <w:tc>
          <w:tcPr>
            <w:tcW w:w="700" w:type="dxa"/>
            <w:vAlign w:val="bottom"/>
            <w:tcBorders>
              <w:bottom w:val="single" w:sz="8" w:color="auto"/>
            </w:tcBorders>
          </w:tcPr>
          <w:p>
            <w:pPr>
              <w:jc w:val="center"/>
              <w:ind w:left="213"/>
              <w:spacing w:after="0"/>
              <w:rPr>
                <w:sz w:val="20"/>
                <w:szCs w:val="20"/>
                <w:color w:val="auto"/>
              </w:rPr>
            </w:pPr>
            <w:r>
              <w:rPr>
                <w:rFonts w:ascii="Arial" w:cs="Arial" w:eastAsia="Arial" w:hAnsi="Arial"/>
                <w:sz w:val="10"/>
                <w:szCs w:val="10"/>
                <w:color w:val="auto"/>
                <w:w w:val="91"/>
              </w:rPr>
              <w:t>-2.8%</w:t>
            </w:r>
          </w:p>
        </w:tc>
        <w:tc>
          <w:tcPr>
            <w:tcW w:w="1340" w:type="dxa"/>
            <w:vAlign w:val="bottom"/>
            <w:tcBorders>
              <w:bottom w:val="single" w:sz="8" w:color="auto"/>
              <w:right w:val="single" w:sz="8" w:color="auto"/>
            </w:tcBorders>
          </w:tcPr>
          <w:p>
            <w:pPr>
              <w:jc w:val="center"/>
              <w:ind w:left="193"/>
              <w:spacing w:after="0"/>
              <w:rPr>
                <w:sz w:val="20"/>
                <w:szCs w:val="20"/>
                <w:color w:val="auto"/>
              </w:rPr>
            </w:pPr>
            <w:r>
              <w:rPr>
                <w:rFonts w:ascii="Arial" w:cs="Arial" w:eastAsia="Arial" w:hAnsi="Arial"/>
                <w:sz w:val="10"/>
                <w:szCs w:val="10"/>
                <w:color w:val="auto"/>
                <w:w w:val="94"/>
              </w:rPr>
              <w:t>-60.7%</w:t>
            </w:r>
          </w:p>
        </w:tc>
      </w:tr>
      <w:tr>
        <w:trPr>
          <w:trHeight w:val="93"/>
        </w:trPr>
        <w:tc>
          <w:tcPr>
            <w:tcW w:w="4540" w:type="dxa"/>
            <w:vAlign w:val="bottom"/>
            <w:tcBorders>
              <w:left w:val="single" w:sz="8" w:color="auto"/>
              <w:bottom w:val="single" w:sz="8" w:color="auto"/>
              <w:right w:val="single" w:sz="8" w:color="auto"/>
            </w:tcBorders>
          </w:tcPr>
          <w:p>
            <w:pPr>
              <w:ind w:left="20"/>
              <w:spacing w:after="0" w:line="93" w:lineRule="exact"/>
              <w:rPr>
                <w:sz w:val="20"/>
                <w:szCs w:val="20"/>
                <w:color w:val="auto"/>
              </w:rPr>
            </w:pPr>
            <w:r>
              <w:rPr>
                <w:rFonts w:ascii="Arial" w:cs="Arial" w:eastAsia="Arial" w:hAnsi="Arial"/>
                <w:sz w:val="10"/>
                <w:szCs w:val="10"/>
                <w:b w:val="1"/>
                <w:bCs w:val="1"/>
                <w:color w:val="auto"/>
              </w:rPr>
              <w:t>Total</w:t>
            </w:r>
          </w:p>
        </w:tc>
        <w:tc>
          <w:tcPr>
            <w:tcW w:w="98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4"/>
              </w:rPr>
              <w:t>1,774,599</w:t>
            </w:r>
          </w:p>
        </w:tc>
        <w:tc>
          <w:tcPr>
            <w:tcW w:w="10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8"/>
              </w:rPr>
              <w:t>1,438,889</w:t>
            </w:r>
          </w:p>
        </w:tc>
        <w:tc>
          <w:tcPr>
            <w:tcW w:w="104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4"/>
              </w:rPr>
              <w:t>1,405,883</w:t>
            </w:r>
          </w:p>
        </w:tc>
        <w:tc>
          <w:tcPr>
            <w:tcW w:w="700" w:type="dxa"/>
            <w:vAlign w:val="bottom"/>
            <w:tcBorders>
              <w:bottom w:val="single" w:sz="8" w:color="auto"/>
            </w:tcBorders>
          </w:tcPr>
          <w:p>
            <w:pPr>
              <w:jc w:val="center"/>
              <w:ind w:left="213"/>
              <w:spacing w:after="0" w:line="93" w:lineRule="exact"/>
              <w:rPr>
                <w:sz w:val="20"/>
                <w:szCs w:val="20"/>
                <w:color w:val="auto"/>
              </w:rPr>
            </w:pPr>
            <w:r>
              <w:rPr>
                <w:rFonts w:ascii="Arial" w:cs="Arial" w:eastAsia="Arial" w:hAnsi="Arial"/>
                <w:sz w:val="10"/>
                <w:szCs w:val="10"/>
                <w:b w:val="1"/>
                <w:bCs w:val="1"/>
                <w:color w:val="auto"/>
                <w:w w:val="91"/>
              </w:rPr>
              <w:t>-2.3%</w:t>
            </w:r>
          </w:p>
        </w:tc>
        <w:tc>
          <w:tcPr>
            <w:tcW w:w="1340" w:type="dxa"/>
            <w:vAlign w:val="bottom"/>
            <w:tcBorders>
              <w:bottom w:val="single" w:sz="8" w:color="auto"/>
              <w:right w:val="single" w:sz="8" w:color="auto"/>
            </w:tcBorders>
          </w:tcPr>
          <w:p>
            <w:pPr>
              <w:jc w:val="center"/>
              <w:ind w:left="193"/>
              <w:spacing w:after="0" w:line="93" w:lineRule="exact"/>
              <w:rPr>
                <w:sz w:val="20"/>
                <w:szCs w:val="20"/>
                <w:color w:val="auto"/>
              </w:rPr>
            </w:pPr>
            <w:r>
              <w:rPr>
                <w:rFonts w:ascii="Arial" w:cs="Arial" w:eastAsia="Arial" w:hAnsi="Arial"/>
                <w:sz w:val="10"/>
                <w:szCs w:val="10"/>
                <w:b w:val="1"/>
                <w:bCs w:val="1"/>
                <w:color w:val="auto"/>
                <w:w w:val="94"/>
              </w:rPr>
              <w:t>-20.8%</w:t>
            </w:r>
          </w:p>
        </w:tc>
      </w:tr>
    </w:tbl>
    <w:p>
      <w:pPr>
        <w:spacing w:after="0" w:line="117" w:lineRule="exact"/>
        <w:rPr>
          <w:sz w:val="20"/>
          <w:szCs w:val="20"/>
          <w:color w:val="auto"/>
        </w:rPr>
      </w:pPr>
    </w:p>
    <w:p>
      <w:pPr>
        <w:ind w:left="4420"/>
        <w:spacing w:after="0"/>
        <w:rPr>
          <w:sz w:val="20"/>
          <w:szCs w:val="20"/>
          <w:color w:val="auto"/>
        </w:rPr>
      </w:pPr>
      <w:r>
        <w:rPr>
          <w:rFonts w:ascii="Arial" w:cs="Arial" w:eastAsia="Arial" w:hAnsi="Arial"/>
          <w:sz w:val="11"/>
          <w:szCs w:val="11"/>
          <w:b w:val="1"/>
          <w:bCs w:val="1"/>
          <w:color w:val="auto"/>
        </w:rPr>
        <w:t>Capital Ratios under Local Regulation</w:t>
      </w:r>
    </w:p>
    <w:p>
      <w:pPr>
        <w:spacing w:after="0" w:line="107" w:lineRule="exact"/>
        <w:rPr>
          <w:sz w:val="20"/>
          <w:szCs w:val="20"/>
          <w:color w:val="auto"/>
        </w:rPr>
      </w:pPr>
    </w:p>
    <w:tbl>
      <w:tblPr>
        <w:tblLayout w:type="fixed"/>
        <w:tblInd w:w="910" w:type="dxa"/>
        <w:tblCellMar>
          <w:top w:w="0" w:type="dxa"/>
          <w:left w:w="0" w:type="dxa"/>
          <w:bottom w:w="0" w:type="dxa"/>
          <w:right w:w="0" w:type="dxa"/>
        </w:tblCellMar>
      </w:tblPr>
      <w:tr>
        <w:trPr>
          <w:trHeight w:val="99"/>
        </w:trPr>
        <w:tc>
          <w:tcPr>
            <w:tcW w:w="3960" w:type="dxa"/>
            <w:vAlign w:val="bottom"/>
            <w:tcBorders>
              <w:top w:val="single" w:sz="8" w:color="auto"/>
              <w:left w:val="single" w:sz="8" w:color="auto"/>
              <w:right w:val="single" w:sz="8" w:color="auto"/>
            </w:tcBorders>
            <w:shd w:val="clear" w:color="auto" w:fill="2AD2C9"/>
          </w:tcPr>
          <w:p>
            <w:pPr>
              <w:ind w:left="40"/>
              <w:spacing w:after="0" w:line="99" w:lineRule="exact"/>
              <w:rPr>
                <w:sz w:val="20"/>
                <w:szCs w:val="20"/>
                <w:color w:val="auto"/>
              </w:rPr>
            </w:pPr>
            <w:r>
              <w:rPr>
                <w:rFonts w:ascii="Arial" w:cs="Arial" w:eastAsia="Arial" w:hAnsi="Arial"/>
                <w:sz w:val="10"/>
                <w:szCs w:val="10"/>
                <w:b w:val="1"/>
                <w:bCs w:val="1"/>
                <w:color w:val="FFFFFF"/>
              </w:rPr>
              <w:t>Capital ratios under Local Regulation</w:t>
            </w:r>
          </w:p>
        </w:tc>
        <w:tc>
          <w:tcPr>
            <w:tcW w:w="1000" w:type="dxa"/>
            <w:vAlign w:val="bottom"/>
            <w:tcBorders>
              <w:top w:val="single" w:sz="8" w:color="auto"/>
            </w:tcBorders>
            <w:shd w:val="clear" w:color="auto" w:fill="2AD2C9"/>
          </w:tcPr>
          <w:p>
            <w:pPr>
              <w:spacing w:after="0"/>
              <w:rPr>
                <w:sz w:val="8"/>
                <w:szCs w:val="8"/>
                <w:color w:val="auto"/>
              </w:rPr>
            </w:pPr>
          </w:p>
        </w:tc>
        <w:tc>
          <w:tcPr>
            <w:tcW w:w="1000" w:type="dxa"/>
            <w:vAlign w:val="bottom"/>
            <w:tcBorders>
              <w:top w:val="single" w:sz="8" w:color="auto"/>
            </w:tcBorders>
            <w:shd w:val="clear" w:color="auto" w:fill="2AD2C9"/>
          </w:tcPr>
          <w:p>
            <w:pPr>
              <w:ind w:left="320"/>
              <w:spacing w:after="0" w:line="99" w:lineRule="exact"/>
              <w:rPr>
                <w:sz w:val="20"/>
                <w:szCs w:val="20"/>
                <w:color w:val="auto"/>
              </w:rPr>
            </w:pPr>
            <w:r>
              <w:rPr>
                <w:rFonts w:ascii="Arial" w:cs="Arial" w:eastAsia="Arial" w:hAnsi="Arial"/>
                <w:sz w:val="10"/>
                <w:szCs w:val="10"/>
                <w:b w:val="1"/>
                <w:bCs w:val="1"/>
                <w:color w:val="FFFFFF"/>
              </w:rPr>
              <w:t>Quarter</w:t>
            </w:r>
          </w:p>
        </w:tc>
        <w:tc>
          <w:tcPr>
            <w:tcW w:w="1020" w:type="dxa"/>
            <w:vAlign w:val="bottom"/>
            <w:tcBorders>
              <w:top w:val="single" w:sz="8" w:color="auto"/>
              <w:right w:val="single" w:sz="8" w:color="auto"/>
            </w:tcBorders>
            <w:shd w:val="clear" w:color="auto" w:fill="2AD2C9"/>
          </w:tcPr>
          <w:p>
            <w:pPr>
              <w:spacing w:after="0"/>
              <w:rPr>
                <w:sz w:val="8"/>
                <w:szCs w:val="8"/>
                <w:color w:val="auto"/>
              </w:rPr>
            </w:pPr>
          </w:p>
        </w:tc>
        <w:tc>
          <w:tcPr>
            <w:tcW w:w="720" w:type="dxa"/>
            <w:vAlign w:val="bottom"/>
            <w:tcBorders>
              <w:top w:val="single" w:sz="8" w:color="auto"/>
            </w:tcBorders>
            <w:shd w:val="clear" w:color="auto" w:fill="2AD2C9"/>
          </w:tcPr>
          <w:p>
            <w:pPr>
              <w:spacing w:after="0"/>
              <w:rPr>
                <w:sz w:val="8"/>
                <w:szCs w:val="8"/>
                <w:color w:val="auto"/>
              </w:rPr>
            </w:pPr>
          </w:p>
        </w:tc>
        <w:tc>
          <w:tcPr>
            <w:tcW w:w="1320" w:type="dxa"/>
            <w:vAlign w:val="bottom"/>
            <w:tcBorders>
              <w:top w:val="single" w:sz="8" w:color="auto"/>
              <w:right w:val="single" w:sz="8" w:color="auto"/>
            </w:tcBorders>
            <w:shd w:val="clear" w:color="auto" w:fill="2AD2C9"/>
          </w:tcPr>
          <w:p>
            <w:pPr>
              <w:ind w:left="60"/>
              <w:spacing w:after="0" w:line="99" w:lineRule="exact"/>
              <w:rPr>
                <w:sz w:val="20"/>
                <w:szCs w:val="20"/>
                <w:color w:val="auto"/>
              </w:rPr>
            </w:pPr>
            <w:r>
              <w:rPr>
                <w:rFonts w:ascii="Arial" w:cs="Arial" w:eastAsia="Arial" w:hAnsi="Arial"/>
                <w:sz w:val="10"/>
                <w:szCs w:val="10"/>
                <w:b w:val="1"/>
                <w:bCs w:val="1"/>
                <w:color w:val="FFFFFF"/>
              </w:rPr>
              <w:t>% change</w:t>
            </w:r>
          </w:p>
        </w:tc>
      </w:tr>
      <w:tr>
        <w:trPr>
          <w:trHeight w:val="117"/>
        </w:trPr>
        <w:tc>
          <w:tcPr>
            <w:tcW w:w="3960" w:type="dxa"/>
            <w:vAlign w:val="bottom"/>
            <w:tcBorders>
              <w:left w:val="single" w:sz="8" w:color="auto"/>
              <w:bottom w:val="single" w:sz="8" w:color="auto"/>
              <w:right w:val="single" w:sz="8" w:color="auto"/>
            </w:tcBorders>
            <w:shd w:val="clear" w:color="auto" w:fill="2AD2C9"/>
          </w:tcPr>
          <w:p>
            <w:pPr>
              <w:spacing w:after="0"/>
              <w:rPr>
                <w:sz w:val="10"/>
                <w:szCs w:val="10"/>
                <w:color w:val="auto"/>
              </w:rPr>
            </w:pPr>
          </w:p>
        </w:tc>
        <w:tc>
          <w:tcPr>
            <w:tcW w:w="1000" w:type="dxa"/>
            <w:vAlign w:val="bottom"/>
            <w:tcBorders>
              <w:bottom w:val="single" w:sz="8" w:color="auto"/>
            </w:tcBorders>
            <w:shd w:val="clear" w:color="auto" w:fill="2AD2C9"/>
          </w:tcPr>
          <w:p>
            <w:pPr>
              <w:ind w:left="340"/>
              <w:spacing w:after="0"/>
              <w:rPr>
                <w:sz w:val="20"/>
                <w:szCs w:val="20"/>
                <w:color w:val="auto"/>
              </w:rPr>
            </w:pPr>
            <w:r>
              <w:rPr>
                <w:rFonts w:ascii="Arial" w:cs="Arial" w:eastAsia="Arial" w:hAnsi="Arial"/>
                <w:sz w:val="10"/>
                <w:szCs w:val="10"/>
                <w:b w:val="1"/>
                <w:bCs w:val="1"/>
                <w:color w:val="FFFFFF"/>
              </w:rPr>
              <w:t>Jun 23</w:t>
            </w:r>
          </w:p>
        </w:tc>
        <w:tc>
          <w:tcPr>
            <w:tcW w:w="1000" w:type="dxa"/>
            <w:vAlign w:val="bottom"/>
            <w:tcBorders>
              <w:bottom w:val="single" w:sz="8" w:color="auto"/>
            </w:tcBorders>
            <w:shd w:val="clear" w:color="auto" w:fill="2AD2C9"/>
          </w:tcPr>
          <w:p>
            <w:pPr>
              <w:ind w:left="340"/>
              <w:spacing w:after="0"/>
              <w:rPr>
                <w:sz w:val="20"/>
                <w:szCs w:val="20"/>
                <w:color w:val="auto"/>
              </w:rPr>
            </w:pPr>
            <w:r>
              <w:rPr>
                <w:rFonts w:ascii="Arial" w:cs="Arial" w:eastAsia="Arial" w:hAnsi="Arial"/>
                <w:sz w:val="10"/>
                <w:szCs w:val="10"/>
                <w:b w:val="1"/>
                <w:bCs w:val="1"/>
                <w:color w:val="FFFFFF"/>
              </w:rPr>
              <w:t>Mar 24</w:t>
            </w:r>
          </w:p>
        </w:tc>
        <w:tc>
          <w:tcPr>
            <w:tcW w:w="1020" w:type="dxa"/>
            <w:vAlign w:val="bottom"/>
            <w:tcBorders>
              <w:bottom w:val="single" w:sz="8" w:color="auto"/>
              <w:right w:val="single" w:sz="8" w:color="auto"/>
            </w:tcBorders>
            <w:shd w:val="clear" w:color="auto" w:fill="2AD2C9"/>
          </w:tcPr>
          <w:p>
            <w:pPr>
              <w:ind w:left="360"/>
              <w:spacing w:after="0"/>
              <w:rPr>
                <w:sz w:val="20"/>
                <w:szCs w:val="20"/>
                <w:color w:val="auto"/>
              </w:rPr>
            </w:pPr>
            <w:r>
              <w:rPr>
                <w:rFonts w:ascii="Arial" w:cs="Arial" w:eastAsia="Arial" w:hAnsi="Arial"/>
                <w:sz w:val="10"/>
                <w:szCs w:val="10"/>
                <w:b w:val="1"/>
                <w:bCs w:val="1"/>
                <w:color w:val="FFFFFF"/>
              </w:rPr>
              <w:t>Jun 24</w:t>
            </w:r>
          </w:p>
        </w:tc>
        <w:tc>
          <w:tcPr>
            <w:tcW w:w="720" w:type="dxa"/>
            <w:vAlign w:val="bottom"/>
            <w:tcBorders>
              <w:bottom w:val="single" w:sz="8" w:color="auto"/>
            </w:tcBorders>
            <w:shd w:val="clear" w:color="auto" w:fill="2AD2C9"/>
          </w:tcPr>
          <w:p>
            <w:pPr>
              <w:jc w:val="center"/>
              <w:ind w:left="234"/>
              <w:spacing w:after="0"/>
              <w:rPr>
                <w:sz w:val="20"/>
                <w:szCs w:val="20"/>
                <w:color w:val="auto"/>
              </w:rPr>
            </w:pPr>
            <w:r>
              <w:rPr>
                <w:rFonts w:ascii="Arial" w:cs="Arial" w:eastAsia="Arial" w:hAnsi="Arial"/>
                <w:sz w:val="10"/>
                <w:szCs w:val="10"/>
                <w:b w:val="1"/>
                <w:bCs w:val="1"/>
                <w:color w:val="FFFFFF"/>
                <w:w w:val="92"/>
              </w:rPr>
              <w:t>QoQ</w:t>
            </w:r>
          </w:p>
        </w:tc>
        <w:tc>
          <w:tcPr>
            <w:tcW w:w="1320" w:type="dxa"/>
            <w:vAlign w:val="bottom"/>
            <w:tcBorders>
              <w:bottom w:val="single" w:sz="8" w:color="auto"/>
              <w:right w:val="single" w:sz="8" w:color="auto"/>
            </w:tcBorders>
            <w:shd w:val="clear" w:color="auto" w:fill="2AD2C9"/>
          </w:tcPr>
          <w:p>
            <w:pPr>
              <w:jc w:val="center"/>
              <w:ind w:left="213"/>
              <w:spacing w:after="0"/>
              <w:rPr>
                <w:sz w:val="20"/>
                <w:szCs w:val="20"/>
                <w:color w:val="auto"/>
              </w:rPr>
            </w:pPr>
            <w:r>
              <w:rPr>
                <w:rFonts w:ascii="Arial" w:cs="Arial" w:eastAsia="Arial" w:hAnsi="Arial"/>
                <w:sz w:val="10"/>
                <w:szCs w:val="10"/>
                <w:b w:val="1"/>
                <w:bCs w:val="1"/>
                <w:color w:val="FFFFFF"/>
                <w:w w:val="92"/>
              </w:rPr>
              <w:t>YoY</w:t>
            </w:r>
          </w:p>
        </w:tc>
      </w:tr>
      <w:tr>
        <w:trPr>
          <w:trHeight w:val="79"/>
        </w:trPr>
        <w:tc>
          <w:tcPr>
            <w:tcW w:w="3960" w:type="dxa"/>
            <w:vAlign w:val="bottom"/>
            <w:tcBorders>
              <w:left w:val="single" w:sz="8" w:color="auto"/>
              <w:right w:val="single" w:sz="8" w:color="auto"/>
            </w:tcBorders>
          </w:tcPr>
          <w:p>
            <w:pPr>
              <w:ind w:left="40"/>
              <w:spacing w:after="0" w:line="79" w:lineRule="exact"/>
              <w:rPr>
                <w:sz w:val="20"/>
                <w:szCs w:val="20"/>
                <w:color w:val="auto"/>
              </w:rPr>
            </w:pPr>
            <w:r>
              <w:rPr>
                <w:rFonts w:ascii="Arial" w:cs="Arial" w:eastAsia="Arial" w:hAnsi="Arial"/>
                <w:sz w:val="8"/>
                <w:szCs w:val="8"/>
                <w:b w:val="1"/>
                <w:bCs w:val="1"/>
                <w:color w:val="auto"/>
              </w:rPr>
              <w:t>Common Equity Tier 1 Ratio</w:t>
            </w:r>
          </w:p>
        </w:tc>
        <w:tc>
          <w:tcPr>
            <w:tcW w:w="1000" w:type="dxa"/>
            <w:vAlign w:val="bottom"/>
          </w:tcPr>
          <w:p>
            <w:pPr>
              <w:ind w:left="340"/>
              <w:spacing w:after="0" w:line="79" w:lineRule="exact"/>
              <w:rPr>
                <w:sz w:val="20"/>
                <w:szCs w:val="20"/>
                <w:color w:val="auto"/>
              </w:rPr>
            </w:pPr>
            <w:r>
              <w:rPr>
                <w:rFonts w:ascii="Arial" w:cs="Arial" w:eastAsia="Arial" w:hAnsi="Arial"/>
                <w:sz w:val="8"/>
                <w:szCs w:val="8"/>
                <w:color w:val="auto"/>
              </w:rPr>
              <w:t>16.49%</w:t>
            </w:r>
          </w:p>
        </w:tc>
        <w:tc>
          <w:tcPr>
            <w:tcW w:w="1000" w:type="dxa"/>
            <w:vAlign w:val="bottom"/>
          </w:tcPr>
          <w:p>
            <w:pPr>
              <w:ind w:left="340"/>
              <w:spacing w:after="0" w:line="79" w:lineRule="exact"/>
              <w:rPr>
                <w:sz w:val="20"/>
                <w:szCs w:val="20"/>
                <w:color w:val="auto"/>
              </w:rPr>
            </w:pPr>
            <w:r>
              <w:rPr>
                <w:rFonts w:ascii="Arial" w:cs="Arial" w:eastAsia="Arial" w:hAnsi="Arial"/>
                <w:sz w:val="8"/>
                <w:szCs w:val="8"/>
                <w:color w:val="auto"/>
              </w:rPr>
              <w:t>15.69%</w:t>
            </w:r>
          </w:p>
        </w:tc>
        <w:tc>
          <w:tcPr>
            <w:tcW w:w="1020" w:type="dxa"/>
            <w:vAlign w:val="bottom"/>
            <w:tcBorders>
              <w:right w:val="single" w:sz="8" w:color="auto"/>
            </w:tcBorders>
          </w:tcPr>
          <w:p>
            <w:pPr>
              <w:ind w:left="340"/>
              <w:spacing w:after="0" w:line="79" w:lineRule="exact"/>
              <w:rPr>
                <w:sz w:val="20"/>
                <w:szCs w:val="20"/>
                <w:color w:val="auto"/>
              </w:rPr>
            </w:pPr>
            <w:r>
              <w:rPr>
                <w:rFonts w:ascii="Arial" w:cs="Arial" w:eastAsia="Arial" w:hAnsi="Arial"/>
                <w:sz w:val="8"/>
                <w:szCs w:val="8"/>
                <w:color w:val="auto"/>
              </w:rPr>
              <w:t>16.62%</w:t>
            </w:r>
          </w:p>
        </w:tc>
        <w:tc>
          <w:tcPr>
            <w:tcW w:w="720" w:type="dxa"/>
            <w:vAlign w:val="bottom"/>
          </w:tcPr>
          <w:p>
            <w:pPr>
              <w:jc w:val="center"/>
              <w:ind w:left="234"/>
              <w:spacing w:after="0" w:line="79" w:lineRule="exact"/>
              <w:rPr>
                <w:sz w:val="20"/>
                <w:szCs w:val="20"/>
                <w:color w:val="auto"/>
              </w:rPr>
            </w:pPr>
            <w:r>
              <w:rPr>
                <w:rFonts w:ascii="Arial" w:cs="Arial" w:eastAsia="Arial" w:hAnsi="Arial"/>
                <w:sz w:val="8"/>
                <w:szCs w:val="8"/>
                <w:color w:val="auto"/>
              </w:rPr>
              <w:t>94 bps</w:t>
            </w:r>
          </w:p>
        </w:tc>
        <w:tc>
          <w:tcPr>
            <w:tcW w:w="1320" w:type="dxa"/>
            <w:vAlign w:val="bottom"/>
            <w:tcBorders>
              <w:right w:val="single" w:sz="8" w:color="auto"/>
            </w:tcBorders>
          </w:tcPr>
          <w:p>
            <w:pPr>
              <w:jc w:val="center"/>
              <w:ind w:left="233"/>
              <w:spacing w:after="0" w:line="79" w:lineRule="exact"/>
              <w:rPr>
                <w:sz w:val="20"/>
                <w:szCs w:val="20"/>
                <w:color w:val="auto"/>
              </w:rPr>
            </w:pPr>
            <w:r>
              <w:rPr>
                <w:rFonts w:ascii="Arial" w:cs="Arial" w:eastAsia="Arial" w:hAnsi="Arial"/>
                <w:sz w:val="8"/>
                <w:szCs w:val="8"/>
                <w:color w:val="auto"/>
              </w:rPr>
              <w:t>14 pbs</w:t>
            </w:r>
          </w:p>
        </w:tc>
      </w:tr>
      <w:tr>
        <w:trPr>
          <w:trHeight w:val="103"/>
        </w:trPr>
        <w:tc>
          <w:tcPr>
            <w:tcW w:w="396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b w:val="1"/>
                <w:bCs w:val="1"/>
                <w:color w:val="auto"/>
              </w:rPr>
              <w:t>Tier 1 Capital ratio</w:t>
            </w:r>
          </w:p>
        </w:tc>
        <w:tc>
          <w:tcPr>
            <w:tcW w:w="1000" w:type="dxa"/>
            <w:vAlign w:val="bottom"/>
          </w:tcPr>
          <w:p>
            <w:pPr>
              <w:ind w:left="340"/>
              <w:spacing w:after="0" w:line="103" w:lineRule="exact"/>
              <w:rPr>
                <w:sz w:val="20"/>
                <w:szCs w:val="20"/>
                <w:color w:val="auto"/>
              </w:rPr>
            </w:pPr>
            <w:r>
              <w:rPr>
                <w:rFonts w:ascii="Arial" w:cs="Arial" w:eastAsia="Arial" w:hAnsi="Arial"/>
                <w:sz w:val="10"/>
                <w:szCs w:val="10"/>
                <w:color w:val="auto"/>
              </w:rPr>
              <w:t>16.49%</w:t>
            </w:r>
          </w:p>
        </w:tc>
        <w:tc>
          <w:tcPr>
            <w:tcW w:w="1000" w:type="dxa"/>
            <w:vAlign w:val="bottom"/>
          </w:tcPr>
          <w:p>
            <w:pPr>
              <w:ind w:left="340"/>
              <w:spacing w:after="0" w:line="103" w:lineRule="exact"/>
              <w:rPr>
                <w:sz w:val="20"/>
                <w:szCs w:val="20"/>
                <w:color w:val="auto"/>
              </w:rPr>
            </w:pPr>
            <w:r>
              <w:rPr>
                <w:rFonts w:ascii="Arial" w:cs="Arial" w:eastAsia="Arial" w:hAnsi="Arial"/>
                <w:sz w:val="10"/>
                <w:szCs w:val="10"/>
                <w:color w:val="auto"/>
              </w:rPr>
              <w:t>15.69%</w:t>
            </w:r>
          </w:p>
        </w:tc>
        <w:tc>
          <w:tcPr>
            <w:tcW w:w="1020" w:type="dxa"/>
            <w:vAlign w:val="bottom"/>
            <w:tcBorders>
              <w:right w:val="single" w:sz="8" w:color="auto"/>
            </w:tcBorders>
          </w:tcPr>
          <w:p>
            <w:pPr>
              <w:ind w:left="340"/>
              <w:spacing w:after="0" w:line="103" w:lineRule="exact"/>
              <w:rPr>
                <w:sz w:val="20"/>
                <w:szCs w:val="20"/>
                <w:color w:val="auto"/>
              </w:rPr>
            </w:pPr>
            <w:r>
              <w:rPr>
                <w:rFonts w:ascii="Arial" w:cs="Arial" w:eastAsia="Arial" w:hAnsi="Arial"/>
                <w:sz w:val="10"/>
                <w:szCs w:val="10"/>
                <w:color w:val="auto"/>
              </w:rPr>
              <w:t>16.62%</w:t>
            </w:r>
          </w:p>
        </w:tc>
        <w:tc>
          <w:tcPr>
            <w:tcW w:w="720" w:type="dxa"/>
            <w:vAlign w:val="bottom"/>
          </w:tcPr>
          <w:p>
            <w:pPr>
              <w:jc w:val="center"/>
              <w:ind w:left="234"/>
              <w:spacing w:after="0" w:line="103" w:lineRule="exact"/>
              <w:rPr>
                <w:sz w:val="20"/>
                <w:szCs w:val="20"/>
                <w:color w:val="auto"/>
              </w:rPr>
            </w:pPr>
            <w:r>
              <w:rPr>
                <w:rFonts w:ascii="Arial" w:cs="Arial" w:eastAsia="Arial" w:hAnsi="Arial"/>
                <w:sz w:val="10"/>
                <w:szCs w:val="10"/>
                <w:color w:val="auto"/>
                <w:w w:val="93"/>
              </w:rPr>
              <w:t>94 bps</w:t>
            </w:r>
          </w:p>
        </w:tc>
        <w:tc>
          <w:tcPr>
            <w:tcW w:w="1320" w:type="dxa"/>
            <w:vAlign w:val="bottom"/>
            <w:tcBorders>
              <w:right w:val="single" w:sz="8" w:color="auto"/>
            </w:tcBorders>
          </w:tcPr>
          <w:p>
            <w:pPr>
              <w:jc w:val="center"/>
              <w:ind w:left="233"/>
              <w:spacing w:after="0" w:line="103" w:lineRule="exact"/>
              <w:rPr>
                <w:sz w:val="20"/>
                <w:szCs w:val="20"/>
                <w:color w:val="auto"/>
              </w:rPr>
            </w:pPr>
            <w:r>
              <w:rPr>
                <w:rFonts w:ascii="Arial" w:cs="Arial" w:eastAsia="Arial" w:hAnsi="Arial"/>
                <w:sz w:val="10"/>
                <w:szCs w:val="10"/>
                <w:color w:val="auto"/>
                <w:w w:val="93"/>
              </w:rPr>
              <w:t>14 pbs</w:t>
            </w:r>
          </w:p>
        </w:tc>
      </w:tr>
      <w:tr>
        <w:trPr>
          <w:trHeight w:val="117"/>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0"/>
                <w:szCs w:val="10"/>
                <w:b w:val="1"/>
                <w:bCs w:val="1"/>
                <w:color w:val="auto"/>
              </w:rPr>
              <w:t>Regulatory Global Capital Ratio</w:t>
            </w: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0"/>
                <w:szCs w:val="10"/>
                <w:color w:val="auto"/>
              </w:rPr>
              <w:t>18.78%</w:t>
            </w: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0"/>
                <w:szCs w:val="10"/>
                <w:color w:val="auto"/>
              </w:rPr>
              <w:t>18.03%</w:t>
            </w:r>
          </w:p>
        </w:tc>
        <w:tc>
          <w:tcPr>
            <w:tcW w:w="102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0"/>
                <w:szCs w:val="10"/>
                <w:color w:val="auto"/>
              </w:rPr>
              <w:t>18.95%</w:t>
            </w:r>
          </w:p>
        </w:tc>
        <w:tc>
          <w:tcPr>
            <w:tcW w:w="720" w:type="dxa"/>
            <w:vAlign w:val="bottom"/>
            <w:tcBorders>
              <w:bottom w:val="single" w:sz="8" w:color="auto"/>
            </w:tcBorders>
          </w:tcPr>
          <w:p>
            <w:pPr>
              <w:jc w:val="center"/>
              <w:ind w:left="234"/>
              <w:spacing w:after="0"/>
              <w:rPr>
                <w:sz w:val="20"/>
                <w:szCs w:val="20"/>
                <w:color w:val="auto"/>
              </w:rPr>
            </w:pPr>
            <w:r>
              <w:rPr>
                <w:rFonts w:ascii="Arial" w:cs="Arial" w:eastAsia="Arial" w:hAnsi="Arial"/>
                <w:sz w:val="10"/>
                <w:szCs w:val="10"/>
                <w:color w:val="auto"/>
                <w:w w:val="93"/>
              </w:rPr>
              <w:t>92 bps</w:t>
            </w:r>
          </w:p>
        </w:tc>
        <w:tc>
          <w:tcPr>
            <w:tcW w:w="1320" w:type="dxa"/>
            <w:vAlign w:val="bottom"/>
            <w:tcBorders>
              <w:bottom w:val="single" w:sz="8" w:color="auto"/>
              <w:right w:val="single" w:sz="8" w:color="auto"/>
            </w:tcBorders>
          </w:tcPr>
          <w:p>
            <w:pPr>
              <w:jc w:val="center"/>
              <w:ind w:left="233"/>
              <w:spacing w:after="0"/>
              <w:rPr>
                <w:sz w:val="20"/>
                <w:szCs w:val="20"/>
                <w:color w:val="auto"/>
              </w:rPr>
            </w:pPr>
            <w:r>
              <w:rPr>
                <w:rFonts w:ascii="Arial" w:cs="Arial" w:eastAsia="Arial" w:hAnsi="Arial"/>
                <w:sz w:val="10"/>
                <w:szCs w:val="10"/>
                <w:color w:val="auto"/>
                <w:w w:val="93"/>
              </w:rPr>
              <w:t>17 pbs</w:t>
            </w:r>
          </w:p>
        </w:tc>
      </w:tr>
    </w:tbl>
    <w:p>
      <w:pPr>
        <w:spacing w:after="0" w:line="86" w:lineRule="exact"/>
        <w:rPr>
          <w:sz w:val="20"/>
          <w:szCs w:val="20"/>
          <w:color w:val="auto"/>
        </w:rPr>
      </w:pPr>
    </w:p>
    <w:p>
      <w:pPr>
        <w:ind w:left="2020" w:hanging="139"/>
        <w:spacing w:after="0"/>
        <w:tabs>
          <w:tab w:leader="none" w:pos="2020" w:val="left"/>
        </w:tabs>
        <w:numPr>
          <w:ilvl w:val="0"/>
          <w:numId w:val="52"/>
        </w:numPr>
        <w:rPr>
          <w:rFonts w:ascii="Arial" w:cs="Arial" w:eastAsia="Arial" w:hAnsi="Arial"/>
          <w:sz w:val="10"/>
          <w:szCs w:val="10"/>
          <w:color w:val="auto"/>
        </w:rPr>
      </w:pPr>
      <w:r>
        <w:rPr>
          <w:rFonts w:ascii="Arial" w:cs="Arial" w:eastAsia="Arial" w:hAnsi="Arial"/>
          <w:sz w:val="10"/>
          <w:szCs w:val="10"/>
          <w:color w:val="auto"/>
        </w:rPr>
        <w:t>Up to 1.25% of total risk-weighted assets.</w:t>
      </w:r>
    </w:p>
    <w:p>
      <w:pPr>
        <w:ind w:left="1880" w:right="1360" w:firstLine="1"/>
        <w:spacing w:after="0" w:line="214" w:lineRule="auto"/>
        <w:tabs>
          <w:tab w:leader="none" w:pos="2013" w:val="left"/>
        </w:tabs>
        <w:numPr>
          <w:ilvl w:val="0"/>
          <w:numId w:val="52"/>
        </w:numPr>
        <w:rPr>
          <w:rFonts w:ascii="Arial" w:cs="Arial" w:eastAsia="Arial" w:hAnsi="Arial"/>
          <w:sz w:val="10"/>
          <w:szCs w:val="10"/>
          <w:color w:val="auto"/>
        </w:rPr>
      </w:pPr>
      <w:r>
        <w:rPr>
          <w:rFonts w:ascii="Arial" w:cs="Arial" w:eastAsia="Arial" w:hAnsi="Arial"/>
          <w:sz w:val="10"/>
          <w:szCs w:val="10"/>
          <w:color w:val="auto"/>
        </w:rPr>
        <w:t>Common Equity Tier 1 = Capital Stock + Reserves + Accumulated earnings – Unrealized profits or losses - 100% deductions (investment in subsidiaries, goodwill, intangible assets and deferred tax assets based on future returns).</w:t>
      </w:r>
    </w:p>
    <w:p>
      <w:pPr>
        <w:ind w:left="2020" w:hanging="139"/>
        <w:spacing w:after="0" w:line="214" w:lineRule="auto"/>
        <w:tabs>
          <w:tab w:leader="none" w:pos="2020" w:val="left"/>
        </w:tabs>
        <w:numPr>
          <w:ilvl w:val="0"/>
          <w:numId w:val="52"/>
        </w:numPr>
        <w:rPr>
          <w:rFonts w:ascii="Arial" w:cs="Arial" w:eastAsia="Arial" w:hAnsi="Arial"/>
          <w:sz w:val="10"/>
          <w:szCs w:val="10"/>
          <w:color w:val="auto"/>
        </w:rPr>
      </w:pPr>
      <w:r>
        <w:rPr>
          <w:rFonts w:ascii="Arial" w:cs="Arial" w:eastAsia="Arial" w:hAnsi="Arial"/>
          <w:sz w:val="10"/>
          <w:szCs w:val="10"/>
          <w:color w:val="auto"/>
        </w:rPr>
        <w:t>Regulatory Tier 1 Capital = Common Equity Tier 1 + Tier 1 Subordinated Debt (Perpetual).</w:t>
      </w:r>
    </w:p>
    <w:p>
      <w:pPr>
        <w:ind w:left="2020" w:hanging="139"/>
        <w:spacing w:after="0"/>
        <w:tabs>
          <w:tab w:leader="none" w:pos="2020" w:val="left"/>
        </w:tabs>
        <w:numPr>
          <w:ilvl w:val="0"/>
          <w:numId w:val="52"/>
        </w:numPr>
        <w:rPr>
          <w:rFonts w:ascii="Arial" w:cs="Arial" w:eastAsia="Arial" w:hAnsi="Arial"/>
          <w:sz w:val="10"/>
          <w:szCs w:val="10"/>
          <w:color w:val="auto"/>
        </w:rPr>
      </w:pPr>
      <w:r>
        <w:rPr>
          <w:rFonts w:ascii="Arial" w:cs="Arial" w:eastAsia="Arial" w:hAnsi="Arial"/>
          <w:sz w:val="10"/>
          <w:szCs w:val="10"/>
          <w:color w:val="auto"/>
        </w:rPr>
        <w:t>Regulatory Tier 2 Capital = Subordinated Debt + Loan loss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622300</wp:posOffset>
            </wp:positionV>
            <wp:extent cx="7164705" cy="133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93345</wp:posOffset>
            </wp:positionV>
            <wp:extent cx="1502410" cy="4438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5263515</wp:posOffset>
            </wp:positionH>
            <wp:positionV relativeFrom="paragraph">
              <wp:posOffset>210820</wp:posOffset>
            </wp:positionV>
            <wp:extent cx="1750695" cy="3263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750695" cy="326390"/>
                    </a:xfrm>
                    <a:prstGeom prst="rect">
                      <a:avLst/>
                    </a:prstGeom>
                    <a:noFill/>
                  </pic:spPr>
                </pic:pic>
              </a:graphicData>
            </a:graphic>
          </wp:anchor>
        </w:drawing>
      </w:r>
    </w:p>
    <w:p>
      <w:pPr>
        <w:sectPr>
          <w:pgSz w:w="11900" w:h="16838" w:orient="portrait"/>
          <w:cols w:equalWidth="0" w:num="1">
            <w:col w:w="10240"/>
          </w:cols>
          <w:pgMar w:left="540" w:top="300" w:right="1119" w:bottom="1440" w:gutter="0" w:footer="0" w:header="0"/>
        </w:sectPr>
      </w:pPr>
    </w:p>
    <w:bookmarkStart w:id="57" w:name="page58"/>
    <w:bookmarkEnd w:id="57"/>
    <w:p>
      <w:pPr>
        <w:ind w:left="2720"/>
        <w:spacing w:after="0"/>
        <w:tabs>
          <w:tab w:leader="none" w:pos="2920" w:val="left"/>
          <w:tab w:leader="none" w:pos="7920"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10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64705" cy="581025"/>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FFFFFF"/>
        </w:rPr>
        <w:t>12. Appendix</w:t>
      </w:r>
    </w:p>
    <w:p>
      <w:pPr>
        <w:spacing w:after="0" w:line="254" w:lineRule="exact"/>
        <w:rPr>
          <w:sz w:val="20"/>
          <w:szCs w:val="20"/>
          <w:color w:val="auto"/>
        </w:rPr>
      </w:pPr>
    </w:p>
    <w:p>
      <w:pPr>
        <w:ind w:left="4720"/>
        <w:spacing w:after="0"/>
        <w:rPr>
          <w:sz w:val="20"/>
          <w:szCs w:val="20"/>
          <w:color w:val="auto"/>
        </w:rPr>
      </w:pPr>
      <w:r>
        <w:rPr>
          <w:rFonts w:ascii="Arial" w:cs="Arial" w:eastAsia="Arial" w:hAnsi="Arial"/>
          <w:sz w:val="14"/>
          <w:szCs w:val="14"/>
          <w:b w:val="1"/>
          <w:bCs w:val="1"/>
          <w:color w:val="auto"/>
        </w:rPr>
        <w:t>Common Equity Tier 1 IFRS</w:t>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4"/>
          <w:szCs w:val="14"/>
          <w:b w:val="1"/>
          <w:bCs w:val="1"/>
          <w:color w:val="auto"/>
        </w:rPr>
        <w:t>BCP Stand-alone</w:t>
      </w:r>
    </w:p>
    <w:p>
      <w:pPr>
        <w:spacing w:after="0" w:line="128" w:lineRule="exact"/>
        <w:rPr>
          <w:sz w:val="20"/>
          <w:szCs w:val="20"/>
          <w:color w:val="auto"/>
        </w:rPr>
      </w:pPr>
    </w:p>
    <w:tbl>
      <w:tblPr>
        <w:tblLayout w:type="fixed"/>
        <w:tblInd w:w="870" w:type="dxa"/>
        <w:tblCellMar>
          <w:top w:w="0" w:type="dxa"/>
          <w:left w:w="0" w:type="dxa"/>
          <w:bottom w:w="0" w:type="dxa"/>
          <w:right w:w="0" w:type="dxa"/>
        </w:tblCellMar>
      </w:tblPr>
      <w:tr>
        <w:trPr>
          <w:trHeight w:val="99"/>
        </w:trPr>
        <w:tc>
          <w:tcPr>
            <w:tcW w:w="4540" w:type="dxa"/>
            <w:vAlign w:val="bottom"/>
            <w:tcBorders>
              <w:top w:val="single" w:sz="8" w:color="auto"/>
              <w:left w:val="single" w:sz="8" w:color="auto"/>
              <w:right w:val="single" w:sz="8" w:color="auto"/>
            </w:tcBorders>
            <w:shd w:val="clear" w:color="auto" w:fill="2AD2C9"/>
          </w:tcPr>
          <w:p>
            <w:pPr>
              <w:ind w:left="20"/>
              <w:spacing w:after="0" w:line="99" w:lineRule="exact"/>
              <w:rPr>
                <w:sz w:val="20"/>
                <w:szCs w:val="20"/>
                <w:color w:val="auto"/>
              </w:rPr>
            </w:pPr>
            <w:r>
              <w:rPr>
                <w:rFonts w:ascii="Arial" w:cs="Arial" w:eastAsia="Arial" w:hAnsi="Arial"/>
                <w:sz w:val="10"/>
                <w:szCs w:val="10"/>
                <w:b w:val="1"/>
                <w:bCs w:val="1"/>
                <w:color w:val="FFFFFF"/>
              </w:rPr>
              <w:t>Common Equity Tier 1 IFRS</w:t>
            </w:r>
          </w:p>
        </w:tc>
        <w:tc>
          <w:tcPr>
            <w:tcW w:w="1120" w:type="dxa"/>
            <w:vAlign w:val="bottom"/>
            <w:tcBorders>
              <w:top w:val="single" w:sz="8" w:color="auto"/>
            </w:tcBorders>
            <w:shd w:val="clear" w:color="auto" w:fill="2AD2C9"/>
          </w:tcPr>
          <w:p>
            <w:pPr>
              <w:spacing w:after="0"/>
              <w:rPr>
                <w:sz w:val="8"/>
                <w:szCs w:val="8"/>
                <w:color w:val="auto"/>
              </w:rPr>
            </w:pPr>
          </w:p>
        </w:tc>
        <w:tc>
          <w:tcPr>
            <w:tcW w:w="1020" w:type="dxa"/>
            <w:vAlign w:val="bottom"/>
            <w:tcBorders>
              <w:top w:val="single" w:sz="8" w:color="auto"/>
            </w:tcBorders>
            <w:shd w:val="clear" w:color="auto" w:fill="2AD2C9"/>
          </w:tcPr>
          <w:p>
            <w:pPr>
              <w:jc w:val="right"/>
              <w:ind w:right="433"/>
              <w:spacing w:after="0" w:line="99" w:lineRule="exact"/>
              <w:rPr>
                <w:sz w:val="20"/>
                <w:szCs w:val="20"/>
                <w:color w:val="auto"/>
              </w:rPr>
            </w:pPr>
            <w:r>
              <w:rPr>
                <w:rFonts w:ascii="Arial" w:cs="Arial" w:eastAsia="Arial" w:hAnsi="Arial"/>
                <w:sz w:val="10"/>
                <w:szCs w:val="10"/>
                <w:b w:val="1"/>
                <w:bCs w:val="1"/>
                <w:color w:val="FFFFFF"/>
              </w:rPr>
              <w:t>Quarter</w:t>
            </w:r>
          </w:p>
        </w:tc>
        <w:tc>
          <w:tcPr>
            <w:tcW w:w="880" w:type="dxa"/>
            <w:vAlign w:val="bottom"/>
            <w:tcBorders>
              <w:top w:val="single" w:sz="8" w:color="auto"/>
              <w:right w:val="single" w:sz="8" w:color="auto"/>
            </w:tcBorders>
            <w:shd w:val="clear" w:color="auto" w:fill="2AD2C9"/>
          </w:tcPr>
          <w:p>
            <w:pPr>
              <w:spacing w:after="0"/>
              <w:rPr>
                <w:sz w:val="8"/>
                <w:szCs w:val="8"/>
                <w:color w:val="auto"/>
              </w:rPr>
            </w:pPr>
          </w:p>
        </w:tc>
        <w:tc>
          <w:tcPr>
            <w:tcW w:w="700" w:type="dxa"/>
            <w:vAlign w:val="bottom"/>
            <w:tcBorders>
              <w:top w:val="single" w:sz="8" w:color="auto"/>
            </w:tcBorders>
            <w:shd w:val="clear" w:color="auto" w:fill="2AD2C9"/>
          </w:tcPr>
          <w:p>
            <w:pPr>
              <w:spacing w:after="0"/>
              <w:rPr>
                <w:sz w:val="8"/>
                <w:szCs w:val="8"/>
                <w:color w:val="auto"/>
              </w:rPr>
            </w:pPr>
          </w:p>
        </w:tc>
        <w:tc>
          <w:tcPr>
            <w:tcW w:w="1340" w:type="dxa"/>
            <w:vAlign w:val="bottom"/>
            <w:tcBorders>
              <w:top w:val="single" w:sz="8" w:color="auto"/>
              <w:right w:val="single" w:sz="8" w:color="auto"/>
            </w:tcBorders>
            <w:shd w:val="clear" w:color="auto" w:fill="2AD2C9"/>
          </w:tcPr>
          <w:p>
            <w:pPr>
              <w:ind w:left="60"/>
              <w:spacing w:after="0" w:line="99" w:lineRule="exact"/>
              <w:rPr>
                <w:sz w:val="20"/>
                <w:szCs w:val="20"/>
                <w:color w:val="auto"/>
              </w:rPr>
            </w:pPr>
            <w:r>
              <w:rPr>
                <w:rFonts w:ascii="Arial" w:cs="Arial" w:eastAsia="Arial" w:hAnsi="Arial"/>
                <w:sz w:val="10"/>
                <w:szCs w:val="10"/>
                <w:b w:val="1"/>
                <w:bCs w:val="1"/>
                <w:color w:val="FFFFFF"/>
              </w:rPr>
              <w:t>% Change</w:t>
            </w:r>
          </w:p>
        </w:tc>
      </w:tr>
      <w:tr>
        <w:trPr>
          <w:trHeight w:val="117"/>
        </w:trPr>
        <w:tc>
          <w:tcPr>
            <w:tcW w:w="454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0"/>
                <w:szCs w:val="10"/>
                <w:color w:val="FFFFFF"/>
              </w:rPr>
              <w:t>(S/. thousand)</w:t>
            </w:r>
          </w:p>
        </w:tc>
        <w:tc>
          <w:tcPr>
            <w:tcW w:w="1120" w:type="dxa"/>
            <w:vAlign w:val="bottom"/>
            <w:tcBorders>
              <w:bottom w:val="single" w:sz="8" w:color="auto"/>
            </w:tcBorders>
            <w:shd w:val="clear" w:color="auto" w:fill="2AD2C9"/>
          </w:tcPr>
          <w:p>
            <w:pPr>
              <w:jc w:val="right"/>
              <w:ind w:right="453"/>
              <w:spacing w:after="0"/>
              <w:rPr>
                <w:sz w:val="20"/>
                <w:szCs w:val="20"/>
                <w:color w:val="auto"/>
              </w:rPr>
            </w:pPr>
            <w:r>
              <w:rPr>
                <w:rFonts w:ascii="Arial" w:cs="Arial" w:eastAsia="Arial" w:hAnsi="Arial"/>
                <w:sz w:val="10"/>
                <w:szCs w:val="10"/>
                <w:b w:val="1"/>
                <w:bCs w:val="1"/>
                <w:color w:val="FFFFFF"/>
              </w:rPr>
              <w:t>Jun 23</w:t>
            </w:r>
          </w:p>
        </w:tc>
        <w:tc>
          <w:tcPr>
            <w:tcW w:w="1020" w:type="dxa"/>
            <w:vAlign w:val="bottom"/>
            <w:tcBorders>
              <w:bottom w:val="single" w:sz="8" w:color="auto"/>
            </w:tcBorders>
            <w:shd w:val="clear" w:color="auto" w:fill="2AD2C9"/>
          </w:tcPr>
          <w:p>
            <w:pPr>
              <w:jc w:val="right"/>
              <w:ind w:right="453"/>
              <w:spacing w:after="0"/>
              <w:rPr>
                <w:sz w:val="20"/>
                <w:szCs w:val="20"/>
                <w:color w:val="auto"/>
              </w:rPr>
            </w:pPr>
            <w:r>
              <w:rPr>
                <w:rFonts w:ascii="Arial" w:cs="Arial" w:eastAsia="Arial" w:hAnsi="Arial"/>
                <w:sz w:val="10"/>
                <w:szCs w:val="10"/>
                <w:b w:val="1"/>
                <w:bCs w:val="1"/>
                <w:color w:val="FFFFFF"/>
              </w:rPr>
              <w:t>Mar 24</w:t>
            </w:r>
          </w:p>
        </w:tc>
        <w:tc>
          <w:tcPr>
            <w:tcW w:w="880" w:type="dxa"/>
            <w:vAlign w:val="bottom"/>
            <w:tcBorders>
              <w:bottom w:val="single" w:sz="8" w:color="auto"/>
              <w:right w:val="single" w:sz="8" w:color="auto"/>
            </w:tcBorders>
            <w:shd w:val="clear" w:color="auto" w:fill="2AD2C9"/>
          </w:tcPr>
          <w:p>
            <w:pPr>
              <w:jc w:val="right"/>
              <w:ind w:right="333"/>
              <w:spacing w:after="0"/>
              <w:rPr>
                <w:sz w:val="20"/>
                <w:szCs w:val="20"/>
                <w:color w:val="auto"/>
              </w:rPr>
            </w:pPr>
            <w:r>
              <w:rPr>
                <w:rFonts w:ascii="Arial" w:cs="Arial" w:eastAsia="Arial" w:hAnsi="Arial"/>
                <w:sz w:val="10"/>
                <w:szCs w:val="10"/>
                <w:b w:val="1"/>
                <w:bCs w:val="1"/>
                <w:color w:val="FFFFFF"/>
              </w:rPr>
              <w:t>Jun 24</w:t>
            </w:r>
          </w:p>
        </w:tc>
        <w:tc>
          <w:tcPr>
            <w:tcW w:w="700" w:type="dxa"/>
            <w:vAlign w:val="bottom"/>
            <w:tcBorders>
              <w:bottom w:val="single" w:sz="8" w:color="auto"/>
            </w:tcBorders>
            <w:shd w:val="clear" w:color="auto" w:fill="2AD2C9"/>
          </w:tcPr>
          <w:p>
            <w:pPr>
              <w:jc w:val="center"/>
              <w:ind w:left="213"/>
              <w:spacing w:after="0"/>
              <w:rPr>
                <w:sz w:val="20"/>
                <w:szCs w:val="20"/>
                <w:color w:val="auto"/>
              </w:rPr>
            </w:pPr>
            <w:r>
              <w:rPr>
                <w:rFonts w:ascii="Arial" w:cs="Arial" w:eastAsia="Arial" w:hAnsi="Arial"/>
                <w:sz w:val="10"/>
                <w:szCs w:val="10"/>
                <w:b w:val="1"/>
                <w:bCs w:val="1"/>
                <w:color w:val="FFFFFF"/>
                <w:w w:val="92"/>
              </w:rPr>
              <w:t>QoQ</w:t>
            </w:r>
          </w:p>
        </w:tc>
        <w:tc>
          <w:tcPr>
            <w:tcW w:w="1340" w:type="dxa"/>
            <w:vAlign w:val="bottom"/>
            <w:tcBorders>
              <w:bottom w:val="single" w:sz="8" w:color="auto"/>
              <w:right w:val="single" w:sz="8" w:color="auto"/>
            </w:tcBorders>
            <w:shd w:val="clear" w:color="auto" w:fill="2AD2C9"/>
          </w:tcPr>
          <w:p>
            <w:pPr>
              <w:jc w:val="center"/>
              <w:ind w:left="193"/>
              <w:spacing w:after="0"/>
              <w:rPr>
                <w:sz w:val="20"/>
                <w:szCs w:val="20"/>
                <w:color w:val="auto"/>
              </w:rPr>
            </w:pPr>
            <w:r>
              <w:rPr>
                <w:rFonts w:ascii="Arial" w:cs="Arial" w:eastAsia="Arial" w:hAnsi="Arial"/>
                <w:sz w:val="10"/>
                <w:szCs w:val="10"/>
                <w:b w:val="1"/>
                <w:bCs w:val="1"/>
                <w:color w:val="FFFFFF"/>
                <w:w w:val="92"/>
              </w:rPr>
              <w:t>YoY</w:t>
            </w:r>
          </w:p>
        </w:tc>
      </w:tr>
      <w:tr>
        <w:trPr>
          <w:trHeight w:val="81"/>
        </w:trPr>
        <w:tc>
          <w:tcPr>
            <w:tcW w:w="4540" w:type="dxa"/>
            <w:vAlign w:val="bottom"/>
            <w:tcBorders>
              <w:left w:val="single" w:sz="8" w:color="auto"/>
              <w:right w:val="single" w:sz="8" w:color="auto"/>
            </w:tcBorders>
          </w:tcPr>
          <w:p>
            <w:pPr>
              <w:ind w:left="20"/>
              <w:spacing w:after="0" w:line="81" w:lineRule="exact"/>
              <w:rPr>
                <w:sz w:val="20"/>
                <w:szCs w:val="20"/>
                <w:color w:val="auto"/>
              </w:rPr>
            </w:pPr>
            <w:r>
              <w:rPr>
                <w:rFonts w:ascii="Arial" w:cs="Arial" w:eastAsia="Arial" w:hAnsi="Arial"/>
                <w:sz w:val="8"/>
                <w:szCs w:val="8"/>
                <w:color w:val="auto"/>
              </w:rPr>
              <w:t>Capital and reserves</w:t>
            </w:r>
          </w:p>
        </w:tc>
        <w:tc>
          <w:tcPr>
            <w:tcW w:w="1120" w:type="dxa"/>
            <w:vAlign w:val="bottom"/>
          </w:tcPr>
          <w:p>
            <w:pPr>
              <w:jc w:val="right"/>
              <w:ind w:right="153"/>
              <w:spacing w:after="0" w:line="81" w:lineRule="exact"/>
              <w:rPr>
                <w:sz w:val="20"/>
                <w:szCs w:val="20"/>
                <w:color w:val="auto"/>
              </w:rPr>
            </w:pPr>
            <w:r>
              <w:rPr>
                <w:rFonts w:ascii="Arial" w:cs="Arial" w:eastAsia="Arial" w:hAnsi="Arial"/>
                <w:sz w:val="8"/>
                <w:szCs w:val="8"/>
                <w:color w:val="auto"/>
              </w:rPr>
              <w:t>19,500,292</w:t>
            </w:r>
          </w:p>
        </w:tc>
        <w:tc>
          <w:tcPr>
            <w:tcW w:w="1020" w:type="dxa"/>
            <w:vAlign w:val="bottom"/>
          </w:tcPr>
          <w:p>
            <w:pPr>
              <w:jc w:val="right"/>
              <w:ind w:right="173"/>
              <w:spacing w:after="0" w:line="81" w:lineRule="exact"/>
              <w:rPr>
                <w:sz w:val="20"/>
                <w:szCs w:val="20"/>
                <w:color w:val="auto"/>
              </w:rPr>
            </w:pPr>
            <w:r>
              <w:rPr>
                <w:rFonts w:ascii="Arial" w:cs="Arial" w:eastAsia="Arial" w:hAnsi="Arial"/>
                <w:sz w:val="8"/>
                <w:szCs w:val="8"/>
                <w:color w:val="auto"/>
              </w:rPr>
              <w:t>19,051,853</w:t>
            </w:r>
          </w:p>
        </w:tc>
        <w:tc>
          <w:tcPr>
            <w:tcW w:w="880" w:type="dxa"/>
            <w:vAlign w:val="bottom"/>
            <w:tcBorders>
              <w:right w:val="single" w:sz="8" w:color="auto"/>
            </w:tcBorders>
          </w:tcPr>
          <w:p>
            <w:pPr>
              <w:jc w:val="right"/>
              <w:ind w:right="13"/>
              <w:spacing w:after="0" w:line="81" w:lineRule="exact"/>
              <w:rPr>
                <w:sz w:val="20"/>
                <w:szCs w:val="20"/>
                <w:color w:val="auto"/>
              </w:rPr>
            </w:pPr>
            <w:r>
              <w:rPr>
                <w:rFonts w:ascii="Arial" w:cs="Arial" w:eastAsia="Arial" w:hAnsi="Arial"/>
                <w:sz w:val="8"/>
                <w:szCs w:val="8"/>
                <w:color w:val="auto"/>
              </w:rPr>
              <w:t>19,052,262</w:t>
            </w:r>
          </w:p>
        </w:tc>
        <w:tc>
          <w:tcPr>
            <w:tcW w:w="700" w:type="dxa"/>
            <w:vAlign w:val="bottom"/>
          </w:tcPr>
          <w:p>
            <w:pPr>
              <w:jc w:val="center"/>
              <w:ind w:left="233"/>
              <w:spacing w:after="0" w:line="81" w:lineRule="exact"/>
              <w:rPr>
                <w:sz w:val="20"/>
                <w:szCs w:val="20"/>
                <w:color w:val="auto"/>
              </w:rPr>
            </w:pPr>
            <w:r>
              <w:rPr>
                <w:rFonts w:ascii="Arial" w:cs="Arial" w:eastAsia="Arial" w:hAnsi="Arial"/>
                <w:sz w:val="8"/>
                <w:szCs w:val="8"/>
                <w:color w:val="auto"/>
              </w:rPr>
              <w:t>0.0%</w:t>
            </w:r>
          </w:p>
        </w:tc>
        <w:tc>
          <w:tcPr>
            <w:tcW w:w="1340" w:type="dxa"/>
            <w:vAlign w:val="bottom"/>
            <w:tcBorders>
              <w:right w:val="single" w:sz="8" w:color="auto"/>
            </w:tcBorders>
          </w:tcPr>
          <w:p>
            <w:pPr>
              <w:jc w:val="center"/>
              <w:ind w:left="213"/>
              <w:spacing w:after="0" w:line="81" w:lineRule="exact"/>
              <w:rPr>
                <w:sz w:val="20"/>
                <w:szCs w:val="20"/>
                <w:color w:val="auto"/>
              </w:rPr>
            </w:pPr>
            <w:r>
              <w:rPr>
                <w:rFonts w:ascii="Arial" w:cs="Arial" w:eastAsia="Arial" w:hAnsi="Arial"/>
                <w:sz w:val="8"/>
                <w:szCs w:val="8"/>
                <w:color w:val="auto"/>
              </w:rPr>
              <w:t>-2.3%</w:t>
            </w:r>
          </w:p>
        </w:tc>
      </w:tr>
      <w:tr>
        <w:trPr>
          <w:trHeight w:val="103"/>
        </w:trPr>
        <w:tc>
          <w:tcPr>
            <w:tcW w:w="454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Retained earnings</w:t>
            </w:r>
          </w:p>
        </w:tc>
        <w:tc>
          <w:tcPr>
            <w:tcW w:w="1120" w:type="dxa"/>
            <w:vAlign w:val="bottom"/>
          </w:tcPr>
          <w:p>
            <w:pPr>
              <w:jc w:val="right"/>
              <w:ind w:right="153"/>
              <w:spacing w:after="0" w:line="103" w:lineRule="exact"/>
              <w:rPr>
                <w:sz w:val="20"/>
                <w:szCs w:val="20"/>
                <w:color w:val="auto"/>
              </w:rPr>
            </w:pPr>
            <w:r>
              <w:rPr>
                <w:rFonts w:ascii="Arial" w:cs="Arial" w:eastAsia="Arial" w:hAnsi="Arial"/>
                <w:sz w:val="10"/>
                <w:szCs w:val="10"/>
                <w:color w:val="auto"/>
              </w:rPr>
              <w:t>4,000,489</w:t>
            </w:r>
          </w:p>
        </w:tc>
        <w:tc>
          <w:tcPr>
            <w:tcW w:w="1020" w:type="dxa"/>
            <w:vAlign w:val="bottom"/>
          </w:tcPr>
          <w:p>
            <w:pPr>
              <w:jc w:val="right"/>
              <w:ind w:right="173"/>
              <w:spacing w:after="0" w:line="103" w:lineRule="exact"/>
              <w:rPr>
                <w:sz w:val="20"/>
                <w:szCs w:val="20"/>
                <w:color w:val="auto"/>
              </w:rPr>
            </w:pPr>
            <w:r>
              <w:rPr>
                <w:rFonts w:ascii="Arial" w:cs="Arial" w:eastAsia="Arial" w:hAnsi="Arial"/>
                <w:sz w:val="10"/>
                <w:szCs w:val="10"/>
                <w:color w:val="auto"/>
              </w:rPr>
              <w:t>3,429,163</w:t>
            </w:r>
          </w:p>
        </w:tc>
        <w:tc>
          <w:tcPr>
            <w:tcW w:w="880" w:type="dxa"/>
            <w:vAlign w:val="bottom"/>
            <w:tcBorders>
              <w:right w:val="single" w:sz="8" w:color="auto"/>
            </w:tcBorders>
          </w:tcPr>
          <w:p>
            <w:pPr>
              <w:jc w:val="right"/>
              <w:ind w:right="13"/>
              <w:spacing w:after="0" w:line="103" w:lineRule="exact"/>
              <w:rPr>
                <w:sz w:val="20"/>
                <w:szCs w:val="20"/>
                <w:color w:val="auto"/>
              </w:rPr>
            </w:pPr>
            <w:r>
              <w:rPr>
                <w:rFonts w:ascii="Arial" w:cs="Arial" w:eastAsia="Arial" w:hAnsi="Arial"/>
                <w:sz w:val="10"/>
                <w:szCs w:val="10"/>
                <w:color w:val="auto"/>
              </w:rPr>
              <w:t>4,674,213</w:t>
            </w:r>
          </w:p>
        </w:tc>
        <w:tc>
          <w:tcPr>
            <w:tcW w:w="700" w:type="dxa"/>
            <w:vAlign w:val="bottom"/>
          </w:tcPr>
          <w:p>
            <w:pPr>
              <w:jc w:val="center"/>
              <w:ind w:left="213"/>
              <w:spacing w:after="0" w:line="103" w:lineRule="exact"/>
              <w:rPr>
                <w:sz w:val="20"/>
                <w:szCs w:val="20"/>
                <w:color w:val="auto"/>
              </w:rPr>
            </w:pPr>
            <w:r>
              <w:rPr>
                <w:rFonts w:ascii="Arial" w:cs="Arial" w:eastAsia="Arial" w:hAnsi="Arial"/>
                <w:sz w:val="10"/>
                <w:szCs w:val="10"/>
                <w:color w:val="auto"/>
                <w:w w:val="98"/>
              </w:rPr>
              <w:t>36.3%</w:t>
            </w:r>
          </w:p>
        </w:tc>
        <w:tc>
          <w:tcPr>
            <w:tcW w:w="1340" w:type="dxa"/>
            <w:vAlign w:val="bottom"/>
            <w:tcBorders>
              <w:right w:val="single" w:sz="8" w:color="auto"/>
            </w:tcBorders>
          </w:tcPr>
          <w:p>
            <w:pPr>
              <w:jc w:val="center"/>
              <w:ind w:left="213"/>
              <w:spacing w:after="0" w:line="103" w:lineRule="exact"/>
              <w:rPr>
                <w:sz w:val="20"/>
                <w:szCs w:val="20"/>
                <w:color w:val="auto"/>
              </w:rPr>
            </w:pPr>
            <w:r>
              <w:rPr>
                <w:rFonts w:ascii="Arial" w:cs="Arial" w:eastAsia="Arial" w:hAnsi="Arial"/>
                <w:sz w:val="10"/>
                <w:szCs w:val="10"/>
                <w:color w:val="auto"/>
                <w:w w:val="98"/>
              </w:rPr>
              <w:t>16.8%</w:t>
            </w:r>
          </w:p>
        </w:tc>
      </w:tr>
      <w:tr>
        <w:trPr>
          <w:trHeight w:val="103"/>
        </w:trPr>
        <w:tc>
          <w:tcPr>
            <w:tcW w:w="454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Unrealized gains (losses)</w:t>
            </w:r>
          </w:p>
        </w:tc>
        <w:tc>
          <w:tcPr>
            <w:tcW w:w="1120" w:type="dxa"/>
            <w:vAlign w:val="bottom"/>
          </w:tcPr>
          <w:p>
            <w:pPr>
              <w:jc w:val="right"/>
              <w:ind w:right="133"/>
              <w:spacing w:after="0" w:line="103" w:lineRule="exact"/>
              <w:rPr>
                <w:sz w:val="20"/>
                <w:szCs w:val="20"/>
                <w:color w:val="auto"/>
              </w:rPr>
            </w:pPr>
            <w:r>
              <w:rPr>
                <w:rFonts w:ascii="Arial" w:cs="Arial" w:eastAsia="Arial" w:hAnsi="Arial"/>
                <w:sz w:val="10"/>
                <w:szCs w:val="10"/>
                <w:color w:val="auto"/>
              </w:rPr>
              <w:t>(274,021)</w:t>
            </w:r>
          </w:p>
        </w:tc>
        <w:tc>
          <w:tcPr>
            <w:tcW w:w="1020" w:type="dxa"/>
            <w:vAlign w:val="bottom"/>
          </w:tcPr>
          <w:p>
            <w:pPr>
              <w:jc w:val="right"/>
              <w:ind w:right="133"/>
              <w:spacing w:after="0" w:line="103" w:lineRule="exact"/>
              <w:rPr>
                <w:sz w:val="20"/>
                <w:szCs w:val="20"/>
                <w:color w:val="auto"/>
              </w:rPr>
            </w:pPr>
            <w:r>
              <w:rPr>
                <w:rFonts w:ascii="Arial" w:cs="Arial" w:eastAsia="Arial" w:hAnsi="Arial"/>
                <w:sz w:val="10"/>
                <w:szCs w:val="10"/>
                <w:color w:val="auto"/>
              </w:rPr>
              <w:t>(161,369)</w:t>
            </w:r>
          </w:p>
        </w:tc>
        <w:tc>
          <w:tcPr>
            <w:tcW w:w="880" w:type="dxa"/>
            <w:vAlign w:val="bottom"/>
            <w:tcBorders>
              <w:right w:val="single" w:sz="8" w:color="auto"/>
            </w:tcBorders>
          </w:tcPr>
          <w:p>
            <w:pPr>
              <w:jc w:val="right"/>
              <w:ind w:right="13"/>
              <w:spacing w:after="0" w:line="103" w:lineRule="exact"/>
              <w:rPr>
                <w:sz w:val="20"/>
                <w:szCs w:val="20"/>
                <w:color w:val="auto"/>
              </w:rPr>
            </w:pPr>
            <w:r>
              <w:rPr>
                <w:rFonts w:ascii="Arial" w:cs="Arial" w:eastAsia="Arial" w:hAnsi="Arial"/>
                <w:sz w:val="10"/>
                <w:szCs w:val="10"/>
                <w:color w:val="auto"/>
              </w:rPr>
              <w:t>(97,152)</w:t>
            </w:r>
          </w:p>
        </w:tc>
        <w:tc>
          <w:tcPr>
            <w:tcW w:w="700" w:type="dxa"/>
            <w:vAlign w:val="bottom"/>
          </w:tcPr>
          <w:p>
            <w:pPr>
              <w:jc w:val="center"/>
              <w:ind w:left="233"/>
              <w:spacing w:after="0" w:line="103" w:lineRule="exact"/>
              <w:rPr>
                <w:sz w:val="20"/>
                <w:szCs w:val="20"/>
                <w:color w:val="auto"/>
              </w:rPr>
            </w:pPr>
            <w:r>
              <w:rPr>
                <w:rFonts w:ascii="Arial" w:cs="Arial" w:eastAsia="Arial" w:hAnsi="Arial"/>
                <w:sz w:val="10"/>
                <w:szCs w:val="10"/>
                <w:color w:val="auto"/>
                <w:w w:val="94"/>
              </w:rPr>
              <w:t>-39.8%</w:t>
            </w:r>
          </w:p>
        </w:tc>
        <w:tc>
          <w:tcPr>
            <w:tcW w:w="1340" w:type="dxa"/>
            <w:vAlign w:val="bottom"/>
            <w:tcBorders>
              <w:right w:val="single" w:sz="8" w:color="auto"/>
            </w:tcBorders>
          </w:tcPr>
          <w:p>
            <w:pPr>
              <w:jc w:val="center"/>
              <w:ind w:left="193"/>
              <w:spacing w:after="0" w:line="103" w:lineRule="exact"/>
              <w:rPr>
                <w:sz w:val="20"/>
                <w:szCs w:val="20"/>
                <w:color w:val="auto"/>
              </w:rPr>
            </w:pPr>
            <w:r>
              <w:rPr>
                <w:rFonts w:ascii="Arial" w:cs="Arial" w:eastAsia="Arial" w:hAnsi="Arial"/>
                <w:sz w:val="10"/>
                <w:szCs w:val="10"/>
                <w:color w:val="auto"/>
                <w:w w:val="94"/>
              </w:rPr>
              <w:t>-64.5%</w:t>
            </w:r>
          </w:p>
        </w:tc>
      </w:tr>
      <w:tr>
        <w:trPr>
          <w:trHeight w:val="103"/>
        </w:trPr>
        <w:tc>
          <w:tcPr>
            <w:tcW w:w="454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Goodwill and intangibles</w:t>
            </w:r>
          </w:p>
        </w:tc>
        <w:tc>
          <w:tcPr>
            <w:tcW w:w="1120" w:type="dxa"/>
            <w:vAlign w:val="bottom"/>
          </w:tcPr>
          <w:p>
            <w:pPr>
              <w:jc w:val="right"/>
              <w:ind w:right="133"/>
              <w:spacing w:after="0" w:line="103" w:lineRule="exact"/>
              <w:rPr>
                <w:sz w:val="20"/>
                <w:szCs w:val="20"/>
                <w:color w:val="auto"/>
              </w:rPr>
            </w:pPr>
            <w:r>
              <w:rPr>
                <w:rFonts w:ascii="Arial" w:cs="Arial" w:eastAsia="Arial" w:hAnsi="Arial"/>
                <w:sz w:val="10"/>
                <w:szCs w:val="10"/>
                <w:color w:val="auto"/>
              </w:rPr>
              <w:t>(1,516,702)</w:t>
            </w:r>
          </w:p>
        </w:tc>
        <w:tc>
          <w:tcPr>
            <w:tcW w:w="1020" w:type="dxa"/>
            <w:vAlign w:val="bottom"/>
          </w:tcPr>
          <w:p>
            <w:pPr>
              <w:jc w:val="right"/>
              <w:ind w:right="133"/>
              <w:spacing w:after="0" w:line="103" w:lineRule="exact"/>
              <w:rPr>
                <w:sz w:val="20"/>
                <w:szCs w:val="20"/>
                <w:color w:val="auto"/>
              </w:rPr>
            </w:pPr>
            <w:r>
              <w:rPr>
                <w:rFonts w:ascii="Arial" w:cs="Arial" w:eastAsia="Arial" w:hAnsi="Arial"/>
                <w:sz w:val="10"/>
                <w:szCs w:val="10"/>
                <w:color w:val="auto"/>
              </w:rPr>
              <w:t>(1,650,626)</w:t>
            </w:r>
          </w:p>
        </w:tc>
        <w:tc>
          <w:tcPr>
            <w:tcW w:w="880" w:type="dxa"/>
            <w:vAlign w:val="bottom"/>
            <w:tcBorders>
              <w:right w:val="single" w:sz="8" w:color="auto"/>
            </w:tcBorders>
          </w:tcPr>
          <w:p>
            <w:pPr>
              <w:jc w:val="right"/>
              <w:ind w:right="13"/>
              <w:spacing w:after="0" w:line="103" w:lineRule="exact"/>
              <w:rPr>
                <w:sz w:val="20"/>
                <w:szCs w:val="20"/>
                <w:color w:val="auto"/>
              </w:rPr>
            </w:pPr>
            <w:r>
              <w:rPr>
                <w:rFonts w:ascii="Arial" w:cs="Arial" w:eastAsia="Arial" w:hAnsi="Arial"/>
                <w:sz w:val="10"/>
                <w:szCs w:val="10"/>
                <w:color w:val="auto"/>
              </w:rPr>
              <w:t>(1,694,308)</w:t>
            </w:r>
          </w:p>
        </w:tc>
        <w:tc>
          <w:tcPr>
            <w:tcW w:w="700" w:type="dxa"/>
            <w:vAlign w:val="bottom"/>
          </w:tcPr>
          <w:p>
            <w:pPr>
              <w:jc w:val="center"/>
              <w:ind w:left="233"/>
              <w:spacing w:after="0" w:line="103" w:lineRule="exact"/>
              <w:rPr>
                <w:sz w:val="20"/>
                <w:szCs w:val="20"/>
                <w:color w:val="auto"/>
              </w:rPr>
            </w:pPr>
            <w:r>
              <w:rPr>
                <w:rFonts w:ascii="Arial" w:cs="Arial" w:eastAsia="Arial" w:hAnsi="Arial"/>
                <w:sz w:val="10"/>
                <w:szCs w:val="10"/>
                <w:color w:val="auto"/>
                <w:w w:val="96"/>
              </w:rPr>
              <w:t>2.6%</w:t>
            </w:r>
          </w:p>
        </w:tc>
        <w:tc>
          <w:tcPr>
            <w:tcW w:w="1340" w:type="dxa"/>
            <w:vAlign w:val="bottom"/>
            <w:tcBorders>
              <w:right w:val="single" w:sz="8" w:color="auto"/>
            </w:tcBorders>
          </w:tcPr>
          <w:p>
            <w:pPr>
              <w:jc w:val="center"/>
              <w:ind w:left="213"/>
              <w:spacing w:after="0" w:line="103" w:lineRule="exact"/>
              <w:rPr>
                <w:sz w:val="20"/>
                <w:szCs w:val="20"/>
                <w:color w:val="auto"/>
              </w:rPr>
            </w:pPr>
            <w:r>
              <w:rPr>
                <w:rFonts w:ascii="Arial" w:cs="Arial" w:eastAsia="Arial" w:hAnsi="Arial"/>
                <w:sz w:val="10"/>
                <w:szCs w:val="10"/>
                <w:color w:val="auto"/>
                <w:w w:val="98"/>
              </w:rPr>
              <w:t>11.7%</w:t>
            </w:r>
          </w:p>
        </w:tc>
      </w:tr>
      <w:tr>
        <w:trPr>
          <w:trHeight w:val="115"/>
        </w:trPr>
        <w:tc>
          <w:tcPr>
            <w:tcW w:w="4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Investments in subsidiaries</w:t>
            </w: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0"/>
                <w:szCs w:val="10"/>
                <w:color w:val="auto"/>
              </w:rPr>
              <w:t>(2,800,043)</w:t>
            </w:r>
          </w:p>
        </w:tc>
        <w:tc>
          <w:tcPr>
            <w:tcW w:w="1020" w:type="dxa"/>
            <w:vAlign w:val="bottom"/>
            <w:tcBorders>
              <w:bottom w:val="single" w:sz="8" w:color="auto"/>
            </w:tcBorders>
          </w:tcPr>
          <w:p>
            <w:pPr>
              <w:jc w:val="right"/>
              <w:ind w:right="133"/>
              <w:spacing w:after="0"/>
              <w:rPr>
                <w:sz w:val="20"/>
                <w:szCs w:val="20"/>
                <w:color w:val="auto"/>
              </w:rPr>
            </w:pPr>
            <w:r>
              <w:rPr>
                <w:rFonts w:ascii="Arial" w:cs="Arial" w:eastAsia="Arial" w:hAnsi="Arial"/>
                <w:sz w:val="10"/>
                <w:szCs w:val="10"/>
                <w:color w:val="auto"/>
              </w:rPr>
              <w:t>(2,570,974)</w:t>
            </w:r>
          </w:p>
        </w:tc>
        <w:tc>
          <w:tcPr>
            <w:tcW w:w="8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0"/>
                <w:szCs w:val="10"/>
                <w:color w:val="auto"/>
              </w:rPr>
              <w:t>(2,602,553)</w:t>
            </w:r>
          </w:p>
        </w:tc>
        <w:tc>
          <w:tcPr>
            <w:tcW w:w="700" w:type="dxa"/>
            <w:vAlign w:val="bottom"/>
            <w:tcBorders>
              <w:bottom w:val="single" w:sz="8" w:color="auto"/>
            </w:tcBorders>
          </w:tcPr>
          <w:p>
            <w:pPr>
              <w:jc w:val="center"/>
              <w:ind w:left="233"/>
              <w:spacing w:after="0"/>
              <w:rPr>
                <w:sz w:val="20"/>
                <w:szCs w:val="20"/>
                <w:color w:val="auto"/>
              </w:rPr>
            </w:pPr>
            <w:r>
              <w:rPr>
                <w:rFonts w:ascii="Arial" w:cs="Arial" w:eastAsia="Arial" w:hAnsi="Arial"/>
                <w:sz w:val="10"/>
                <w:szCs w:val="10"/>
                <w:color w:val="auto"/>
                <w:w w:val="96"/>
              </w:rPr>
              <w:t>1.2%</w:t>
            </w:r>
          </w:p>
        </w:tc>
        <w:tc>
          <w:tcPr>
            <w:tcW w:w="1340" w:type="dxa"/>
            <w:vAlign w:val="bottom"/>
            <w:tcBorders>
              <w:bottom w:val="single" w:sz="8" w:color="auto"/>
              <w:right w:val="single" w:sz="8" w:color="auto"/>
            </w:tcBorders>
          </w:tcPr>
          <w:p>
            <w:pPr>
              <w:jc w:val="center"/>
              <w:ind w:left="213"/>
              <w:spacing w:after="0"/>
              <w:rPr>
                <w:sz w:val="20"/>
                <w:szCs w:val="20"/>
                <w:color w:val="auto"/>
              </w:rPr>
            </w:pPr>
            <w:r>
              <w:rPr>
                <w:rFonts w:ascii="Arial" w:cs="Arial" w:eastAsia="Arial" w:hAnsi="Arial"/>
                <w:sz w:val="10"/>
                <w:szCs w:val="10"/>
                <w:color w:val="auto"/>
                <w:w w:val="91"/>
              </w:rPr>
              <w:t>-7.1%</w:t>
            </w:r>
          </w:p>
        </w:tc>
      </w:tr>
      <w:tr>
        <w:trPr>
          <w:trHeight w:val="93"/>
        </w:trPr>
        <w:tc>
          <w:tcPr>
            <w:tcW w:w="4540" w:type="dxa"/>
            <w:vAlign w:val="bottom"/>
            <w:tcBorders>
              <w:left w:val="single" w:sz="8" w:color="auto"/>
              <w:bottom w:val="single" w:sz="8" w:color="auto"/>
              <w:right w:val="single" w:sz="8" w:color="auto"/>
            </w:tcBorders>
          </w:tcPr>
          <w:p>
            <w:pPr>
              <w:ind w:left="20"/>
              <w:spacing w:after="0" w:line="93" w:lineRule="exact"/>
              <w:rPr>
                <w:sz w:val="20"/>
                <w:szCs w:val="20"/>
                <w:color w:val="auto"/>
              </w:rPr>
            </w:pPr>
            <w:r>
              <w:rPr>
                <w:rFonts w:ascii="Arial" w:cs="Arial" w:eastAsia="Arial" w:hAnsi="Arial"/>
                <w:sz w:val="10"/>
                <w:szCs w:val="10"/>
                <w:b w:val="1"/>
                <w:bCs w:val="1"/>
                <w:color w:val="auto"/>
              </w:rPr>
              <w:t>Total</w:t>
            </w:r>
          </w:p>
        </w:tc>
        <w:tc>
          <w:tcPr>
            <w:tcW w:w="1120" w:type="dxa"/>
            <w:vAlign w:val="bottom"/>
            <w:tcBorders>
              <w:bottom w:val="single" w:sz="8" w:color="auto"/>
            </w:tcBorders>
          </w:tcPr>
          <w:p>
            <w:pPr>
              <w:jc w:val="right"/>
              <w:ind w:right="153"/>
              <w:spacing w:after="0" w:line="93" w:lineRule="exact"/>
              <w:rPr>
                <w:sz w:val="20"/>
                <w:szCs w:val="20"/>
                <w:color w:val="auto"/>
              </w:rPr>
            </w:pPr>
            <w:r>
              <w:rPr>
                <w:rFonts w:ascii="Arial" w:cs="Arial" w:eastAsia="Arial" w:hAnsi="Arial"/>
                <w:sz w:val="10"/>
                <w:szCs w:val="10"/>
                <w:b w:val="1"/>
                <w:bCs w:val="1"/>
                <w:color w:val="auto"/>
              </w:rPr>
              <w:t>18,910,015</w:t>
            </w:r>
          </w:p>
        </w:tc>
        <w:tc>
          <w:tcPr>
            <w:tcW w:w="1020" w:type="dxa"/>
            <w:vAlign w:val="bottom"/>
            <w:tcBorders>
              <w:bottom w:val="single" w:sz="8" w:color="auto"/>
            </w:tcBorders>
          </w:tcPr>
          <w:p>
            <w:pPr>
              <w:jc w:val="right"/>
              <w:ind w:right="173"/>
              <w:spacing w:after="0" w:line="93" w:lineRule="exact"/>
              <w:rPr>
                <w:sz w:val="20"/>
                <w:szCs w:val="20"/>
                <w:color w:val="auto"/>
              </w:rPr>
            </w:pPr>
            <w:r>
              <w:rPr>
                <w:rFonts w:ascii="Arial" w:cs="Arial" w:eastAsia="Arial" w:hAnsi="Arial"/>
                <w:sz w:val="10"/>
                <w:szCs w:val="10"/>
                <w:b w:val="1"/>
                <w:bCs w:val="1"/>
                <w:color w:val="auto"/>
              </w:rPr>
              <w:t>18,098,046</w:t>
            </w:r>
          </w:p>
        </w:tc>
        <w:tc>
          <w:tcPr>
            <w:tcW w:w="880" w:type="dxa"/>
            <w:vAlign w:val="bottom"/>
            <w:tcBorders>
              <w:bottom w:val="single" w:sz="8" w:color="auto"/>
              <w:right w:val="single" w:sz="8" w:color="auto"/>
            </w:tcBorders>
          </w:tcPr>
          <w:p>
            <w:pPr>
              <w:jc w:val="right"/>
              <w:ind w:right="13"/>
              <w:spacing w:after="0" w:line="93" w:lineRule="exact"/>
              <w:rPr>
                <w:sz w:val="20"/>
                <w:szCs w:val="20"/>
                <w:color w:val="auto"/>
              </w:rPr>
            </w:pPr>
            <w:r>
              <w:rPr>
                <w:rFonts w:ascii="Arial" w:cs="Arial" w:eastAsia="Arial" w:hAnsi="Arial"/>
                <w:sz w:val="10"/>
                <w:szCs w:val="10"/>
                <w:b w:val="1"/>
                <w:bCs w:val="1"/>
                <w:color w:val="auto"/>
              </w:rPr>
              <w:t>19,332,463</w:t>
            </w:r>
          </w:p>
        </w:tc>
        <w:tc>
          <w:tcPr>
            <w:tcW w:w="700" w:type="dxa"/>
            <w:vAlign w:val="bottom"/>
            <w:tcBorders>
              <w:bottom w:val="single" w:sz="8" w:color="auto"/>
            </w:tcBorders>
          </w:tcPr>
          <w:p>
            <w:pPr>
              <w:jc w:val="center"/>
              <w:ind w:left="233"/>
              <w:spacing w:after="0" w:line="93" w:lineRule="exact"/>
              <w:rPr>
                <w:sz w:val="20"/>
                <w:szCs w:val="20"/>
                <w:color w:val="auto"/>
              </w:rPr>
            </w:pPr>
            <w:r>
              <w:rPr>
                <w:rFonts w:ascii="Arial" w:cs="Arial" w:eastAsia="Arial" w:hAnsi="Arial"/>
                <w:sz w:val="10"/>
                <w:szCs w:val="10"/>
                <w:b w:val="1"/>
                <w:bCs w:val="1"/>
                <w:color w:val="auto"/>
                <w:w w:val="96"/>
              </w:rPr>
              <w:t>6.8%</w:t>
            </w:r>
          </w:p>
        </w:tc>
        <w:tc>
          <w:tcPr>
            <w:tcW w:w="1340" w:type="dxa"/>
            <w:vAlign w:val="bottom"/>
            <w:tcBorders>
              <w:bottom w:val="single" w:sz="8" w:color="auto"/>
              <w:right w:val="single" w:sz="8" w:color="auto"/>
            </w:tcBorders>
          </w:tcPr>
          <w:p>
            <w:pPr>
              <w:jc w:val="center"/>
              <w:ind w:left="193"/>
              <w:spacing w:after="0" w:line="93" w:lineRule="exact"/>
              <w:rPr>
                <w:sz w:val="20"/>
                <w:szCs w:val="20"/>
                <w:color w:val="auto"/>
              </w:rPr>
            </w:pPr>
            <w:r>
              <w:rPr>
                <w:rFonts w:ascii="Arial" w:cs="Arial" w:eastAsia="Arial" w:hAnsi="Arial"/>
                <w:sz w:val="10"/>
                <w:szCs w:val="10"/>
                <w:b w:val="1"/>
                <w:bCs w:val="1"/>
                <w:color w:val="auto"/>
                <w:w w:val="96"/>
              </w:rPr>
              <w:t>2.2%</w:t>
            </w:r>
          </w:p>
        </w:tc>
      </w:tr>
      <w:tr>
        <w:trPr>
          <w:trHeight w:val="93"/>
        </w:trPr>
        <w:tc>
          <w:tcPr>
            <w:tcW w:w="45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r>
      <w:tr>
        <w:trPr>
          <w:trHeight w:val="93"/>
        </w:trPr>
        <w:tc>
          <w:tcPr>
            <w:tcW w:w="4540" w:type="dxa"/>
            <w:vAlign w:val="bottom"/>
            <w:tcBorders>
              <w:left w:val="single" w:sz="8" w:color="auto"/>
              <w:bottom w:val="single" w:sz="8" w:color="auto"/>
              <w:right w:val="single" w:sz="8" w:color="auto"/>
            </w:tcBorders>
          </w:tcPr>
          <w:p>
            <w:pPr>
              <w:ind w:left="20"/>
              <w:spacing w:after="0" w:line="93" w:lineRule="exact"/>
              <w:rPr>
                <w:sz w:val="20"/>
                <w:szCs w:val="20"/>
                <w:color w:val="auto"/>
              </w:rPr>
            </w:pPr>
            <w:r>
              <w:rPr>
                <w:rFonts w:ascii="Arial" w:cs="Arial" w:eastAsia="Arial" w:hAnsi="Arial"/>
                <w:sz w:val="10"/>
                <w:szCs w:val="10"/>
                <w:b w:val="1"/>
                <w:bCs w:val="1"/>
                <w:color w:val="auto"/>
              </w:rPr>
              <w:t>Adjusted RWAs IFRS</w:t>
            </w:r>
          </w:p>
        </w:tc>
        <w:tc>
          <w:tcPr>
            <w:tcW w:w="1120" w:type="dxa"/>
            <w:vAlign w:val="bottom"/>
            <w:tcBorders>
              <w:bottom w:val="single" w:sz="8" w:color="auto"/>
            </w:tcBorders>
          </w:tcPr>
          <w:p>
            <w:pPr>
              <w:jc w:val="right"/>
              <w:ind w:right="153"/>
              <w:spacing w:after="0" w:line="93" w:lineRule="exact"/>
              <w:rPr>
                <w:sz w:val="20"/>
                <w:szCs w:val="20"/>
                <w:color w:val="auto"/>
              </w:rPr>
            </w:pPr>
            <w:r>
              <w:rPr>
                <w:rFonts w:ascii="Arial" w:cs="Arial" w:eastAsia="Arial" w:hAnsi="Arial"/>
                <w:sz w:val="10"/>
                <w:szCs w:val="10"/>
                <w:b w:val="1"/>
                <w:bCs w:val="1"/>
                <w:color w:val="auto"/>
              </w:rPr>
              <w:t>147,805,770</w:t>
            </w:r>
          </w:p>
        </w:tc>
        <w:tc>
          <w:tcPr>
            <w:tcW w:w="1020" w:type="dxa"/>
            <w:vAlign w:val="bottom"/>
            <w:tcBorders>
              <w:bottom w:val="single" w:sz="8" w:color="auto"/>
            </w:tcBorders>
          </w:tcPr>
          <w:p>
            <w:pPr>
              <w:jc w:val="right"/>
              <w:ind w:right="173"/>
              <w:spacing w:after="0" w:line="93" w:lineRule="exact"/>
              <w:rPr>
                <w:sz w:val="20"/>
                <w:szCs w:val="20"/>
                <w:color w:val="auto"/>
              </w:rPr>
            </w:pPr>
            <w:r>
              <w:rPr>
                <w:rFonts w:ascii="Arial" w:cs="Arial" w:eastAsia="Arial" w:hAnsi="Arial"/>
                <w:sz w:val="10"/>
                <w:szCs w:val="10"/>
                <w:b w:val="1"/>
                <w:bCs w:val="1"/>
                <w:color w:val="auto"/>
              </w:rPr>
              <w:t>152,645,988</w:t>
            </w:r>
          </w:p>
        </w:tc>
        <w:tc>
          <w:tcPr>
            <w:tcW w:w="880" w:type="dxa"/>
            <w:vAlign w:val="bottom"/>
            <w:tcBorders>
              <w:bottom w:val="single" w:sz="8" w:color="auto"/>
              <w:right w:val="single" w:sz="8" w:color="auto"/>
            </w:tcBorders>
          </w:tcPr>
          <w:p>
            <w:pPr>
              <w:jc w:val="right"/>
              <w:ind w:right="13"/>
              <w:spacing w:after="0" w:line="93" w:lineRule="exact"/>
              <w:rPr>
                <w:sz w:val="20"/>
                <w:szCs w:val="20"/>
                <w:color w:val="auto"/>
              </w:rPr>
            </w:pPr>
            <w:r>
              <w:rPr>
                <w:rFonts w:ascii="Arial" w:cs="Arial" w:eastAsia="Arial" w:hAnsi="Arial"/>
                <w:sz w:val="10"/>
                <w:szCs w:val="10"/>
                <w:b w:val="1"/>
                <w:bCs w:val="1"/>
                <w:color w:val="auto"/>
              </w:rPr>
              <w:t>160,418,064</w:t>
            </w:r>
          </w:p>
        </w:tc>
        <w:tc>
          <w:tcPr>
            <w:tcW w:w="700" w:type="dxa"/>
            <w:vAlign w:val="bottom"/>
            <w:tcBorders>
              <w:bottom w:val="single" w:sz="8" w:color="auto"/>
            </w:tcBorders>
          </w:tcPr>
          <w:p>
            <w:pPr>
              <w:jc w:val="center"/>
              <w:ind w:left="233"/>
              <w:spacing w:after="0" w:line="93" w:lineRule="exact"/>
              <w:rPr>
                <w:sz w:val="20"/>
                <w:szCs w:val="20"/>
                <w:color w:val="auto"/>
              </w:rPr>
            </w:pPr>
            <w:r>
              <w:rPr>
                <w:rFonts w:ascii="Arial" w:cs="Arial" w:eastAsia="Arial" w:hAnsi="Arial"/>
                <w:sz w:val="10"/>
                <w:szCs w:val="10"/>
                <w:b w:val="1"/>
                <w:bCs w:val="1"/>
                <w:color w:val="auto"/>
                <w:w w:val="96"/>
              </w:rPr>
              <w:t>5.1%</w:t>
            </w:r>
          </w:p>
        </w:tc>
        <w:tc>
          <w:tcPr>
            <w:tcW w:w="1340" w:type="dxa"/>
            <w:vAlign w:val="bottom"/>
            <w:tcBorders>
              <w:bottom w:val="single" w:sz="8" w:color="auto"/>
              <w:right w:val="single" w:sz="8" w:color="auto"/>
            </w:tcBorders>
          </w:tcPr>
          <w:p>
            <w:pPr>
              <w:jc w:val="center"/>
              <w:ind w:left="193"/>
              <w:spacing w:after="0" w:line="93" w:lineRule="exact"/>
              <w:rPr>
                <w:sz w:val="20"/>
                <w:szCs w:val="20"/>
                <w:color w:val="auto"/>
              </w:rPr>
            </w:pPr>
            <w:r>
              <w:rPr>
                <w:rFonts w:ascii="Arial" w:cs="Arial" w:eastAsia="Arial" w:hAnsi="Arial"/>
                <w:sz w:val="10"/>
                <w:szCs w:val="10"/>
                <w:b w:val="1"/>
                <w:bCs w:val="1"/>
                <w:color w:val="auto"/>
                <w:w w:val="96"/>
              </w:rPr>
              <w:t>8.5%</w:t>
            </w:r>
          </w:p>
        </w:tc>
      </w:tr>
      <w:tr>
        <w:trPr>
          <w:trHeight w:val="81"/>
        </w:trPr>
        <w:tc>
          <w:tcPr>
            <w:tcW w:w="4540" w:type="dxa"/>
            <w:vAlign w:val="bottom"/>
            <w:tcBorders>
              <w:left w:val="single" w:sz="8" w:color="auto"/>
              <w:right w:val="single" w:sz="8" w:color="auto"/>
            </w:tcBorders>
          </w:tcPr>
          <w:p>
            <w:pPr>
              <w:ind w:left="20"/>
              <w:spacing w:after="0" w:line="81" w:lineRule="exact"/>
              <w:rPr>
                <w:sz w:val="20"/>
                <w:szCs w:val="20"/>
                <w:color w:val="auto"/>
              </w:rPr>
            </w:pPr>
            <w:r>
              <w:rPr>
                <w:rFonts w:ascii="Arial" w:cs="Arial" w:eastAsia="Arial" w:hAnsi="Arial"/>
                <w:sz w:val="8"/>
                <w:szCs w:val="8"/>
                <w:color w:val="auto"/>
              </w:rPr>
              <w:t>Adjusted Credit RWAs IFRS</w:t>
            </w:r>
          </w:p>
        </w:tc>
        <w:tc>
          <w:tcPr>
            <w:tcW w:w="1120" w:type="dxa"/>
            <w:vAlign w:val="bottom"/>
          </w:tcPr>
          <w:p>
            <w:pPr>
              <w:jc w:val="right"/>
              <w:ind w:right="153"/>
              <w:spacing w:after="0" w:line="81" w:lineRule="exact"/>
              <w:rPr>
                <w:sz w:val="20"/>
                <w:szCs w:val="20"/>
                <w:color w:val="auto"/>
              </w:rPr>
            </w:pPr>
            <w:r>
              <w:rPr>
                <w:rFonts w:ascii="Arial" w:cs="Arial" w:eastAsia="Arial" w:hAnsi="Arial"/>
                <w:sz w:val="8"/>
                <w:szCs w:val="8"/>
                <w:color w:val="auto"/>
              </w:rPr>
              <w:t>130,090,719</w:t>
            </w:r>
          </w:p>
        </w:tc>
        <w:tc>
          <w:tcPr>
            <w:tcW w:w="1020" w:type="dxa"/>
            <w:vAlign w:val="bottom"/>
          </w:tcPr>
          <w:p>
            <w:pPr>
              <w:jc w:val="right"/>
              <w:ind w:right="173"/>
              <w:spacing w:after="0" w:line="81" w:lineRule="exact"/>
              <w:rPr>
                <w:sz w:val="20"/>
                <w:szCs w:val="20"/>
                <w:color w:val="auto"/>
              </w:rPr>
            </w:pPr>
            <w:r>
              <w:rPr>
                <w:rFonts w:ascii="Arial" w:cs="Arial" w:eastAsia="Arial" w:hAnsi="Arial"/>
                <w:sz w:val="8"/>
                <w:szCs w:val="8"/>
                <w:color w:val="auto"/>
              </w:rPr>
              <w:t>132,771,383</w:t>
            </w:r>
          </w:p>
        </w:tc>
        <w:tc>
          <w:tcPr>
            <w:tcW w:w="880" w:type="dxa"/>
            <w:vAlign w:val="bottom"/>
            <w:tcBorders>
              <w:right w:val="single" w:sz="8" w:color="auto"/>
            </w:tcBorders>
          </w:tcPr>
          <w:p>
            <w:pPr>
              <w:jc w:val="right"/>
              <w:ind w:right="13"/>
              <w:spacing w:after="0" w:line="81" w:lineRule="exact"/>
              <w:rPr>
                <w:sz w:val="20"/>
                <w:szCs w:val="20"/>
                <w:color w:val="auto"/>
              </w:rPr>
            </w:pPr>
            <w:r>
              <w:rPr>
                <w:rFonts w:ascii="Arial" w:cs="Arial" w:eastAsia="Arial" w:hAnsi="Arial"/>
                <w:sz w:val="8"/>
                <w:szCs w:val="8"/>
                <w:color w:val="auto"/>
              </w:rPr>
              <w:t>139,781,938</w:t>
            </w:r>
          </w:p>
        </w:tc>
        <w:tc>
          <w:tcPr>
            <w:tcW w:w="700" w:type="dxa"/>
            <w:vAlign w:val="bottom"/>
          </w:tcPr>
          <w:p>
            <w:pPr>
              <w:jc w:val="center"/>
              <w:ind w:left="233"/>
              <w:spacing w:after="0" w:line="81" w:lineRule="exact"/>
              <w:rPr>
                <w:sz w:val="20"/>
                <w:szCs w:val="20"/>
                <w:color w:val="auto"/>
              </w:rPr>
            </w:pPr>
            <w:r>
              <w:rPr>
                <w:rFonts w:ascii="Arial" w:cs="Arial" w:eastAsia="Arial" w:hAnsi="Arial"/>
                <w:sz w:val="8"/>
                <w:szCs w:val="8"/>
                <w:color w:val="auto"/>
              </w:rPr>
              <w:t>5.3%</w:t>
            </w:r>
          </w:p>
        </w:tc>
        <w:tc>
          <w:tcPr>
            <w:tcW w:w="1340" w:type="dxa"/>
            <w:vAlign w:val="bottom"/>
            <w:tcBorders>
              <w:right w:val="single" w:sz="8" w:color="auto"/>
            </w:tcBorders>
          </w:tcPr>
          <w:p>
            <w:pPr>
              <w:jc w:val="center"/>
              <w:ind w:left="193"/>
              <w:spacing w:after="0" w:line="81" w:lineRule="exact"/>
              <w:rPr>
                <w:sz w:val="20"/>
                <w:szCs w:val="20"/>
                <w:color w:val="auto"/>
              </w:rPr>
            </w:pPr>
            <w:r>
              <w:rPr>
                <w:rFonts w:ascii="Arial" w:cs="Arial" w:eastAsia="Arial" w:hAnsi="Arial"/>
                <w:sz w:val="8"/>
                <w:szCs w:val="8"/>
                <w:color w:val="auto"/>
              </w:rPr>
              <w:t>7.4%</w:t>
            </w:r>
          </w:p>
        </w:tc>
      </w:tr>
      <w:tr>
        <w:trPr>
          <w:trHeight w:val="115"/>
        </w:trPr>
        <w:tc>
          <w:tcPr>
            <w:tcW w:w="4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color w:val="auto"/>
              </w:rPr>
              <w:t>Others</w:t>
            </w:r>
          </w:p>
        </w:tc>
        <w:tc>
          <w:tcPr>
            <w:tcW w:w="1120" w:type="dxa"/>
            <w:vAlign w:val="bottom"/>
            <w:tcBorders>
              <w:bottom w:val="single" w:sz="8" w:color="auto"/>
            </w:tcBorders>
          </w:tcPr>
          <w:p>
            <w:pPr>
              <w:jc w:val="right"/>
              <w:ind w:right="153"/>
              <w:spacing w:after="0"/>
              <w:rPr>
                <w:sz w:val="20"/>
                <w:szCs w:val="20"/>
                <w:color w:val="auto"/>
              </w:rPr>
            </w:pPr>
            <w:r>
              <w:rPr>
                <w:rFonts w:ascii="Arial" w:cs="Arial" w:eastAsia="Arial" w:hAnsi="Arial"/>
                <w:sz w:val="10"/>
                <w:szCs w:val="10"/>
                <w:color w:val="auto"/>
              </w:rPr>
              <w:t>17,715,052</w:t>
            </w: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0"/>
                <w:szCs w:val="10"/>
                <w:color w:val="auto"/>
              </w:rPr>
              <w:t>19,874,605</w:t>
            </w:r>
          </w:p>
        </w:tc>
        <w:tc>
          <w:tcPr>
            <w:tcW w:w="8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0"/>
                <w:szCs w:val="10"/>
                <w:color w:val="auto"/>
              </w:rPr>
              <w:t>20,636,126</w:t>
            </w:r>
          </w:p>
        </w:tc>
        <w:tc>
          <w:tcPr>
            <w:tcW w:w="700" w:type="dxa"/>
            <w:vAlign w:val="bottom"/>
            <w:tcBorders>
              <w:bottom w:val="single" w:sz="8" w:color="auto"/>
            </w:tcBorders>
          </w:tcPr>
          <w:p>
            <w:pPr>
              <w:jc w:val="center"/>
              <w:ind w:left="233"/>
              <w:spacing w:after="0"/>
              <w:rPr>
                <w:sz w:val="20"/>
                <w:szCs w:val="20"/>
                <w:color w:val="auto"/>
              </w:rPr>
            </w:pPr>
            <w:r>
              <w:rPr>
                <w:rFonts w:ascii="Arial" w:cs="Arial" w:eastAsia="Arial" w:hAnsi="Arial"/>
                <w:sz w:val="10"/>
                <w:szCs w:val="10"/>
                <w:color w:val="auto"/>
                <w:w w:val="96"/>
              </w:rPr>
              <w:t>3.8%</w:t>
            </w:r>
          </w:p>
        </w:tc>
        <w:tc>
          <w:tcPr>
            <w:tcW w:w="1340" w:type="dxa"/>
            <w:vAlign w:val="bottom"/>
            <w:tcBorders>
              <w:bottom w:val="single" w:sz="8" w:color="auto"/>
              <w:right w:val="single" w:sz="8" w:color="auto"/>
            </w:tcBorders>
          </w:tcPr>
          <w:p>
            <w:pPr>
              <w:jc w:val="center"/>
              <w:ind w:left="213"/>
              <w:spacing w:after="0"/>
              <w:rPr>
                <w:sz w:val="20"/>
                <w:szCs w:val="20"/>
                <w:color w:val="auto"/>
              </w:rPr>
            </w:pPr>
            <w:r>
              <w:rPr>
                <w:rFonts w:ascii="Arial" w:cs="Arial" w:eastAsia="Arial" w:hAnsi="Arial"/>
                <w:sz w:val="10"/>
                <w:szCs w:val="10"/>
                <w:color w:val="auto"/>
                <w:w w:val="98"/>
              </w:rPr>
              <w:t>16.5%</w:t>
            </w:r>
          </w:p>
        </w:tc>
      </w:tr>
      <w:tr>
        <w:trPr>
          <w:trHeight w:val="93"/>
        </w:trPr>
        <w:tc>
          <w:tcPr>
            <w:tcW w:w="45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r>
      <w:tr>
        <w:trPr>
          <w:trHeight w:val="93"/>
        </w:trPr>
        <w:tc>
          <w:tcPr>
            <w:tcW w:w="4540" w:type="dxa"/>
            <w:vAlign w:val="bottom"/>
            <w:tcBorders>
              <w:left w:val="single" w:sz="8" w:color="auto"/>
              <w:bottom w:val="single" w:sz="8" w:color="auto"/>
              <w:right w:val="single" w:sz="8" w:color="auto"/>
            </w:tcBorders>
          </w:tcPr>
          <w:p>
            <w:pPr>
              <w:ind w:left="20"/>
              <w:spacing w:after="0" w:line="93" w:lineRule="exact"/>
              <w:rPr>
                <w:sz w:val="20"/>
                <w:szCs w:val="20"/>
                <w:color w:val="auto"/>
              </w:rPr>
            </w:pPr>
            <w:r>
              <w:rPr>
                <w:rFonts w:ascii="Arial" w:cs="Arial" w:eastAsia="Arial" w:hAnsi="Arial"/>
                <w:sz w:val="10"/>
                <w:szCs w:val="10"/>
                <w:b w:val="1"/>
                <w:bCs w:val="1"/>
                <w:color w:val="auto"/>
              </w:rPr>
              <w:t>CET1 ratio IFRS</w:t>
            </w:r>
          </w:p>
        </w:tc>
        <w:tc>
          <w:tcPr>
            <w:tcW w:w="1120" w:type="dxa"/>
            <w:vAlign w:val="bottom"/>
            <w:tcBorders>
              <w:bottom w:val="single" w:sz="8" w:color="auto"/>
            </w:tcBorders>
          </w:tcPr>
          <w:p>
            <w:pPr>
              <w:jc w:val="right"/>
              <w:ind w:right="133"/>
              <w:spacing w:after="0" w:line="93" w:lineRule="exact"/>
              <w:rPr>
                <w:sz w:val="20"/>
                <w:szCs w:val="20"/>
                <w:color w:val="auto"/>
              </w:rPr>
            </w:pPr>
            <w:r>
              <w:rPr>
                <w:rFonts w:ascii="Arial" w:cs="Arial" w:eastAsia="Arial" w:hAnsi="Arial"/>
                <w:sz w:val="10"/>
                <w:szCs w:val="10"/>
                <w:b w:val="1"/>
                <w:bCs w:val="1"/>
                <w:color w:val="auto"/>
              </w:rPr>
              <w:t>12.79%</w:t>
            </w:r>
          </w:p>
        </w:tc>
        <w:tc>
          <w:tcPr>
            <w:tcW w:w="1020" w:type="dxa"/>
            <w:vAlign w:val="bottom"/>
            <w:tcBorders>
              <w:bottom w:val="single" w:sz="8" w:color="auto"/>
            </w:tcBorders>
          </w:tcPr>
          <w:p>
            <w:pPr>
              <w:jc w:val="right"/>
              <w:ind w:right="133"/>
              <w:spacing w:after="0" w:line="93" w:lineRule="exact"/>
              <w:rPr>
                <w:sz w:val="20"/>
                <w:szCs w:val="20"/>
                <w:color w:val="auto"/>
              </w:rPr>
            </w:pPr>
            <w:r>
              <w:rPr>
                <w:rFonts w:ascii="Arial" w:cs="Arial" w:eastAsia="Arial" w:hAnsi="Arial"/>
                <w:sz w:val="10"/>
                <w:szCs w:val="10"/>
                <w:b w:val="1"/>
                <w:bCs w:val="1"/>
                <w:color w:val="auto"/>
              </w:rPr>
              <w:t>11.86%</w:t>
            </w:r>
          </w:p>
        </w:tc>
        <w:tc>
          <w:tcPr>
            <w:tcW w:w="880" w:type="dxa"/>
            <w:vAlign w:val="bottom"/>
            <w:tcBorders>
              <w:bottom w:val="single" w:sz="8" w:color="auto"/>
              <w:right w:val="single" w:sz="8" w:color="auto"/>
            </w:tcBorders>
          </w:tcPr>
          <w:p>
            <w:pPr>
              <w:jc w:val="right"/>
              <w:ind w:right="13"/>
              <w:spacing w:after="0" w:line="93" w:lineRule="exact"/>
              <w:rPr>
                <w:sz w:val="20"/>
                <w:szCs w:val="20"/>
                <w:color w:val="auto"/>
              </w:rPr>
            </w:pPr>
            <w:r>
              <w:rPr>
                <w:rFonts w:ascii="Arial" w:cs="Arial" w:eastAsia="Arial" w:hAnsi="Arial"/>
                <w:sz w:val="10"/>
                <w:szCs w:val="10"/>
                <w:b w:val="1"/>
                <w:bCs w:val="1"/>
                <w:color w:val="auto"/>
              </w:rPr>
              <w:t>12.05%</w:t>
            </w:r>
          </w:p>
        </w:tc>
        <w:tc>
          <w:tcPr>
            <w:tcW w:w="700" w:type="dxa"/>
            <w:vAlign w:val="bottom"/>
            <w:tcBorders>
              <w:bottom w:val="single" w:sz="8" w:color="auto"/>
            </w:tcBorders>
          </w:tcPr>
          <w:p>
            <w:pPr>
              <w:jc w:val="center"/>
              <w:ind w:left="233"/>
              <w:spacing w:after="0" w:line="93" w:lineRule="exact"/>
              <w:rPr>
                <w:sz w:val="20"/>
                <w:szCs w:val="20"/>
                <w:color w:val="auto"/>
              </w:rPr>
            </w:pPr>
            <w:r>
              <w:rPr>
                <w:rFonts w:ascii="Arial" w:cs="Arial" w:eastAsia="Arial" w:hAnsi="Arial"/>
                <w:sz w:val="10"/>
                <w:szCs w:val="10"/>
                <w:b w:val="1"/>
                <w:bCs w:val="1"/>
                <w:color w:val="auto"/>
                <w:w w:val="94"/>
              </w:rPr>
              <w:t>20 bps</w:t>
            </w:r>
          </w:p>
        </w:tc>
        <w:tc>
          <w:tcPr>
            <w:tcW w:w="1340" w:type="dxa"/>
            <w:vAlign w:val="bottom"/>
            <w:tcBorders>
              <w:bottom w:val="single" w:sz="8" w:color="auto"/>
              <w:right w:val="single" w:sz="8" w:color="auto"/>
            </w:tcBorders>
          </w:tcPr>
          <w:p>
            <w:pPr>
              <w:jc w:val="center"/>
              <w:ind w:left="193"/>
              <w:spacing w:after="0" w:line="93" w:lineRule="exact"/>
              <w:rPr>
                <w:sz w:val="20"/>
                <w:szCs w:val="20"/>
                <w:color w:val="auto"/>
              </w:rPr>
            </w:pPr>
            <w:r>
              <w:rPr>
                <w:rFonts w:ascii="Arial" w:cs="Arial" w:eastAsia="Arial" w:hAnsi="Arial"/>
                <w:sz w:val="10"/>
                <w:szCs w:val="10"/>
                <w:b w:val="1"/>
                <w:bCs w:val="1"/>
                <w:color w:val="auto"/>
                <w:w w:val="96"/>
              </w:rPr>
              <w:t>-74 bps</w:t>
            </w:r>
          </w:p>
        </w:tc>
      </w:tr>
    </w:tbl>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Mibanco</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79"/>
        </w:trPr>
        <w:tc>
          <w:tcPr>
            <w:tcW w:w="880" w:type="dxa"/>
            <w:vAlign w:val="bottom"/>
            <w:tcBorders>
              <w:right w:val="single" w:sz="8" w:color="auto"/>
            </w:tcBorders>
          </w:tcPr>
          <w:p>
            <w:pPr>
              <w:spacing w:after="0"/>
              <w:rPr>
                <w:sz w:val="6"/>
                <w:szCs w:val="6"/>
                <w:color w:val="auto"/>
              </w:rPr>
            </w:pPr>
          </w:p>
        </w:tc>
        <w:tc>
          <w:tcPr>
            <w:tcW w:w="4520" w:type="dxa"/>
            <w:vAlign w:val="bottom"/>
            <w:tcBorders>
              <w:top w:val="single" w:sz="8" w:color="auto"/>
              <w:right w:val="single" w:sz="8" w:color="auto"/>
            </w:tcBorders>
            <w:shd w:val="clear" w:color="auto" w:fill="2AD2C9"/>
          </w:tcPr>
          <w:p>
            <w:pPr>
              <w:spacing w:after="0" w:line="79" w:lineRule="exact"/>
              <w:rPr>
                <w:sz w:val="20"/>
                <w:szCs w:val="20"/>
                <w:color w:val="auto"/>
              </w:rPr>
            </w:pPr>
            <w:r>
              <w:rPr>
                <w:rFonts w:ascii="Arial" w:cs="Arial" w:eastAsia="Arial" w:hAnsi="Arial"/>
                <w:sz w:val="8"/>
                <w:szCs w:val="8"/>
                <w:b w:val="1"/>
                <w:bCs w:val="1"/>
                <w:color w:val="FFFFFF"/>
              </w:rPr>
              <w:t>Common Equity Tier 1 IFRS</w:t>
            </w:r>
          </w:p>
        </w:tc>
        <w:tc>
          <w:tcPr>
            <w:tcW w:w="980" w:type="dxa"/>
            <w:vAlign w:val="bottom"/>
            <w:tcBorders>
              <w:top w:val="single" w:sz="8" w:color="auto"/>
            </w:tcBorders>
            <w:shd w:val="clear" w:color="auto" w:fill="2AD2C9"/>
          </w:tcPr>
          <w:p>
            <w:pPr>
              <w:spacing w:after="0"/>
              <w:rPr>
                <w:sz w:val="6"/>
                <w:szCs w:val="6"/>
                <w:color w:val="auto"/>
              </w:rPr>
            </w:pPr>
          </w:p>
        </w:tc>
        <w:tc>
          <w:tcPr>
            <w:tcW w:w="1000" w:type="dxa"/>
            <w:vAlign w:val="bottom"/>
            <w:tcBorders>
              <w:top w:val="single" w:sz="8" w:color="auto"/>
            </w:tcBorders>
            <w:shd w:val="clear" w:color="auto" w:fill="2AD2C9"/>
          </w:tcPr>
          <w:p>
            <w:pPr>
              <w:jc w:val="center"/>
              <w:spacing w:after="0" w:line="79" w:lineRule="exact"/>
              <w:rPr>
                <w:sz w:val="20"/>
                <w:szCs w:val="20"/>
                <w:color w:val="auto"/>
              </w:rPr>
            </w:pPr>
            <w:r>
              <w:rPr>
                <w:rFonts w:ascii="Arial" w:cs="Arial" w:eastAsia="Arial" w:hAnsi="Arial"/>
                <w:sz w:val="8"/>
                <w:szCs w:val="8"/>
                <w:b w:val="1"/>
                <w:bCs w:val="1"/>
                <w:color w:val="FFFFFF"/>
              </w:rPr>
              <w:t>Quarter</w:t>
            </w:r>
          </w:p>
        </w:tc>
        <w:tc>
          <w:tcPr>
            <w:tcW w:w="1040" w:type="dxa"/>
            <w:vAlign w:val="bottom"/>
            <w:tcBorders>
              <w:top w:val="single" w:sz="8" w:color="auto"/>
              <w:right w:val="single" w:sz="8" w:color="auto"/>
            </w:tcBorders>
            <w:shd w:val="clear" w:color="auto" w:fill="2AD2C9"/>
          </w:tcPr>
          <w:p>
            <w:pPr>
              <w:spacing w:after="0"/>
              <w:rPr>
                <w:sz w:val="6"/>
                <w:szCs w:val="6"/>
                <w:color w:val="auto"/>
              </w:rPr>
            </w:pPr>
          </w:p>
        </w:tc>
        <w:tc>
          <w:tcPr>
            <w:tcW w:w="700" w:type="dxa"/>
            <w:vAlign w:val="bottom"/>
            <w:tcBorders>
              <w:top w:val="single" w:sz="8" w:color="auto"/>
            </w:tcBorders>
            <w:shd w:val="clear" w:color="auto" w:fill="2AD2C9"/>
          </w:tcPr>
          <w:p>
            <w:pPr>
              <w:spacing w:after="0"/>
              <w:rPr>
                <w:sz w:val="6"/>
                <w:szCs w:val="6"/>
                <w:color w:val="auto"/>
              </w:rPr>
            </w:pPr>
          </w:p>
        </w:tc>
        <w:tc>
          <w:tcPr>
            <w:tcW w:w="1340" w:type="dxa"/>
            <w:vAlign w:val="bottom"/>
            <w:tcBorders>
              <w:top w:val="single" w:sz="8" w:color="auto"/>
              <w:right w:val="single" w:sz="8" w:color="auto"/>
            </w:tcBorders>
            <w:shd w:val="clear" w:color="auto" w:fill="2AD2C9"/>
          </w:tcPr>
          <w:p>
            <w:pPr>
              <w:ind w:left="60"/>
              <w:spacing w:after="0" w:line="79" w:lineRule="exact"/>
              <w:rPr>
                <w:sz w:val="20"/>
                <w:szCs w:val="20"/>
                <w:color w:val="auto"/>
              </w:rPr>
            </w:pPr>
            <w:r>
              <w:rPr>
                <w:rFonts w:ascii="Arial" w:cs="Arial" w:eastAsia="Arial" w:hAnsi="Arial"/>
                <w:sz w:val="8"/>
                <w:szCs w:val="8"/>
                <w:b w:val="1"/>
                <w:bCs w:val="1"/>
                <w:color w:val="FFFFFF"/>
              </w:rPr>
              <w:t>% Change</w:t>
            </w:r>
          </w:p>
        </w:tc>
        <w:tc>
          <w:tcPr>
            <w:tcW w:w="820" w:type="dxa"/>
            <w:vAlign w:val="bottom"/>
          </w:tcPr>
          <w:p>
            <w:pPr>
              <w:spacing w:after="0"/>
              <w:rPr>
                <w:sz w:val="6"/>
                <w:szCs w:val="6"/>
                <w:color w:val="auto"/>
              </w:rPr>
            </w:pPr>
          </w:p>
        </w:tc>
      </w:tr>
      <w:tr>
        <w:trPr>
          <w:trHeight w:val="117"/>
        </w:trPr>
        <w:tc>
          <w:tcPr>
            <w:tcW w:w="880" w:type="dxa"/>
            <w:vAlign w:val="bottom"/>
            <w:tcBorders>
              <w:right w:val="single" w:sz="8" w:color="auto"/>
            </w:tcBorders>
          </w:tcPr>
          <w:p>
            <w:pPr>
              <w:spacing w:after="0"/>
              <w:rPr>
                <w:sz w:val="10"/>
                <w:szCs w:val="10"/>
                <w:color w:val="auto"/>
              </w:rPr>
            </w:pPr>
          </w:p>
        </w:tc>
        <w:tc>
          <w:tcPr>
            <w:tcW w:w="4520" w:type="dxa"/>
            <w:vAlign w:val="bottom"/>
            <w:tcBorders>
              <w:bottom w:val="single" w:sz="8" w:color="auto"/>
              <w:right w:val="single" w:sz="8" w:color="auto"/>
            </w:tcBorders>
            <w:shd w:val="clear" w:color="auto" w:fill="2AD2C9"/>
          </w:tcPr>
          <w:p>
            <w:pPr>
              <w:spacing w:after="0"/>
              <w:rPr>
                <w:sz w:val="20"/>
                <w:szCs w:val="20"/>
                <w:color w:val="auto"/>
              </w:rPr>
            </w:pPr>
            <w:r>
              <w:rPr>
                <w:rFonts w:ascii="Arial" w:cs="Arial" w:eastAsia="Arial" w:hAnsi="Arial"/>
                <w:sz w:val="10"/>
                <w:szCs w:val="10"/>
                <w:color w:val="FFFFFF"/>
              </w:rPr>
              <w:t>(S/. thousand)</w:t>
            </w:r>
          </w:p>
        </w:tc>
        <w:tc>
          <w:tcPr>
            <w:tcW w:w="98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0"/>
                <w:szCs w:val="10"/>
                <w:b w:val="1"/>
                <w:bCs w:val="1"/>
                <w:color w:val="FFFFFF"/>
              </w:rPr>
              <w:t>Jun 23</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rPr>
              <w:t>Mar 24</w:t>
            </w:r>
          </w:p>
        </w:tc>
        <w:tc>
          <w:tcPr>
            <w:tcW w:w="1040" w:type="dxa"/>
            <w:vAlign w:val="bottom"/>
            <w:tcBorders>
              <w:bottom w:val="single" w:sz="8" w:color="auto"/>
              <w:right w:val="single" w:sz="8" w:color="auto"/>
            </w:tcBorders>
            <w:shd w:val="clear" w:color="auto" w:fill="2AD2C9"/>
          </w:tcPr>
          <w:p>
            <w:pPr>
              <w:ind w:left="360"/>
              <w:spacing w:after="0"/>
              <w:rPr>
                <w:sz w:val="20"/>
                <w:szCs w:val="20"/>
                <w:color w:val="auto"/>
              </w:rPr>
            </w:pPr>
            <w:r>
              <w:rPr>
                <w:rFonts w:ascii="Arial" w:cs="Arial" w:eastAsia="Arial" w:hAnsi="Arial"/>
                <w:sz w:val="10"/>
                <w:szCs w:val="10"/>
                <w:b w:val="1"/>
                <w:bCs w:val="1"/>
                <w:color w:val="FFFFFF"/>
              </w:rPr>
              <w:t>Jun 24</w:t>
            </w:r>
          </w:p>
        </w:tc>
        <w:tc>
          <w:tcPr>
            <w:tcW w:w="700" w:type="dxa"/>
            <w:vAlign w:val="bottom"/>
            <w:tcBorders>
              <w:bottom w:val="single" w:sz="8" w:color="auto"/>
            </w:tcBorders>
            <w:shd w:val="clear" w:color="auto" w:fill="2AD2C9"/>
          </w:tcPr>
          <w:p>
            <w:pPr>
              <w:jc w:val="center"/>
              <w:ind w:left="213"/>
              <w:spacing w:after="0"/>
              <w:rPr>
                <w:sz w:val="20"/>
                <w:szCs w:val="20"/>
                <w:color w:val="auto"/>
              </w:rPr>
            </w:pPr>
            <w:r>
              <w:rPr>
                <w:rFonts w:ascii="Arial" w:cs="Arial" w:eastAsia="Arial" w:hAnsi="Arial"/>
                <w:sz w:val="10"/>
                <w:szCs w:val="10"/>
                <w:b w:val="1"/>
                <w:bCs w:val="1"/>
                <w:color w:val="FFFFFF"/>
                <w:w w:val="92"/>
              </w:rPr>
              <w:t>QoQ</w:t>
            </w:r>
          </w:p>
        </w:tc>
        <w:tc>
          <w:tcPr>
            <w:tcW w:w="1340" w:type="dxa"/>
            <w:vAlign w:val="bottom"/>
            <w:tcBorders>
              <w:bottom w:val="single" w:sz="8" w:color="auto"/>
              <w:right w:val="single" w:sz="8" w:color="auto"/>
            </w:tcBorders>
            <w:shd w:val="clear" w:color="auto" w:fill="2AD2C9"/>
          </w:tcPr>
          <w:p>
            <w:pPr>
              <w:jc w:val="center"/>
              <w:ind w:left="194"/>
              <w:spacing w:after="0"/>
              <w:rPr>
                <w:sz w:val="20"/>
                <w:szCs w:val="20"/>
                <w:color w:val="auto"/>
              </w:rPr>
            </w:pPr>
            <w:r>
              <w:rPr>
                <w:rFonts w:ascii="Arial" w:cs="Arial" w:eastAsia="Arial" w:hAnsi="Arial"/>
                <w:sz w:val="10"/>
                <w:szCs w:val="10"/>
                <w:b w:val="1"/>
                <w:bCs w:val="1"/>
                <w:color w:val="FFFFFF"/>
                <w:w w:val="92"/>
              </w:rPr>
              <w:t>YoY</w:t>
            </w:r>
          </w:p>
        </w:tc>
        <w:tc>
          <w:tcPr>
            <w:tcW w:w="820" w:type="dxa"/>
            <w:vAlign w:val="bottom"/>
          </w:tcPr>
          <w:p>
            <w:pPr>
              <w:spacing w:after="0"/>
              <w:rPr>
                <w:sz w:val="10"/>
                <w:szCs w:val="10"/>
                <w:color w:val="auto"/>
              </w:rPr>
            </w:pPr>
          </w:p>
        </w:tc>
      </w:tr>
      <w:tr>
        <w:trPr>
          <w:trHeight w:val="81"/>
        </w:trPr>
        <w:tc>
          <w:tcPr>
            <w:tcW w:w="880" w:type="dxa"/>
            <w:vAlign w:val="bottom"/>
            <w:tcBorders>
              <w:right w:val="single" w:sz="8" w:color="auto"/>
            </w:tcBorders>
          </w:tcPr>
          <w:p>
            <w:pPr>
              <w:spacing w:after="0"/>
              <w:rPr>
                <w:sz w:val="7"/>
                <w:szCs w:val="7"/>
                <w:color w:val="auto"/>
              </w:rPr>
            </w:pPr>
          </w:p>
        </w:tc>
        <w:tc>
          <w:tcPr>
            <w:tcW w:w="4520" w:type="dxa"/>
            <w:vAlign w:val="bottom"/>
            <w:tcBorders>
              <w:right w:val="single" w:sz="8" w:color="auto"/>
            </w:tcBorders>
          </w:tcPr>
          <w:p>
            <w:pPr>
              <w:spacing w:after="0" w:line="81" w:lineRule="exact"/>
              <w:rPr>
                <w:sz w:val="20"/>
                <w:szCs w:val="20"/>
                <w:color w:val="auto"/>
              </w:rPr>
            </w:pPr>
            <w:r>
              <w:rPr>
                <w:rFonts w:ascii="Arial" w:cs="Arial" w:eastAsia="Arial" w:hAnsi="Arial"/>
                <w:sz w:val="8"/>
                <w:szCs w:val="8"/>
                <w:color w:val="auto"/>
              </w:rPr>
              <w:t>Capital and reserves</w:t>
            </w:r>
          </w:p>
        </w:tc>
        <w:tc>
          <w:tcPr>
            <w:tcW w:w="980" w:type="dxa"/>
            <w:vAlign w:val="bottom"/>
          </w:tcPr>
          <w:p>
            <w:pPr>
              <w:jc w:val="center"/>
              <w:spacing w:after="0" w:line="81" w:lineRule="exact"/>
              <w:rPr>
                <w:sz w:val="20"/>
                <w:szCs w:val="20"/>
                <w:color w:val="auto"/>
              </w:rPr>
            </w:pPr>
            <w:r>
              <w:rPr>
                <w:rFonts w:ascii="Arial" w:cs="Arial" w:eastAsia="Arial" w:hAnsi="Arial"/>
                <w:sz w:val="8"/>
                <w:szCs w:val="8"/>
                <w:color w:val="auto"/>
              </w:rPr>
              <w:t>2,676,791</w:t>
            </w:r>
          </w:p>
        </w:tc>
        <w:tc>
          <w:tcPr>
            <w:tcW w:w="1000" w:type="dxa"/>
            <w:vAlign w:val="bottom"/>
          </w:tcPr>
          <w:p>
            <w:pPr>
              <w:jc w:val="center"/>
              <w:spacing w:after="0" w:line="81" w:lineRule="exact"/>
              <w:rPr>
                <w:sz w:val="20"/>
                <w:szCs w:val="20"/>
                <w:color w:val="auto"/>
              </w:rPr>
            </w:pPr>
            <w:r>
              <w:rPr>
                <w:rFonts w:ascii="Arial" w:cs="Arial" w:eastAsia="Arial" w:hAnsi="Arial"/>
                <w:sz w:val="8"/>
                <w:szCs w:val="8"/>
                <w:color w:val="auto"/>
              </w:rPr>
              <w:t>2,703,385</w:t>
            </w:r>
          </w:p>
        </w:tc>
        <w:tc>
          <w:tcPr>
            <w:tcW w:w="104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2,703,385</w:t>
            </w:r>
          </w:p>
        </w:tc>
        <w:tc>
          <w:tcPr>
            <w:tcW w:w="700" w:type="dxa"/>
            <w:vAlign w:val="bottom"/>
          </w:tcPr>
          <w:p>
            <w:pPr>
              <w:jc w:val="center"/>
              <w:ind w:left="233"/>
              <w:spacing w:after="0" w:line="81" w:lineRule="exact"/>
              <w:rPr>
                <w:sz w:val="20"/>
                <w:szCs w:val="20"/>
                <w:color w:val="auto"/>
              </w:rPr>
            </w:pPr>
            <w:r>
              <w:rPr>
                <w:rFonts w:ascii="Arial" w:cs="Arial" w:eastAsia="Arial" w:hAnsi="Arial"/>
                <w:sz w:val="8"/>
                <w:szCs w:val="8"/>
                <w:color w:val="auto"/>
              </w:rPr>
              <w:t>0.0%</w:t>
            </w:r>
          </w:p>
        </w:tc>
        <w:tc>
          <w:tcPr>
            <w:tcW w:w="1340" w:type="dxa"/>
            <w:vAlign w:val="bottom"/>
            <w:tcBorders>
              <w:right w:val="single" w:sz="8" w:color="auto"/>
            </w:tcBorders>
          </w:tcPr>
          <w:p>
            <w:pPr>
              <w:jc w:val="center"/>
              <w:ind w:left="194"/>
              <w:spacing w:after="0" w:line="81" w:lineRule="exact"/>
              <w:rPr>
                <w:sz w:val="20"/>
                <w:szCs w:val="20"/>
                <w:color w:val="auto"/>
              </w:rPr>
            </w:pPr>
            <w:r>
              <w:rPr>
                <w:rFonts w:ascii="Arial" w:cs="Arial" w:eastAsia="Arial" w:hAnsi="Arial"/>
                <w:sz w:val="8"/>
                <w:szCs w:val="8"/>
                <w:color w:val="auto"/>
              </w:rPr>
              <w:t>1.0%</w:t>
            </w:r>
          </w:p>
        </w:tc>
        <w:tc>
          <w:tcPr>
            <w:tcW w:w="820" w:type="dxa"/>
            <w:vAlign w:val="bottom"/>
          </w:tcPr>
          <w:p>
            <w:pPr>
              <w:spacing w:after="0"/>
              <w:rPr>
                <w:sz w:val="7"/>
                <w:szCs w:val="7"/>
                <w:color w:val="auto"/>
              </w:rPr>
            </w:pPr>
          </w:p>
        </w:tc>
      </w:tr>
      <w:tr>
        <w:trPr>
          <w:trHeight w:val="103"/>
        </w:trPr>
        <w:tc>
          <w:tcPr>
            <w:tcW w:w="880" w:type="dxa"/>
            <w:vAlign w:val="bottom"/>
            <w:tcBorders>
              <w:right w:val="single" w:sz="8" w:color="auto"/>
            </w:tcBorders>
          </w:tcPr>
          <w:p>
            <w:pPr>
              <w:spacing w:after="0"/>
              <w:rPr>
                <w:sz w:val="8"/>
                <w:szCs w:val="8"/>
                <w:color w:val="auto"/>
              </w:rPr>
            </w:pPr>
          </w:p>
        </w:tc>
        <w:tc>
          <w:tcPr>
            <w:tcW w:w="4520" w:type="dxa"/>
            <w:vAlign w:val="bottom"/>
            <w:tcBorders>
              <w:right w:val="single" w:sz="8" w:color="auto"/>
            </w:tcBorders>
          </w:tcPr>
          <w:p>
            <w:pPr>
              <w:spacing w:after="0" w:line="103" w:lineRule="exact"/>
              <w:rPr>
                <w:sz w:val="20"/>
                <w:szCs w:val="20"/>
                <w:color w:val="auto"/>
              </w:rPr>
            </w:pPr>
            <w:r>
              <w:rPr>
                <w:rFonts w:ascii="Arial" w:cs="Arial" w:eastAsia="Arial" w:hAnsi="Arial"/>
                <w:sz w:val="10"/>
                <w:szCs w:val="10"/>
                <w:color w:val="auto"/>
              </w:rPr>
              <w:t>Retained earnings</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3"/>
              </w:rPr>
              <w:t>206,920</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6"/>
              </w:rPr>
              <w:t>(62,632)</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(26,918)</w:t>
            </w:r>
          </w:p>
        </w:tc>
        <w:tc>
          <w:tcPr>
            <w:tcW w:w="700" w:type="dxa"/>
            <w:vAlign w:val="bottom"/>
          </w:tcPr>
          <w:p>
            <w:pPr>
              <w:jc w:val="center"/>
              <w:ind w:left="233"/>
              <w:spacing w:after="0" w:line="103" w:lineRule="exact"/>
              <w:rPr>
                <w:sz w:val="20"/>
                <w:szCs w:val="20"/>
                <w:color w:val="auto"/>
              </w:rPr>
            </w:pPr>
            <w:r>
              <w:rPr>
                <w:rFonts w:ascii="Arial" w:cs="Arial" w:eastAsia="Arial" w:hAnsi="Arial"/>
                <w:sz w:val="10"/>
                <w:szCs w:val="10"/>
                <w:color w:val="auto"/>
                <w:w w:val="94"/>
              </w:rPr>
              <w:t>-57.0%</w:t>
            </w:r>
          </w:p>
        </w:tc>
        <w:tc>
          <w:tcPr>
            <w:tcW w:w="1340" w:type="dxa"/>
            <w:vAlign w:val="bottom"/>
            <w:tcBorders>
              <w:right w:val="single" w:sz="8" w:color="auto"/>
            </w:tcBorders>
          </w:tcPr>
          <w:p>
            <w:pPr>
              <w:jc w:val="center"/>
              <w:ind w:left="214"/>
              <w:spacing w:after="0" w:line="103" w:lineRule="exact"/>
              <w:rPr>
                <w:sz w:val="20"/>
                <w:szCs w:val="20"/>
                <w:color w:val="auto"/>
              </w:rPr>
            </w:pPr>
            <w:r>
              <w:rPr>
                <w:rFonts w:ascii="Arial" w:cs="Arial" w:eastAsia="Arial" w:hAnsi="Arial"/>
                <w:sz w:val="10"/>
                <w:szCs w:val="10"/>
                <w:color w:val="auto"/>
                <w:w w:val="96"/>
              </w:rPr>
              <w:t>-113.0%</w:t>
            </w:r>
          </w:p>
        </w:tc>
        <w:tc>
          <w:tcPr>
            <w:tcW w:w="820" w:type="dxa"/>
            <w:vAlign w:val="bottom"/>
          </w:tcPr>
          <w:p>
            <w:pPr>
              <w:spacing w:after="0"/>
              <w:rPr>
                <w:sz w:val="8"/>
                <w:szCs w:val="8"/>
                <w:color w:val="auto"/>
              </w:rPr>
            </w:pPr>
          </w:p>
        </w:tc>
      </w:tr>
      <w:tr>
        <w:trPr>
          <w:trHeight w:val="103"/>
        </w:trPr>
        <w:tc>
          <w:tcPr>
            <w:tcW w:w="880" w:type="dxa"/>
            <w:vAlign w:val="bottom"/>
            <w:tcBorders>
              <w:right w:val="single" w:sz="8" w:color="auto"/>
            </w:tcBorders>
          </w:tcPr>
          <w:p>
            <w:pPr>
              <w:spacing w:after="0"/>
              <w:rPr>
                <w:sz w:val="8"/>
                <w:szCs w:val="8"/>
                <w:color w:val="auto"/>
              </w:rPr>
            </w:pPr>
          </w:p>
        </w:tc>
        <w:tc>
          <w:tcPr>
            <w:tcW w:w="4520" w:type="dxa"/>
            <w:vAlign w:val="bottom"/>
            <w:tcBorders>
              <w:right w:val="single" w:sz="8" w:color="auto"/>
            </w:tcBorders>
          </w:tcPr>
          <w:p>
            <w:pPr>
              <w:spacing w:after="0" w:line="103" w:lineRule="exact"/>
              <w:rPr>
                <w:sz w:val="20"/>
                <w:szCs w:val="20"/>
                <w:color w:val="auto"/>
              </w:rPr>
            </w:pPr>
            <w:r>
              <w:rPr>
                <w:rFonts w:ascii="Arial" w:cs="Arial" w:eastAsia="Arial" w:hAnsi="Arial"/>
                <w:sz w:val="10"/>
                <w:szCs w:val="10"/>
                <w:color w:val="auto"/>
              </w:rPr>
              <w:t>Unrealized gains (losses)</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4"/>
              </w:rPr>
              <w:t>(5,399)</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rPr>
              <w:t>(8,967)</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(3,821)</w:t>
            </w:r>
          </w:p>
        </w:tc>
        <w:tc>
          <w:tcPr>
            <w:tcW w:w="700" w:type="dxa"/>
            <w:vAlign w:val="bottom"/>
          </w:tcPr>
          <w:p>
            <w:pPr>
              <w:jc w:val="center"/>
              <w:ind w:left="233"/>
              <w:spacing w:after="0" w:line="103" w:lineRule="exact"/>
              <w:rPr>
                <w:sz w:val="20"/>
                <w:szCs w:val="20"/>
                <w:color w:val="auto"/>
              </w:rPr>
            </w:pPr>
            <w:r>
              <w:rPr>
                <w:rFonts w:ascii="Arial" w:cs="Arial" w:eastAsia="Arial" w:hAnsi="Arial"/>
                <w:sz w:val="10"/>
                <w:szCs w:val="10"/>
                <w:color w:val="auto"/>
                <w:w w:val="94"/>
              </w:rPr>
              <w:t>-57.4%</w:t>
            </w:r>
          </w:p>
        </w:tc>
        <w:tc>
          <w:tcPr>
            <w:tcW w:w="1340" w:type="dxa"/>
            <w:vAlign w:val="bottom"/>
            <w:tcBorders>
              <w:right w:val="single" w:sz="8" w:color="auto"/>
            </w:tcBorders>
          </w:tcPr>
          <w:p>
            <w:pPr>
              <w:jc w:val="center"/>
              <w:ind w:left="194"/>
              <w:spacing w:after="0" w:line="103" w:lineRule="exact"/>
              <w:rPr>
                <w:sz w:val="20"/>
                <w:szCs w:val="20"/>
                <w:color w:val="auto"/>
              </w:rPr>
            </w:pPr>
            <w:r>
              <w:rPr>
                <w:rFonts w:ascii="Arial" w:cs="Arial" w:eastAsia="Arial" w:hAnsi="Arial"/>
                <w:sz w:val="10"/>
                <w:szCs w:val="10"/>
                <w:color w:val="auto"/>
                <w:w w:val="94"/>
              </w:rPr>
              <w:t>-29.2%</w:t>
            </w:r>
          </w:p>
        </w:tc>
        <w:tc>
          <w:tcPr>
            <w:tcW w:w="820" w:type="dxa"/>
            <w:vAlign w:val="bottom"/>
          </w:tcPr>
          <w:p>
            <w:pPr>
              <w:spacing w:after="0"/>
              <w:rPr>
                <w:sz w:val="8"/>
                <w:szCs w:val="8"/>
                <w:color w:val="auto"/>
              </w:rPr>
            </w:pPr>
          </w:p>
        </w:tc>
      </w:tr>
      <w:tr>
        <w:trPr>
          <w:trHeight w:val="103"/>
        </w:trPr>
        <w:tc>
          <w:tcPr>
            <w:tcW w:w="880" w:type="dxa"/>
            <w:vAlign w:val="bottom"/>
            <w:tcBorders>
              <w:right w:val="single" w:sz="8" w:color="auto"/>
            </w:tcBorders>
          </w:tcPr>
          <w:p>
            <w:pPr>
              <w:spacing w:after="0"/>
              <w:rPr>
                <w:sz w:val="8"/>
                <w:szCs w:val="8"/>
                <w:color w:val="auto"/>
              </w:rPr>
            </w:pPr>
          </w:p>
        </w:tc>
        <w:tc>
          <w:tcPr>
            <w:tcW w:w="4520" w:type="dxa"/>
            <w:vAlign w:val="bottom"/>
            <w:tcBorders>
              <w:right w:val="single" w:sz="8" w:color="auto"/>
            </w:tcBorders>
          </w:tcPr>
          <w:p>
            <w:pPr>
              <w:spacing w:after="0" w:line="103" w:lineRule="exact"/>
              <w:rPr>
                <w:sz w:val="20"/>
                <w:szCs w:val="20"/>
                <w:color w:val="auto"/>
              </w:rPr>
            </w:pPr>
            <w:r>
              <w:rPr>
                <w:rFonts w:ascii="Arial" w:cs="Arial" w:eastAsia="Arial" w:hAnsi="Arial"/>
                <w:sz w:val="10"/>
                <w:szCs w:val="10"/>
                <w:color w:val="auto"/>
              </w:rPr>
              <w:t>Goodwill and intangibles</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3"/>
              </w:rPr>
              <w:t>(344,323)</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3"/>
              </w:rPr>
              <w:t>(352,162)</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8"/>
              </w:rPr>
              <w:t>(356,518)</w:t>
            </w:r>
          </w:p>
        </w:tc>
        <w:tc>
          <w:tcPr>
            <w:tcW w:w="700" w:type="dxa"/>
            <w:vAlign w:val="bottom"/>
          </w:tcPr>
          <w:p>
            <w:pPr>
              <w:jc w:val="center"/>
              <w:ind w:left="233"/>
              <w:spacing w:after="0" w:line="103" w:lineRule="exact"/>
              <w:rPr>
                <w:sz w:val="20"/>
                <w:szCs w:val="20"/>
                <w:color w:val="auto"/>
              </w:rPr>
            </w:pPr>
            <w:r>
              <w:rPr>
                <w:rFonts w:ascii="Arial" w:cs="Arial" w:eastAsia="Arial" w:hAnsi="Arial"/>
                <w:sz w:val="10"/>
                <w:szCs w:val="10"/>
                <w:color w:val="auto"/>
                <w:w w:val="96"/>
              </w:rPr>
              <w:t>1.2%</w:t>
            </w:r>
          </w:p>
        </w:tc>
        <w:tc>
          <w:tcPr>
            <w:tcW w:w="1340" w:type="dxa"/>
            <w:vAlign w:val="bottom"/>
            <w:tcBorders>
              <w:right w:val="single" w:sz="8" w:color="auto"/>
            </w:tcBorders>
          </w:tcPr>
          <w:p>
            <w:pPr>
              <w:jc w:val="center"/>
              <w:ind w:left="194"/>
              <w:spacing w:after="0" w:line="103" w:lineRule="exact"/>
              <w:rPr>
                <w:sz w:val="20"/>
                <w:szCs w:val="20"/>
                <w:color w:val="auto"/>
              </w:rPr>
            </w:pPr>
            <w:r>
              <w:rPr>
                <w:rFonts w:ascii="Arial" w:cs="Arial" w:eastAsia="Arial" w:hAnsi="Arial"/>
                <w:sz w:val="10"/>
                <w:szCs w:val="10"/>
                <w:color w:val="auto"/>
                <w:w w:val="96"/>
              </w:rPr>
              <w:t>3.5%</w:t>
            </w:r>
          </w:p>
        </w:tc>
        <w:tc>
          <w:tcPr>
            <w:tcW w:w="820" w:type="dxa"/>
            <w:vAlign w:val="bottom"/>
          </w:tcPr>
          <w:p>
            <w:pPr>
              <w:spacing w:after="0"/>
              <w:rPr>
                <w:sz w:val="8"/>
                <w:szCs w:val="8"/>
                <w:color w:val="auto"/>
              </w:rPr>
            </w:pPr>
          </w:p>
        </w:tc>
      </w:tr>
      <w:tr>
        <w:trPr>
          <w:trHeight w:val="115"/>
        </w:trPr>
        <w:tc>
          <w:tcPr>
            <w:tcW w:w="880" w:type="dxa"/>
            <w:vAlign w:val="bottom"/>
            <w:tcBorders>
              <w:right w:val="single" w:sz="8" w:color="auto"/>
            </w:tcBorders>
          </w:tcPr>
          <w:p>
            <w:pPr>
              <w:spacing w:after="0"/>
              <w:rPr>
                <w:sz w:val="10"/>
                <w:szCs w:val="10"/>
                <w:color w:val="auto"/>
              </w:rPr>
            </w:pPr>
          </w:p>
        </w:tc>
        <w:tc>
          <w:tcPr>
            <w:tcW w:w="4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Investments in subsidiaries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4"/>
              </w:rPr>
              <w:t>(275)</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(275)</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4"/>
              </w:rPr>
              <w:t>(281)</w:t>
            </w:r>
          </w:p>
        </w:tc>
        <w:tc>
          <w:tcPr>
            <w:tcW w:w="700" w:type="dxa"/>
            <w:vAlign w:val="bottom"/>
            <w:tcBorders>
              <w:bottom w:val="single" w:sz="8" w:color="auto"/>
            </w:tcBorders>
          </w:tcPr>
          <w:p>
            <w:pPr>
              <w:jc w:val="center"/>
              <w:ind w:left="233"/>
              <w:spacing w:after="0"/>
              <w:rPr>
                <w:sz w:val="20"/>
                <w:szCs w:val="20"/>
                <w:color w:val="auto"/>
              </w:rPr>
            </w:pPr>
            <w:r>
              <w:rPr>
                <w:rFonts w:ascii="Arial" w:cs="Arial" w:eastAsia="Arial" w:hAnsi="Arial"/>
                <w:sz w:val="10"/>
                <w:szCs w:val="10"/>
                <w:color w:val="auto"/>
                <w:w w:val="96"/>
              </w:rPr>
              <w:t>1.9%</w:t>
            </w:r>
          </w:p>
        </w:tc>
        <w:tc>
          <w:tcPr>
            <w:tcW w:w="1340" w:type="dxa"/>
            <w:vAlign w:val="bottom"/>
            <w:tcBorders>
              <w:bottom w:val="single" w:sz="8" w:color="auto"/>
              <w:right w:val="single" w:sz="8" w:color="auto"/>
            </w:tcBorders>
          </w:tcPr>
          <w:p>
            <w:pPr>
              <w:jc w:val="center"/>
              <w:ind w:left="194"/>
              <w:spacing w:after="0"/>
              <w:rPr>
                <w:sz w:val="20"/>
                <w:szCs w:val="20"/>
                <w:color w:val="auto"/>
              </w:rPr>
            </w:pPr>
            <w:r>
              <w:rPr>
                <w:rFonts w:ascii="Arial" w:cs="Arial" w:eastAsia="Arial" w:hAnsi="Arial"/>
                <w:sz w:val="10"/>
                <w:szCs w:val="10"/>
                <w:color w:val="auto"/>
                <w:w w:val="96"/>
              </w:rPr>
              <w:t>2.0%</w:t>
            </w:r>
          </w:p>
        </w:tc>
        <w:tc>
          <w:tcPr>
            <w:tcW w:w="820" w:type="dxa"/>
            <w:vAlign w:val="bottom"/>
          </w:tcPr>
          <w:p>
            <w:pPr>
              <w:spacing w:after="0"/>
              <w:rPr>
                <w:sz w:val="10"/>
                <w:szCs w:val="10"/>
                <w:color w:val="auto"/>
              </w:rPr>
            </w:pPr>
          </w:p>
        </w:tc>
      </w:tr>
      <w:tr>
        <w:trPr>
          <w:trHeight w:val="93"/>
        </w:trPr>
        <w:tc>
          <w:tcPr>
            <w:tcW w:w="880" w:type="dxa"/>
            <w:vAlign w:val="bottom"/>
            <w:tcBorders>
              <w:right w:val="single" w:sz="8" w:color="auto"/>
            </w:tcBorders>
          </w:tcPr>
          <w:p>
            <w:pPr>
              <w:spacing w:after="0"/>
              <w:rPr>
                <w:sz w:val="8"/>
                <w:szCs w:val="8"/>
                <w:color w:val="auto"/>
              </w:rPr>
            </w:pPr>
          </w:p>
        </w:tc>
        <w:tc>
          <w:tcPr>
            <w:tcW w:w="4520" w:type="dxa"/>
            <w:vAlign w:val="bottom"/>
            <w:tcBorders>
              <w:bottom w:val="single" w:sz="8" w:color="auto"/>
              <w:right w:val="single" w:sz="8" w:color="auto"/>
            </w:tcBorders>
          </w:tcPr>
          <w:p>
            <w:pPr>
              <w:spacing w:after="0" w:line="93" w:lineRule="exact"/>
              <w:rPr>
                <w:sz w:val="20"/>
                <w:szCs w:val="20"/>
                <w:color w:val="auto"/>
              </w:rPr>
            </w:pPr>
            <w:r>
              <w:rPr>
                <w:rFonts w:ascii="Arial" w:cs="Arial" w:eastAsia="Arial" w:hAnsi="Arial"/>
                <w:sz w:val="10"/>
                <w:szCs w:val="10"/>
                <w:b w:val="1"/>
                <w:bCs w:val="1"/>
                <w:color w:val="auto"/>
              </w:rPr>
              <w:t>Total</w:t>
            </w:r>
          </w:p>
        </w:tc>
        <w:tc>
          <w:tcPr>
            <w:tcW w:w="98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4"/>
              </w:rPr>
              <w:t>2,533,715</w:t>
            </w:r>
          </w:p>
        </w:tc>
        <w:tc>
          <w:tcPr>
            <w:tcW w:w="10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8"/>
              </w:rPr>
              <w:t>2,279,349</w:t>
            </w:r>
          </w:p>
        </w:tc>
        <w:tc>
          <w:tcPr>
            <w:tcW w:w="104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4"/>
              </w:rPr>
              <w:t>2,315,848</w:t>
            </w:r>
          </w:p>
        </w:tc>
        <w:tc>
          <w:tcPr>
            <w:tcW w:w="700" w:type="dxa"/>
            <w:vAlign w:val="bottom"/>
            <w:tcBorders>
              <w:bottom w:val="single" w:sz="8" w:color="auto"/>
            </w:tcBorders>
          </w:tcPr>
          <w:p>
            <w:pPr>
              <w:jc w:val="center"/>
              <w:ind w:left="233"/>
              <w:spacing w:after="0" w:line="93" w:lineRule="exact"/>
              <w:rPr>
                <w:sz w:val="20"/>
                <w:szCs w:val="20"/>
                <w:color w:val="auto"/>
              </w:rPr>
            </w:pPr>
            <w:r>
              <w:rPr>
                <w:rFonts w:ascii="Arial" w:cs="Arial" w:eastAsia="Arial" w:hAnsi="Arial"/>
                <w:sz w:val="10"/>
                <w:szCs w:val="10"/>
                <w:b w:val="1"/>
                <w:bCs w:val="1"/>
                <w:color w:val="auto"/>
                <w:w w:val="96"/>
              </w:rPr>
              <w:t>1.6%</w:t>
            </w:r>
          </w:p>
        </w:tc>
        <w:tc>
          <w:tcPr>
            <w:tcW w:w="1340" w:type="dxa"/>
            <w:vAlign w:val="bottom"/>
            <w:tcBorders>
              <w:bottom w:val="single" w:sz="8" w:color="auto"/>
              <w:right w:val="single" w:sz="8" w:color="auto"/>
            </w:tcBorders>
          </w:tcPr>
          <w:p>
            <w:pPr>
              <w:jc w:val="center"/>
              <w:ind w:left="214"/>
              <w:spacing w:after="0" w:line="93" w:lineRule="exact"/>
              <w:rPr>
                <w:sz w:val="20"/>
                <w:szCs w:val="20"/>
                <w:color w:val="auto"/>
              </w:rPr>
            </w:pPr>
            <w:r>
              <w:rPr>
                <w:rFonts w:ascii="Arial" w:cs="Arial" w:eastAsia="Arial" w:hAnsi="Arial"/>
                <w:sz w:val="10"/>
                <w:szCs w:val="10"/>
                <w:b w:val="1"/>
                <w:bCs w:val="1"/>
                <w:color w:val="auto"/>
                <w:w w:val="91"/>
              </w:rPr>
              <w:t>-8.6%</w:t>
            </w:r>
          </w:p>
        </w:tc>
        <w:tc>
          <w:tcPr>
            <w:tcW w:w="820" w:type="dxa"/>
            <w:vAlign w:val="bottom"/>
          </w:tcPr>
          <w:p>
            <w:pPr>
              <w:spacing w:after="0"/>
              <w:rPr>
                <w:sz w:val="8"/>
                <w:szCs w:val="8"/>
                <w:color w:val="auto"/>
              </w:rPr>
            </w:pPr>
          </w:p>
        </w:tc>
      </w:tr>
      <w:tr>
        <w:trPr>
          <w:trHeight w:val="93"/>
        </w:trPr>
        <w:tc>
          <w:tcPr>
            <w:tcW w:w="880" w:type="dxa"/>
            <w:vAlign w:val="bottom"/>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r>
      <w:tr>
        <w:trPr>
          <w:trHeight w:val="93"/>
        </w:trPr>
        <w:tc>
          <w:tcPr>
            <w:tcW w:w="880" w:type="dxa"/>
            <w:vAlign w:val="bottom"/>
            <w:tcBorders>
              <w:right w:val="single" w:sz="8" w:color="auto"/>
            </w:tcBorders>
          </w:tcPr>
          <w:p>
            <w:pPr>
              <w:spacing w:after="0"/>
              <w:rPr>
                <w:sz w:val="8"/>
                <w:szCs w:val="8"/>
                <w:color w:val="auto"/>
              </w:rPr>
            </w:pPr>
          </w:p>
        </w:tc>
        <w:tc>
          <w:tcPr>
            <w:tcW w:w="4520" w:type="dxa"/>
            <w:vAlign w:val="bottom"/>
            <w:tcBorders>
              <w:bottom w:val="single" w:sz="8" w:color="auto"/>
              <w:right w:val="single" w:sz="8" w:color="auto"/>
            </w:tcBorders>
          </w:tcPr>
          <w:p>
            <w:pPr>
              <w:spacing w:after="0" w:line="93" w:lineRule="exact"/>
              <w:rPr>
                <w:sz w:val="20"/>
                <w:szCs w:val="20"/>
                <w:color w:val="auto"/>
              </w:rPr>
            </w:pPr>
            <w:r>
              <w:rPr>
                <w:rFonts w:ascii="Arial" w:cs="Arial" w:eastAsia="Arial" w:hAnsi="Arial"/>
                <w:sz w:val="10"/>
                <w:szCs w:val="10"/>
                <w:b w:val="1"/>
                <w:bCs w:val="1"/>
                <w:color w:val="auto"/>
              </w:rPr>
              <w:t>Adjusted RWAs IFRS</w:t>
            </w:r>
          </w:p>
        </w:tc>
        <w:tc>
          <w:tcPr>
            <w:tcW w:w="98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5"/>
              </w:rPr>
              <w:t>15,261,939</w:t>
            </w:r>
          </w:p>
        </w:tc>
        <w:tc>
          <w:tcPr>
            <w:tcW w:w="10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5"/>
              </w:rPr>
              <w:t>14,188,737</w:t>
            </w:r>
          </w:p>
        </w:tc>
        <w:tc>
          <w:tcPr>
            <w:tcW w:w="104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5"/>
              </w:rPr>
              <w:t>13,852,449</w:t>
            </w:r>
          </w:p>
        </w:tc>
        <w:tc>
          <w:tcPr>
            <w:tcW w:w="700" w:type="dxa"/>
            <w:vAlign w:val="bottom"/>
            <w:tcBorders>
              <w:bottom w:val="single" w:sz="8" w:color="auto"/>
            </w:tcBorders>
          </w:tcPr>
          <w:p>
            <w:pPr>
              <w:jc w:val="center"/>
              <w:ind w:left="213"/>
              <w:spacing w:after="0" w:line="93" w:lineRule="exact"/>
              <w:rPr>
                <w:sz w:val="20"/>
                <w:szCs w:val="20"/>
                <w:color w:val="auto"/>
              </w:rPr>
            </w:pPr>
            <w:r>
              <w:rPr>
                <w:rFonts w:ascii="Arial" w:cs="Arial" w:eastAsia="Arial" w:hAnsi="Arial"/>
                <w:sz w:val="10"/>
                <w:szCs w:val="10"/>
                <w:b w:val="1"/>
                <w:bCs w:val="1"/>
                <w:color w:val="auto"/>
                <w:w w:val="91"/>
              </w:rPr>
              <w:t>-2.4%</w:t>
            </w:r>
          </w:p>
        </w:tc>
        <w:tc>
          <w:tcPr>
            <w:tcW w:w="1340" w:type="dxa"/>
            <w:vAlign w:val="bottom"/>
            <w:tcBorders>
              <w:bottom w:val="single" w:sz="8" w:color="auto"/>
              <w:right w:val="single" w:sz="8" w:color="auto"/>
            </w:tcBorders>
          </w:tcPr>
          <w:p>
            <w:pPr>
              <w:jc w:val="center"/>
              <w:ind w:left="214"/>
              <w:spacing w:after="0" w:line="93" w:lineRule="exact"/>
              <w:rPr>
                <w:sz w:val="20"/>
                <w:szCs w:val="20"/>
                <w:color w:val="auto"/>
              </w:rPr>
            </w:pPr>
            <w:r>
              <w:rPr>
                <w:rFonts w:ascii="Arial" w:cs="Arial" w:eastAsia="Arial" w:hAnsi="Arial"/>
                <w:sz w:val="10"/>
                <w:szCs w:val="10"/>
                <w:b w:val="1"/>
                <w:bCs w:val="1"/>
                <w:color w:val="auto"/>
                <w:w w:val="91"/>
              </w:rPr>
              <w:t>-9.2%</w:t>
            </w:r>
          </w:p>
        </w:tc>
        <w:tc>
          <w:tcPr>
            <w:tcW w:w="820" w:type="dxa"/>
            <w:vAlign w:val="bottom"/>
          </w:tcPr>
          <w:p>
            <w:pPr>
              <w:spacing w:after="0"/>
              <w:rPr>
                <w:sz w:val="8"/>
                <w:szCs w:val="8"/>
                <w:color w:val="auto"/>
              </w:rPr>
            </w:pPr>
          </w:p>
        </w:tc>
      </w:tr>
      <w:tr>
        <w:trPr>
          <w:trHeight w:val="81"/>
        </w:trPr>
        <w:tc>
          <w:tcPr>
            <w:tcW w:w="880" w:type="dxa"/>
            <w:vAlign w:val="bottom"/>
            <w:tcBorders>
              <w:right w:val="single" w:sz="8" w:color="auto"/>
            </w:tcBorders>
          </w:tcPr>
          <w:p>
            <w:pPr>
              <w:spacing w:after="0"/>
              <w:rPr>
                <w:sz w:val="7"/>
                <w:szCs w:val="7"/>
                <w:color w:val="auto"/>
              </w:rPr>
            </w:pPr>
          </w:p>
        </w:tc>
        <w:tc>
          <w:tcPr>
            <w:tcW w:w="4520" w:type="dxa"/>
            <w:vAlign w:val="bottom"/>
            <w:tcBorders>
              <w:right w:val="single" w:sz="8" w:color="auto"/>
            </w:tcBorders>
          </w:tcPr>
          <w:p>
            <w:pPr>
              <w:spacing w:after="0" w:line="81" w:lineRule="exact"/>
              <w:rPr>
                <w:sz w:val="20"/>
                <w:szCs w:val="20"/>
                <w:color w:val="auto"/>
              </w:rPr>
            </w:pPr>
            <w:r>
              <w:rPr>
                <w:rFonts w:ascii="Arial" w:cs="Arial" w:eastAsia="Arial" w:hAnsi="Arial"/>
                <w:sz w:val="8"/>
                <w:szCs w:val="8"/>
                <w:color w:val="auto"/>
              </w:rPr>
              <w:t>Adjusted Credit RWAs IFRS</w:t>
            </w:r>
          </w:p>
        </w:tc>
        <w:tc>
          <w:tcPr>
            <w:tcW w:w="980" w:type="dxa"/>
            <w:vAlign w:val="bottom"/>
          </w:tcPr>
          <w:p>
            <w:pPr>
              <w:jc w:val="center"/>
              <w:spacing w:after="0" w:line="81" w:lineRule="exact"/>
              <w:rPr>
                <w:sz w:val="20"/>
                <w:szCs w:val="20"/>
                <w:color w:val="auto"/>
              </w:rPr>
            </w:pPr>
            <w:r>
              <w:rPr>
                <w:rFonts w:ascii="Arial" w:cs="Arial" w:eastAsia="Arial" w:hAnsi="Arial"/>
                <w:sz w:val="8"/>
                <w:szCs w:val="8"/>
                <w:color w:val="auto"/>
              </w:rPr>
              <w:t>13,602,081</w:t>
            </w:r>
          </w:p>
        </w:tc>
        <w:tc>
          <w:tcPr>
            <w:tcW w:w="1000" w:type="dxa"/>
            <w:vAlign w:val="bottom"/>
          </w:tcPr>
          <w:p>
            <w:pPr>
              <w:jc w:val="center"/>
              <w:spacing w:after="0" w:line="81" w:lineRule="exact"/>
              <w:rPr>
                <w:sz w:val="20"/>
                <w:szCs w:val="20"/>
                <w:color w:val="auto"/>
              </w:rPr>
            </w:pPr>
            <w:r>
              <w:rPr>
                <w:rFonts w:ascii="Arial" w:cs="Arial" w:eastAsia="Arial" w:hAnsi="Arial"/>
                <w:sz w:val="8"/>
                <w:szCs w:val="8"/>
                <w:color w:val="auto"/>
              </w:rPr>
              <w:t>12,366,207</w:t>
            </w:r>
          </w:p>
        </w:tc>
        <w:tc>
          <w:tcPr>
            <w:tcW w:w="104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12,013,076</w:t>
            </w:r>
          </w:p>
        </w:tc>
        <w:tc>
          <w:tcPr>
            <w:tcW w:w="700" w:type="dxa"/>
            <w:vAlign w:val="bottom"/>
          </w:tcPr>
          <w:p>
            <w:pPr>
              <w:jc w:val="center"/>
              <w:ind w:left="213"/>
              <w:spacing w:after="0" w:line="81" w:lineRule="exact"/>
              <w:rPr>
                <w:sz w:val="20"/>
                <w:szCs w:val="20"/>
                <w:color w:val="auto"/>
              </w:rPr>
            </w:pPr>
            <w:r>
              <w:rPr>
                <w:rFonts w:ascii="Arial" w:cs="Arial" w:eastAsia="Arial" w:hAnsi="Arial"/>
                <w:sz w:val="8"/>
                <w:szCs w:val="8"/>
                <w:color w:val="auto"/>
              </w:rPr>
              <w:t>-2.9%</w:t>
            </w:r>
          </w:p>
        </w:tc>
        <w:tc>
          <w:tcPr>
            <w:tcW w:w="1340" w:type="dxa"/>
            <w:vAlign w:val="bottom"/>
            <w:tcBorders>
              <w:right w:val="single" w:sz="8" w:color="auto"/>
            </w:tcBorders>
          </w:tcPr>
          <w:p>
            <w:pPr>
              <w:jc w:val="center"/>
              <w:ind w:left="194"/>
              <w:spacing w:after="0" w:line="81" w:lineRule="exact"/>
              <w:rPr>
                <w:sz w:val="20"/>
                <w:szCs w:val="20"/>
                <w:color w:val="auto"/>
              </w:rPr>
            </w:pPr>
            <w:r>
              <w:rPr>
                <w:rFonts w:ascii="Arial" w:cs="Arial" w:eastAsia="Arial" w:hAnsi="Arial"/>
                <w:sz w:val="8"/>
                <w:szCs w:val="8"/>
                <w:color w:val="auto"/>
              </w:rPr>
              <w:t>-11.7%</w:t>
            </w:r>
          </w:p>
        </w:tc>
        <w:tc>
          <w:tcPr>
            <w:tcW w:w="820" w:type="dxa"/>
            <w:vAlign w:val="bottom"/>
          </w:tcPr>
          <w:p>
            <w:pPr>
              <w:spacing w:after="0"/>
              <w:rPr>
                <w:sz w:val="7"/>
                <w:szCs w:val="7"/>
                <w:color w:val="auto"/>
              </w:rPr>
            </w:pPr>
          </w:p>
        </w:tc>
      </w:tr>
      <w:tr>
        <w:trPr>
          <w:trHeight w:val="115"/>
        </w:trPr>
        <w:tc>
          <w:tcPr>
            <w:tcW w:w="880" w:type="dxa"/>
            <w:vAlign w:val="bottom"/>
            <w:tcBorders>
              <w:right w:val="single" w:sz="8" w:color="auto"/>
            </w:tcBorders>
          </w:tcPr>
          <w:p>
            <w:pPr>
              <w:spacing w:after="0"/>
              <w:rPr>
                <w:sz w:val="10"/>
                <w:szCs w:val="10"/>
                <w:color w:val="auto"/>
              </w:rPr>
            </w:pPr>
          </w:p>
        </w:tc>
        <w:tc>
          <w:tcPr>
            <w:tcW w:w="45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0"/>
                <w:szCs w:val="10"/>
                <w:color w:val="auto"/>
              </w:rPr>
              <w:t>Others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4"/>
              </w:rPr>
              <w:t>1,659,857</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1,822,530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4"/>
              </w:rPr>
              <w:t>1,839,373</w:t>
            </w:r>
          </w:p>
        </w:tc>
        <w:tc>
          <w:tcPr>
            <w:tcW w:w="700" w:type="dxa"/>
            <w:vAlign w:val="bottom"/>
            <w:tcBorders>
              <w:bottom w:val="single" w:sz="8" w:color="auto"/>
            </w:tcBorders>
          </w:tcPr>
          <w:p>
            <w:pPr>
              <w:jc w:val="center"/>
              <w:ind w:left="233"/>
              <w:spacing w:after="0"/>
              <w:rPr>
                <w:sz w:val="20"/>
                <w:szCs w:val="20"/>
                <w:color w:val="auto"/>
              </w:rPr>
            </w:pPr>
            <w:r>
              <w:rPr>
                <w:rFonts w:ascii="Arial" w:cs="Arial" w:eastAsia="Arial" w:hAnsi="Arial"/>
                <w:sz w:val="10"/>
                <w:szCs w:val="10"/>
                <w:color w:val="auto"/>
                <w:w w:val="96"/>
              </w:rPr>
              <w:t>0.9%</w:t>
            </w:r>
          </w:p>
        </w:tc>
        <w:tc>
          <w:tcPr>
            <w:tcW w:w="1340" w:type="dxa"/>
            <w:vAlign w:val="bottom"/>
            <w:tcBorders>
              <w:bottom w:val="single" w:sz="8" w:color="auto"/>
              <w:right w:val="single" w:sz="8" w:color="auto"/>
            </w:tcBorders>
          </w:tcPr>
          <w:p>
            <w:pPr>
              <w:jc w:val="center"/>
              <w:ind w:left="214"/>
              <w:spacing w:after="0"/>
              <w:rPr>
                <w:sz w:val="20"/>
                <w:szCs w:val="20"/>
                <w:color w:val="auto"/>
              </w:rPr>
            </w:pPr>
            <w:r>
              <w:rPr>
                <w:rFonts w:ascii="Arial" w:cs="Arial" w:eastAsia="Arial" w:hAnsi="Arial"/>
                <w:sz w:val="10"/>
                <w:szCs w:val="10"/>
                <w:color w:val="auto"/>
                <w:w w:val="98"/>
              </w:rPr>
              <w:t>10.8%</w:t>
            </w:r>
          </w:p>
        </w:tc>
        <w:tc>
          <w:tcPr>
            <w:tcW w:w="820" w:type="dxa"/>
            <w:vAlign w:val="bottom"/>
          </w:tcPr>
          <w:p>
            <w:pPr>
              <w:spacing w:after="0"/>
              <w:rPr>
                <w:sz w:val="10"/>
                <w:szCs w:val="10"/>
                <w:color w:val="auto"/>
              </w:rPr>
            </w:pPr>
          </w:p>
        </w:tc>
      </w:tr>
      <w:tr>
        <w:trPr>
          <w:trHeight w:val="93"/>
        </w:trPr>
        <w:tc>
          <w:tcPr>
            <w:tcW w:w="880" w:type="dxa"/>
            <w:vAlign w:val="bottom"/>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r>
      <w:tr>
        <w:trPr>
          <w:trHeight w:val="93"/>
        </w:trPr>
        <w:tc>
          <w:tcPr>
            <w:tcW w:w="880" w:type="dxa"/>
            <w:vAlign w:val="bottom"/>
            <w:tcBorders>
              <w:right w:val="single" w:sz="8" w:color="auto"/>
            </w:tcBorders>
          </w:tcPr>
          <w:p>
            <w:pPr>
              <w:spacing w:after="0"/>
              <w:rPr>
                <w:sz w:val="8"/>
                <w:szCs w:val="8"/>
                <w:color w:val="auto"/>
              </w:rPr>
            </w:pPr>
          </w:p>
        </w:tc>
        <w:tc>
          <w:tcPr>
            <w:tcW w:w="4520" w:type="dxa"/>
            <w:vAlign w:val="bottom"/>
            <w:tcBorders>
              <w:bottom w:val="single" w:sz="8" w:color="auto"/>
              <w:right w:val="single" w:sz="8" w:color="auto"/>
            </w:tcBorders>
          </w:tcPr>
          <w:p>
            <w:pPr>
              <w:spacing w:after="0" w:line="93" w:lineRule="exact"/>
              <w:rPr>
                <w:sz w:val="20"/>
                <w:szCs w:val="20"/>
                <w:color w:val="auto"/>
              </w:rPr>
            </w:pPr>
            <w:r>
              <w:rPr>
                <w:rFonts w:ascii="Arial" w:cs="Arial" w:eastAsia="Arial" w:hAnsi="Arial"/>
                <w:sz w:val="10"/>
                <w:szCs w:val="10"/>
                <w:b w:val="1"/>
                <w:bCs w:val="1"/>
                <w:color w:val="auto"/>
              </w:rPr>
              <w:t>CET1 ratio IFRS</w:t>
            </w:r>
          </w:p>
        </w:tc>
        <w:tc>
          <w:tcPr>
            <w:tcW w:w="98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4"/>
              </w:rPr>
              <w:t>16.60%</w:t>
            </w:r>
          </w:p>
        </w:tc>
        <w:tc>
          <w:tcPr>
            <w:tcW w:w="100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4"/>
              </w:rPr>
              <w:t>16.06%</w:t>
            </w:r>
          </w:p>
        </w:tc>
        <w:tc>
          <w:tcPr>
            <w:tcW w:w="104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4"/>
              </w:rPr>
              <w:t>16.72%</w:t>
            </w:r>
          </w:p>
        </w:tc>
        <w:tc>
          <w:tcPr>
            <w:tcW w:w="700" w:type="dxa"/>
            <w:vAlign w:val="bottom"/>
            <w:tcBorders>
              <w:bottom w:val="single" w:sz="8" w:color="auto"/>
            </w:tcBorders>
          </w:tcPr>
          <w:p>
            <w:pPr>
              <w:jc w:val="center"/>
              <w:ind w:left="233"/>
              <w:spacing w:after="0" w:line="93" w:lineRule="exact"/>
              <w:rPr>
                <w:sz w:val="20"/>
                <w:szCs w:val="20"/>
                <w:color w:val="auto"/>
              </w:rPr>
            </w:pPr>
            <w:r>
              <w:rPr>
                <w:rFonts w:ascii="Arial" w:cs="Arial" w:eastAsia="Arial" w:hAnsi="Arial"/>
                <w:sz w:val="10"/>
                <w:szCs w:val="10"/>
                <w:b w:val="1"/>
                <w:bCs w:val="1"/>
                <w:color w:val="auto"/>
                <w:w w:val="94"/>
              </w:rPr>
              <w:t>65 bps</w:t>
            </w:r>
          </w:p>
        </w:tc>
        <w:tc>
          <w:tcPr>
            <w:tcW w:w="1340" w:type="dxa"/>
            <w:vAlign w:val="bottom"/>
            <w:tcBorders>
              <w:bottom w:val="single" w:sz="8" w:color="auto"/>
              <w:right w:val="single" w:sz="8" w:color="auto"/>
            </w:tcBorders>
          </w:tcPr>
          <w:p>
            <w:pPr>
              <w:jc w:val="center"/>
              <w:ind w:left="194"/>
              <w:spacing w:after="0" w:line="93" w:lineRule="exact"/>
              <w:rPr>
                <w:sz w:val="20"/>
                <w:szCs w:val="20"/>
                <w:color w:val="auto"/>
              </w:rPr>
            </w:pPr>
            <w:r>
              <w:rPr>
                <w:rFonts w:ascii="Arial" w:cs="Arial" w:eastAsia="Arial" w:hAnsi="Arial"/>
                <w:sz w:val="10"/>
                <w:szCs w:val="10"/>
                <w:b w:val="1"/>
                <w:bCs w:val="1"/>
                <w:color w:val="auto"/>
                <w:w w:val="94"/>
              </w:rPr>
              <w:t>12 bps</w:t>
            </w:r>
          </w:p>
        </w:tc>
        <w:tc>
          <w:tcPr>
            <w:tcW w:w="820" w:type="dxa"/>
            <w:vAlign w:val="bottom"/>
          </w:tcPr>
          <w:p>
            <w:pPr>
              <w:spacing w:after="0"/>
              <w:rPr>
                <w:sz w:val="8"/>
                <w:szCs w:val="8"/>
                <w:color w:val="auto"/>
              </w:rPr>
            </w:pPr>
          </w:p>
        </w:tc>
      </w:tr>
      <w:tr>
        <w:trPr>
          <w:trHeight w:val="978"/>
        </w:trPr>
        <w:tc>
          <w:tcPr>
            <w:tcW w:w="8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-541655</wp:posOffset>
            </wp:positionV>
            <wp:extent cx="1502410" cy="4438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5415915</wp:posOffset>
            </wp:positionH>
            <wp:positionV relativeFrom="paragraph">
              <wp:posOffset>-424180</wp:posOffset>
            </wp:positionV>
            <wp:extent cx="1750695" cy="3263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750695" cy="32639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58" w:name="page59"/>
    <w:bookmarkEnd w:id="58"/>
    <w:p>
      <w:pPr>
        <w:jc w:val="both"/>
        <w:ind w:left="2580"/>
        <w:spacing w:after="0"/>
        <w:tabs>
          <w:tab w:leader="none" w:pos="2780" w:val="left"/>
          <w:tab w:leader="none" w:pos="7780"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10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64705" cy="581025"/>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15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12. Appendix</w:t>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12.6. Financial Statements and Ratios by Business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12.6.1. Credicorp Consolidated</w:t>
      </w:r>
    </w:p>
    <w:p>
      <w:pPr>
        <w:spacing w:after="0" w:line="152" w:lineRule="exact"/>
        <w:rPr>
          <w:sz w:val="20"/>
          <w:szCs w:val="20"/>
          <w:color w:val="auto"/>
        </w:rPr>
      </w:pPr>
    </w:p>
    <w:p>
      <w:pPr>
        <w:jc w:val="center"/>
        <w:ind w:right="-639"/>
        <w:spacing w:after="0"/>
        <w:rPr>
          <w:sz w:val="20"/>
          <w:szCs w:val="20"/>
          <w:color w:val="auto"/>
        </w:rPr>
      </w:pPr>
      <w:r>
        <w:rPr>
          <w:rFonts w:ascii="Arial" w:cs="Arial" w:eastAsia="Arial" w:hAnsi="Arial"/>
          <w:sz w:val="12"/>
          <w:szCs w:val="12"/>
          <w:b w:val="1"/>
          <w:bCs w:val="1"/>
          <w:color w:val="auto"/>
        </w:rPr>
        <w:t>Consolidated Statement of Financial Position</w:t>
      </w:r>
    </w:p>
    <w:p>
      <w:pPr>
        <w:spacing w:after="0" w:line="18" w:lineRule="exact"/>
        <w:rPr>
          <w:sz w:val="20"/>
          <w:szCs w:val="20"/>
          <w:color w:val="auto"/>
        </w:rPr>
      </w:pPr>
    </w:p>
    <w:p>
      <w:pPr>
        <w:jc w:val="center"/>
        <w:ind w:right="-679"/>
        <w:spacing w:after="0"/>
        <w:rPr>
          <w:sz w:val="20"/>
          <w:szCs w:val="20"/>
          <w:color w:val="auto"/>
        </w:rPr>
      </w:pPr>
      <w:r>
        <w:rPr>
          <w:rFonts w:ascii="Arial" w:cs="Arial" w:eastAsia="Arial" w:hAnsi="Arial"/>
          <w:sz w:val="12"/>
          <w:szCs w:val="12"/>
          <w:b w:val="1"/>
          <w:bCs w:val="1"/>
          <w:color w:val="auto"/>
        </w:rPr>
        <w:t>(S/ Thousands, IFRS)</w:t>
      </w:r>
    </w:p>
    <w:p>
      <w:pPr>
        <w:spacing w:after="0" w:line="139" w:lineRule="exact"/>
        <w:rPr>
          <w:sz w:val="20"/>
          <w:szCs w:val="20"/>
          <w:color w:val="auto"/>
        </w:rPr>
      </w:pPr>
    </w:p>
    <w:tbl>
      <w:tblPr>
        <w:tblLayout w:type="fixed"/>
        <w:tblInd w:w="1010" w:type="dxa"/>
        <w:tblCellMar>
          <w:top w:w="0" w:type="dxa"/>
          <w:left w:w="0" w:type="dxa"/>
          <w:bottom w:w="0" w:type="dxa"/>
          <w:right w:w="0" w:type="dxa"/>
        </w:tblCellMar>
      </w:tblPr>
      <w:tr>
        <w:trPr>
          <w:trHeight w:val="92"/>
        </w:trPr>
        <w:tc>
          <w:tcPr>
            <w:tcW w:w="440" w:type="dxa"/>
            <w:vAlign w:val="bottom"/>
            <w:tcBorders>
              <w:top w:val="single" w:sz="8" w:color="auto"/>
              <w:left w:val="single" w:sz="8" w:color="auto"/>
            </w:tcBorders>
            <w:shd w:val="clear" w:color="auto" w:fill="2AD2C9"/>
          </w:tcPr>
          <w:p>
            <w:pPr>
              <w:spacing w:after="0"/>
              <w:rPr>
                <w:sz w:val="8"/>
                <w:szCs w:val="8"/>
                <w:color w:val="auto"/>
              </w:rPr>
            </w:pPr>
          </w:p>
        </w:tc>
        <w:tc>
          <w:tcPr>
            <w:tcW w:w="3800" w:type="dxa"/>
            <w:vAlign w:val="bottom"/>
            <w:tcBorders>
              <w:top w:val="single" w:sz="8" w:color="auto"/>
              <w:right w:val="single" w:sz="8" w:color="auto"/>
            </w:tcBorders>
            <w:shd w:val="clear" w:color="auto" w:fill="2AD2C9"/>
          </w:tcPr>
          <w:p>
            <w:pPr>
              <w:spacing w:after="0"/>
              <w:rPr>
                <w:sz w:val="8"/>
                <w:szCs w:val="8"/>
                <w:color w:val="auto"/>
              </w:rPr>
            </w:pPr>
          </w:p>
        </w:tc>
        <w:tc>
          <w:tcPr>
            <w:tcW w:w="980" w:type="dxa"/>
            <w:vAlign w:val="bottom"/>
            <w:tcBorders>
              <w:top w:val="single" w:sz="8" w:color="auto"/>
            </w:tcBorders>
            <w:shd w:val="clear" w:color="auto" w:fill="2AD2C9"/>
          </w:tcPr>
          <w:p>
            <w:pPr>
              <w:spacing w:after="0"/>
              <w:rPr>
                <w:sz w:val="8"/>
                <w:szCs w:val="8"/>
                <w:color w:val="auto"/>
              </w:rPr>
            </w:pPr>
          </w:p>
        </w:tc>
        <w:tc>
          <w:tcPr>
            <w:tcW w:w="100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w w:val="99"/>
              </w:rPr>
              <w:t>As of</w:t>
            </w:r>
          </w:p>
        </w:tc>
        <w:tc>
          <w:tcPr>
            <w:tcW w:w="1020" w:type="dxa"/>
            <w:vAlign w:val="bottom"/>
            <w:tcBorders>
              <w:top w:val="single" w:sz="8" w:color="auto"/>
              <w:right w:val="single" w:sz="8" w:color="auto"/>
            </w:tcBorders>
            <w:shd w:val="clear" w:color="auto" w:fill="2AD2C9"/>
          </w:tcPr>
          <w:p>
            <w:pPr>
              <w:spacing w:after="0"/>
              <w:rPr>
                <w:sz w:val="8"/>
                <w:szCs w:val="8"/>
                <w:color w:val="auto"/>
              </w:rPr>
            </w:pPr>
          </w:p>
        </w:tc>
        <w:tc>
          <w:tcPr>
            <w:tcW w:w="620" w:type="dxa"/>
            <w:vAlign w:val="bottom"/>
            <w:tcBorders>
              <w:top w:val="single" w:sz="8" w:color="auto"/>
            </w:tcBorders>
            <w:shd w:val="clear" w:color="auto" w:fill="2AD2C9"/>
          </w:tcPr>
          <w:p>
            <w:pPr>
              <w:spacing w:after="0"/>
              <w:rPr>
                <w:sz w:val="8"/>
                <w:szCs w:val="8"/>
                <w:color w:val="auto"/>
              </w:rPr>
            </w:pPr>
          </w:p>
        </w:tc>
        <w:tc>
          <w:tcPr>
            <w:tcW w:w="1160" w:type="dxa"/>
            <w:vAlign w:val="bottom"/>
            <w:tcBorders>
              <w:top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8"/>
                <w:szCs w:val="8"/>
                <w:b w:val="1"/>
                <w:bCs w:val="1"/>
                <w:color w:val="FFFFFF"/>
              </w:rPr>
              <w:t>% change</w:t>
            </w:r>
          </w:p>
        </w:tc>
        <w:tc>
          <w:tcPr>
            <w:tcW w:w="0" w:type="dxa"/>
            <w:vAlign w:val="bottom"/>
          </w:tcPr>
          <w:p>
            <w:pPr>
              <w:spacing w:after="0"/>
              <w:rPr>
                <w:sz w:val="1"/>
                <w:szCs w:val="1"/>
                <w:color w:val="auto"/>
              </w:rPr>
            </w:pPr>
          </w:p>
        </w:tc>
      </w:tr>
      <w:tr>
        <w:trPr>
          <w:trHeight w:val="103"/>
        </w:trPr>
        <w:tc>
          <w:tcPr>
            <w:tcW w:w="440" w:type="dxa"/>
            <w:vAlign w:val="bottom"/>
            <w:tcBorders>
              <w:left w:val="single" w:sz="8" w:color="auto"/>
              <w:bottom w:val="single" w:sz="8" w:color="auto"/>
            </w:tcBorders>
            <w:shd w:val="clear" w:color="auto" w:fill="2AD2C9"/>
          </w:tcPr>
          <w:p>
            <w:pPr>
              <w:spacing w:after="0"/>
              <w:rPr>
                <w:sz w:val="8"/>
                <w:szCs w:val="8"/>
                <w:color w:val="auto"/>
              </w:rPr>
            </w:pPr>
          </w:p>
        </w:tc>
        <w:tc>
          <w:tcPr>
            <w:tcW w:w="3800" w:type="dxa"/>
            <w:vAlign w:val="bottom"/>
            <w:tcBorders>
              <w:bottom w:val="single" w:sz="8" w:color="auto"/>
              <w:right w:val="single" w:sz="8" w:color="auto"/>
            </w:tcBorders>
            <w:shd w:val="clear" w:color="auto" w:fill="2AD2C9"/>
          </w:tcPr>
          <w:p>
            <w:pPr>
              <w:spacing w:after="0"/>
              <w:rPr>
                <w:sz w:val="8"/>
                <w:szCs w:val="8"/>
                <w:color w:val="auto"/>
              </w:rPr>
            </w:pPr>
          </w:p>
        </w:tc>
        <w:tc>
          <w:tcPr>
            <w:tcW w:w="980" w:type="dxa"/>
            <w:vAlign w:val="bottom"/>
            <w:tcBorders>
              <w:bottom w:val="single" w:sz="8" w:color="auto"/>
            </w:tcBorders>
            <w:shd w:val="clear" w:color="auto" w:fill="2AD2C9"/>
          </w:tcPr>
          <w:p>
            <w:pPr>
              <w:ind w:left="360"/>
              <w:spacing w:after="0"/>
              <w:rPr>
                <w:sz w:val="20"/>
                <w:szCs w:val="20"/>
                <w:color w:val="auto"/>
              </w:rPr>
            </w:pPr>
            <w:r>
              <w:rPr>
                <w:rFonts w:ascii="Arial" w:cs="Arial" w:eastAsia="Arial" w:hAnsi="Arial"/>
                <w:sz w:val="8"/>
                <w:szCs w:val="8"/>
                <w:b w:val="1"/>
                <w:bCs w:val="1"/>
                <w:color w:val="FFFFFF"/>
              </w:rPr>
              <w:t>Jun 23</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rPr>
              <w:t>Mar 24</w:t>
            </w:r>
          </w:p>
        </w:tc>
        <w:tc>
          <w:tcPr>
            <w:tcW w:w="1020" w:type="dxa"/>
            <w:vAlign w:val="bottom"/>
            <w:tcBorders>
              <w:bottom w:val="single" w:sz="8" w:color="auto"/>
              <w:right w:val="single" w:sz="8" w:color="auto"/>
            </w:tcBorders>
            <w:shd w:val="clear" w:color="auto" w:fill="2AD2C9"/>
          </w:tcPr>
          <w:p>
            <w:pPr>
              <w:ind w:left="360"/>
              <w:spacing w:after="0"/>
              <w:rPr>
                <w:sz w:val="20"/>
                <w:szCs w:val="20"/>
                <w:color w:val="auto"/>
              </w:rPr>
            </w:pPr>
            <w:r>
              <w:rPr>
                <w:rFonts w:ascii="Arial" w:cs="Arial" w:eastAsia="Arial" w:hAnsi="Arial"/>
                <w:sz w:val="8"/>
                <w:szCs w:val="8"/>
                <w:b w:val="1"/>
                <w:bCs w:val="1"/>
                <w:color w:val="FFFFFF"/>
              </w:rPr>
              <w:t>Jun 24</w:t>
            </w:r>
          </w:p>
        </w:tc>
        <w:tc>
          <w:tcPr>
            <w:tcW w:w="620" w:type="dxa"/>
            <w:vAlign w:val="bottom"/>
            <w:tcBorders>
              <w:bottom w:val="single" w:sz="8" w:color="auto"/>
            </w:tcBorders>
            <w:shd w:val="clear" w:color="auto" w:fill="2AD2C9"/>
          </w:tcPr>
          <w:p>
            <w:pPr>
              <w:ind w:left="340"/>
              <w:spacing w:after="0"/>
              <w:rPr>
                <w:sz w:val="20"/>
                <w:szCs w:val="20"/>
                <w:color w:val="auto"/>
              </w:rPr>
            </w:pPr>
            <w:r>
              <w:rPr>
                <w:rFonts w:ascii="Arial" w:cs="Arial" w:eastAsia="Arial" w:hAnsi="Arial"/>
                <w:sz w:val="8"/>
                <w:szCs w:val="8"/>
                <w:b w:val="1"/>
                <w:bCs w:val="1"/>
                <w:color w:val="FFFFFF"/>
              </w:rPr>
              <w:t>QoQ</w:t>
            </w:r>
          </w:p>
        </w:tc>
        <w:tc>
          <w:tcPr>
            <w:tcW w:w="1160" w:type="dxa"/>
            <w:vAlign w:val="bottom"/>
            <w:tcBorders>
              <w:bottom w:val="single" w:sz="8" w:color="auto"/>
              <w:right w:val="single" w:sz="8" w:color="auto"/>
            </w:tcBorders>
            <w:shd w:val="clear" w:color="auto" w:fill="2AD2C9"/>
          </w:tcPr>
          <w:p>
            <w:pPr>
              <w:ind w:left="620"/>
              <w:spacing w:after="0"/>
              <w:rPr>
                <w:sz w:val="20"/>
                <w:szCs w:val="20"/>
                <w:color w:val="auto"/>
              </w:rPr>
            </w:pPr>
            <w:r>
              <w:rPr>
                <w:rFonts w:ascii="Arial" w:cs="Arial" w:eastAsia="Arial" w:hAnsi="Arial"/>
                <w:sz w:val="8"/>
                <w:szCs w:val="8"/>
                <w:b w:val="1"/>
                <w:bCs w:val="1"/>
                <w:color w:val="FFFFFF"/>
              </w:rPr>
              <w:t>YoY</w:t>
            </w:r>
          </w:p>
        </w:tc>
        <w:tc>
          <w:tcPr>
            <w:tcW w:w="0" w:type="dxa"/>
            <w:vAlign w:val="bottom"/>
          </w:tcPr>
          <w:p>
            <w:pPr>
              <w:spacing w:after="0"/>
              <w:rPr>
                <w:sz w:val="1"/>
                <w:szCs w:val="1"/>
                <w:color w:val="auto"/>
              </w:rPr>
            </w:pPr>
          </w:p>
        </w:tc>
      </w:tr>
      <w:tr>
        <w:trPr>
          <w:trHeight w:val="72"/>
        </w:trPr>
        <w:tc>
          <w:tcPr>
            <w:tcW w:w="440" w:type="dxa"/>
            <w:vAlign w:val="bottom"/>
            <w:tcBorders>
              <w:left w:val="single" w:sz="8" w:color="auto"/>
            </w:tcBorders>
          </w:tcPr>
          <w:p>
            <w:pPr>
              <w:ind w:left="40"/>
              <w:spacing w:after="0" w:line="73" w:lineRule="exact"/>
              <w:rPr>
                <w:sz w:val="20"/>
                <w:szCs w:val="20"/>
                <w:color w:val="auto"/>
              </w:rPr>
            </w:pPr>
            <w:r>
              <w:rPr>
                <w:rFonts w:ascii="Arial" w:cs="Arial" w:eastAsia="Arial" w:hAnsi="Arial"/>
                <w:sz w:val="8"/>
                <w:szCs w:val="8"/>
                <w:b w:val="1"/>
                <w:bCs w:val="1"/>
                <w:color w:val="auto"/>
              </w:rPr>
              <w:t>ASSETS</w:t>
            </w:r>
          </w:p>
        </w:tc>
        <w:tc>
          <w:tcPr>
            <w:tcW w:w="3800" w:type="dxa"/>
            <w:vAlign w:val="bottom"/>
            <w:tcBorders>
              <w:right w:val="single" w:sz="8" w:color="auto"/>
            </w:tcBorders>
          </w:tcPr>
          <w:p>
            <w:pPr>
              <w:spacing w:after="0"/>
              <w:rPr>
                <w:sz w:val="6"/>
                <w:szCs w:val="6"/>
                <w:color w:val="auto"/>
              </w:rPr>
            </w:pPr>
          </w:p>
        </w:tc>
        <w:tc>
          <w:tcPr>
            <w:tcW w:w="9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b w:val="1"/>
                <w:bCs w:val="1"/>
                <w:color w:val="auto"/>
              </w:rPr>
              <w:t>Cash and due from banks</w:t>
            </w:r>
          </w:p>
        </w:tc>
        <w:tc>
          <w:tcPr>
            <w:tcW w:w="9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40" w:type="dxa"/>
            <w:vAlign w:val="bottom"/>
            <w:tcBorders>
              <w:left w:val="single" w:sz="8" w:color="auto"/>
            </w:tcBorders>
          </w:tcPr>
          <w:p>
            <w:pPr>
              <w:spacing w:after="0"/>
              <w:rPr>
                <w:sz w:val="8"/>
                <w:szCs w:val="8"/>
                <w:color w:val="auto"/>
              </w:rPr>
            </w:pPr>
          </w:p>
        </w:tc>
        <w:tc>
          <w:tcPr>
            <w:tcW w:w="3800" w:type="dxa"/>
            <w:vAlign w:val="bottom"/>
            <w:tcBorders>
              <w:right w:val="single" w:sz="8" w:color="auto"/>
            </w:tcBorders>
          </w:tcPr>
          <w:p>
            <w:pPr>
              <w:spacing w:after="0"/>
              <w:rPr>
                <w:sz w:val="20"/>
                <w:szCs w:val="20"/>
                <w:color w:val="auto"/>
              </w:rPr>
            </w:pPr>
            <w:r>
              <w:rPr>
                <w:rFonts w:ascii="Arial" w:cs="Arial" w:eastAsia="Arial" w:hAnsi="Arial"/>
                <w:sz w:val="8"/>
                <w:szCs w:val="8"/>
                <w:color w:val="auto"/>
              </w:rPr>
              <w:t>Non-interest bearing</w:t>
            </w:r>
          </w:p>
        </w:tc>
        <w:tc>
          <w:tcPr>
            <w:tcW w:w="980" w:type="dxa"/>
            <w:vAlign w:val="bottom"/>
          </w:tcPr>
          <w:p>
            <w:pPr>
              <w:jc w:val="center"/>
              <w:spacing w:after="0"/>
              <w:rPr>
                <w:sz w:val="20"/>
                <w:szCs w:val="20"/>
                <w:color w:val="auto"/>
              </w:rPr>
            </w:pPr>
            <w:r>
              <w:rPr>
                <w:rFonts w:ascii="Arial" w:cs="Arial" w:eastAsia="Arial" w:hAnsi="Arial"/>
                <w:sz w:val="8"/>
                <w:szCs w:val="8"/>
                <w:color w:val="auto"/>
              </w:rPr>
              <w:t>7,154,236</w:t>
            </w:r>
          </w:p>
        </w:tc>
        <w:tc>
          <w:tcPr>
            <w:tcW w:w="1000" w:type="dxa"/>
            <w:vAlign w:val="bottom"/>
          </w:tcPr>
          <w:p>
            <w:pPr>
              <w:jc w:val="center"/>
              <w:spacing w:after="0"/>
              <w:rPr>
                <w:sz w:val="20"/>
                <w:szCs w:val="20"/>
                <w:color w:val="auto"/>
              </w:rPr>
            </w:pPr>
            <w:r>
              <w:rPr>
                <w:rFonts w:ascii="Arial" w:cs="Arial" w:eastAsia="Arial" w:hAnsi="Arial"/>
                <w:sz w:val="8"/>
                <w:szCs w:val="8"/>
                <w:color w:val="auto"/>
              </w:rPr>
              <w:t>8,024,262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7,705,769</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rPr>
              <w:t>-4.0%</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7.7%</w:t>
            </w:r>
          </w:p>
        </w:tc>
        <w:tc>
          <w:tcPr>
            <w:tcW w:w="0" w:type="dxa"/>
            <w:vAlign w:val="bottom"/>
          </w:tcPr>
          <w:p>
            <w:pPr>
              <w:spacing w:after="0"/>
              <w:rPr>
                <w:sz w:val="1"/>
                <w:szCs w:val="1"/>
                <w:color w:val="auto"/>
              </w:rPr>
            </w:pPr>
          </w:p>
        </w:tc>
      </w:tr>
      <w:tr>
        <w:trPr>
          <w:trHeight w:val="108"/>
        </w:trPr>
        <w:tc>
          <w:tcPr>
            <w:tcW w:w="440" w:type="dxa"/>
            <w:vAlign w:val="bottom"/>
            <w:tcBorders>
              <w:left w:val="single" w:sz="8" w:color="auto"/>
            </w:tcBorders>
          </w:tcPr>
          <w:p>
            <w:pPr>
              <w:spacing w:after="0"/>
              <w:rPr>
                <w:sz w:val="9"/>
                <w:szCs w:val="9"/>
                <w:color w:val="auto"/>
              </w:rPr>
            </w:pPr>
          </w:p>
        </w:tc>
        <w:tc>
          <w:tcPr>
            <w:tcW w:w="3800" w:type="dxa"/>
            <w:vAlign w:val="bottom"/>
            <w:tcBorders>
              <w:right w:val="single" w:sz="8" w:color="auto"/>
            </w:tcBorders>
          </w:tcPr>
          <w:p>
            <w:pPr>
              <w:spacing w:after="0"/>
              <w:rPr>
                <w:sz w:val="20"/>
                <w:szCs w:val="20"/>
                <w:color w:val="auto"/>
              </w:rPr>
            </w:pPr>
            <w:r>
              <w:rPr>
                <w:rFonts w:ascii="Arial" w:cs="Arial" w:eastAsia="Arial" w:hAnsi="Arial"/>
                <w:sz w:val="8"/>
                <w:szCs w:val="8"/>
                <w:color w:val="auto"/>
              </w:rPr>
              <w:t>Interest bearing</w:t>
            </w:r>
          </w:p>
        </w:tc>
        <w:tc>
          <w:tcPr>
            <w:tcW w:w="980" w:type="dxa"/>
            <w:vAlign w:val="bottom"/>
          </w:tcPr>
          <w:p>
            <w:pPr>
              <w:jc w:val="center"/>
              <w:spacing w:after="0"/>
              <w:rPr>
                <w:sz w:val="20"/>
                <w:szCs w:val="20"/>
                <w:color w:val="auto"/>
              </w:rPr>
            </w:pPr>
            <w:r>
              <w:rPr>
                <w:rFonts w:ascii="Arial" w:cs="Arial" w:eastAsia="Arial" w:hAnsi="Arial"/>
                <w:sz w:val="8"/>
                <w:szCs w:val="8"/>
                <w:color w:val="auto"/>
              </w:rPr>
              <w:t>26,036,894</w:t>
            </w:r>
          </w:p>
        </w:tc>
        <w:tc>
          <w:tcPr>
            <w:tcW w:w="1000" w:type="dxa"/>
            <w:vAlign w:val="bottom"/>
          </w:tcPr>
          <w:p>
            <w:pPr>
              <w:jc w:val="center"/>
              <w:spacing w:after="0"/>
              <w:rPr>
                <w:sz w:val="20"/>
                <w:szCs w:val="20"/>
                <w:color w:val="auto"/>
              </w:rPr>
            </w:pPr>
            <w:r>
              <w:rPr>
                <w:rFonts w:ascii="Arial" w:cs="Arial" w:eastAsia="Arial" w:hAnsi="Arial"/>
                <w:sz w:val="8"/>
                <w:szCs w:val="8"/>
                <w:color w:val="auto"/>
                <w:w w:val="99"/>
              </w:rPr>
              <w:t>31,134,572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27,157,901</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rPr>
              <w:t>-12.8%</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4.3%</w:t>
            </w: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3800" w:type="dxa"/>
            <w:vAlign w:val="bottom"/>
            <w:tcBorders>
              <w:right w:val="single" w:sz="8" w:color="auto"/>
            </w:tcBorders>
          </w:tcPr>
          <w:p>
            <w:pPr>
              <w:jc w:val="center"/>
              <w:ind w:right="419"/>
              <w:spacing w:after="0"/>
              <w:rPr>
                <w:sz w:val="20"/>
                <w:szCs w:val="20"/>
                <w:color w:val="auto"/>
              </w:rPr>
            </w:pPr>
            <w:r>
              <w:rPr>
                <w:rFonts w:ascii="Arial" w:cs="Arial" w:eastAsia="Arial" w:hAnsi="Arial"/>
                <w:sz w:val="8"/>
                <w:szCs w:val="8"/>
                <w:b w:val="1"/>
                <w:bCs w:val="1"/>
                <w:color w:val="auto"/>
              </w:rPr>
              <w:t>Total cash and due from banks</w:t>
            </w:r>
          </w:p>
        </w:tc>
        <w:tc>
          <w:tcPr>
            <w:tcW w:w="980" w:type="dxa"/>
            <w:vAlign w:val="bottom"/>
          </w:tcPr>
          <w:p>
            <w:pPr>
              <w:jc w:val="center"/>
              <w:spacing w:after="0"/>
              <w:rPr>
                <w:sz w:val="20"/>
                <w:szCs w:val="20"/>
                <w:color w:val="auto"/>
              </w:rPr>
            </w:pPr>
            <w:r>
              <w:rPr>
                <w:rFonts w:ascii="Arial" w:cs="Arial" w:eastAsia="Arial" w:hAnsi="Arial"/>
                <w:sz w:val="8"/>
                <w:szCs w:val="8"/>
                <w:b w:val="1"/>
                <w:bCs w:val="1"/>
                <w:color w:val="auto"/>
              </w:rPr>
              <w:t>33,191,130</w:t>
            </w:r>
          </w:p>
        </w:tc>
        <w:tc>
          <w:tcPr>
            <w:tcW w:w="1000" w:type="dxa"/>
            <w:vAlign w:val="bottom"/>
          </w:tcPr>
          <w:p>
            <w:pPr>
              <w:jc w:val="center"/>
              <w:spacing w:after="0"/>
              <w:rPr>
                <w:sz w:val="20"/>
                <w:szCs w:val="20"/>
                <w:color w:val="auto"/>
              </w:rPr>
            </w:pPr>
            <w:r>
              <w:rPr>
                <w:rFonts w:ascii="Arial" w:cs="Arial" w:eastAsia="Arial" w:hAnsi="Arial"/>
                <w:sz w:val="8"/>
                <w:szCs w:val="8"/>
                <w:b w:val="1"/>
                <w:bCs w:val="1"/>
                <w:color w:val="auto"/>
                <w:w w:val="99"/>
              </w:rPr>
              <w:t>39,158,834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34,863,670</w:t>
            </w:r>
          </w:p>
        </w:tc>
        <w:tc>
          <w:tcPr>
            <w:tcW w:w="620" w:type="dxa"/>
            <w:vAlign w:val="bottom"/>
          </w:tcPr>
          <w:p>
            <w:pPr>
              <w:jc w:val="center"/>
              <w:ind w:left="199"/>
              <w:spacing w:after="0"/>
              <w:rPr>
                <w:sz w:val="20"/>
                <w:szCs w:val="20"/>
                <w:color w:val="auto"/>
              </w:rPr>
            </w:pPr>
            <w:r>
              <w:rPr>
                <w:rFonts w:ascii="Arial" w:cs="Arial" w:eastAsia="Arial" w:hAnsi="Arial"/>
                <w:sz w:val="8"/>
                <w:szCs w:val="8"/>
                <w:b w:val="1"/>
                <w:bCs w:val="1"/>
                <w:color w:val="auto"/>
              </w:rPr>
              <w:t>-11.0%</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b w:val="1"/>
                <w:bCs w:val="1"/>
                <w:color w:val="auto"/>
              </w:rPr>
              <w:t>5.0%</w:t>
            </w:r>
          </w:p>
        </w:tc>
        <w:tc>
          <w:tcPr>
            <w:tcW w:w="0" w:type="dxa"/>
            <w:vAlign w:val="bottom"/>
          </w:tcPr>
          <w:p>
            <w:pPr>
              <w:spacing w:after="0"/>
              <w:rPr>
                <w:sz w:val="1"/>
                <w:szCs w:val="1"/>
                <w:color w:val="auto"/>
              </w:rPr>
            </w:pPr>
          </w:p>
        </w:tc>
      </w:tr>
      <w:tr>
        <w:trPr>
          <w:trHeight w:val="181"/>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Cash collateral, reverse repurchase agreements and securities borrowing</w:t>
            </w:r>
          </w:p>
        </w:tc>
        <w:tc>
          <w:tcPr>
            <w:tcW w:w="980" w:type="dxa"/>
            <w:vAlign w:val="bottom"/>
          </w:tcPr>
          <w:p>
            <w:pPr>
              <w:jc w:val="center"/>
              <w:spacing w:after="0"/>
              <w:rPr>
                <w:sz w:val="20"/>
                <w:szCs w:val="20"/>
                <w:color w:val="auto"/>
              </w:rPr>
            </w:pPr>
            <w:r>
              <w:rPr>
                <w:rFonts w:ascii="Arial" w:cs="Arial" w:eastAsia="Arial" w:hAnsi="Arial"/>
                <w:sz w:val="8"/>
                <w:szCs w:val="8"/>
                <w:color w:val="auto"/>
              </w:rPr>
              <w:t>1,863,243</w:t>
            </w:r>
          </w:p>
        </w:tc>
        <w:tc>
          <w:tcPr>
            <w:tcW w:w="1000" w:type="dxa"/>
            <w:vAlign w:val="bottom"/>
          </w:tcPr>
          <w:p>
            <w:pPr>
              <w:jc w:val="center"/>
              <w:spacing w:after="0"/>
              <w:rPr>
                <w:sz w:val="20"/>
                <w:szCs w:val="20"/>
                <w:color w:val="auto"/>
              </w:rPr>
            </w:pPr>
            <w:r>
              <w:rPr>
                <w:rFonts w:ascii="Arial" w:cs="Arial" w:eastAsia="Arial" w:hAnsi="Arial"/>
                <w:sz w:val="8"/>
                <w:szCs w:val="8"/>
                <w:color w:val="auto"/>
              </w:rPr>
              <w:t>1,526,232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1,777,491</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6"/>
              </w:rPr>
              <w:t>16.5%</w:t>
            </w:r>
          </w:p>
        </w:tc>
        <w:tc>
          <w:tcPr>
            <w:tcW w:w="1160" w:type="dxa"/>
            <w:vAlign w:val="bottom"/>
            <w:tcBorders>
              <w:right w:val="single" w:sz="8" w:color="auto"/>
            </w:tcBorders>
          </w:tcPr>
          <w:p>
            <w:pPr>
              <w:jc w:val="center"/>
              <w:ind w:left="179"/>
              <w:spacing w:after="0"/>
              <w:rPr>
                <w:sz w:val="20"/>
                <w:szCs w:val="20"/>
                <w:color w:val="auto"/>
              </w:rPr>
            </w:pPr>
            <w:r>
              <w:rPr>
                <w:rFonts w:ascii="Arial" w:cs="Arial" w:eastAsia="Arial" w:hAnsi="Arial"/>
                <w:sz w:val="8"/>
                <w:szCs w:val="8"/>
                <w:color w:val="auto"/>
              </w:rPr>
              <w:t>-4.6%</w:t>
            </w:r>
          </w:p>
        </w:tc>
        <w:tc>
          <w:tcPr>
            <w:tcW w:w="0" w:type="dxa"/>
            <w:vAlign w:val="bottom"/>
          </w:tcPr>
          <w:p>
            <w:pPr>
              <w:spacing w:after="0"/>
              <w:rPr>
                <w:sz w:val="1"/>
                <w:szCs w:val="1"/>
                <w:color w:val="auto"/>
              </w:rPr>
            </w:pPr>
          </w:p>
        </w:tc>
      </w:tr>
      <w:tr>
        <w:trPr>
          <w:trHeight w:val="169"/>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Fair value through profit or loss investments</w:t>
            </w:r>
          </w:p>
        </w:tc>
        <w:tc>
          <w:tcPr>
            <w:tcW w:w="980" w:type="dxa"/>
            <w:vAlign w:val="bottom"/>
          </w:tcPr>
          <w:p>
            <w:pPr>
              <w:jc w:val="center"/>
              <w:spacing w:after="0"/>
              <w:rPr>
                <w:sz w:val="20"/>
                <w:szCs w:val="20"/>
                <w:color w:val="auto"/>
              </w:rPr>
            </w:pPr>
            <w:r>
              <w:rPr>
                <w:rFonts w:ascii="Arial" w:cs="Arial" w:eastAsia="Arial" w:hAnsi="Arial"/>
                <w:sz w:val="8"/>
                <w:szCs w:val="8"/>
                <w:color w:val="auto"/>
              </w:rPr>
              <w:t>4,508,563</w:t>
            </w:r>
          </w:p>
        </w:tc>
        <w:tc>
          <w:tcPr>
            <w:tcW w:w="1000" w:type="dxa"/>
            <w:vAlign w:val="bottom"/>
          </w:tcPr>
          <w:p>
            <w:pPr>
              <w:jc w:val="center"/>
              <w:spacing w:after="0"/>
              <w:rPr>
                <w:sz w:val="20"/>
                <w:szCs w:val="20"/>
                <w:color w:val="auto"/>
              </w:rPr>
            </w:pPr>
            <w:r>
              <w:rPr>
                <w:rFonts w:ascii="Arial" w:cs="Arial" w:eastAsia="Arial" w:hAnsi="Arial"/>
                <w:sz w:val="8"/>
                <w:szCs w:val="8"/>
                <w:color w:val="auto"/>
              </w:rPr>
              <w:t>4,448,122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4,282,606</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rPr>
              <w:t>-3.7%</w:t>
            </w:r>
          </w:p>
        </w:tc>
        <w:tc>
          <w:tcPr>
            <w:tcW w:w="1160" w:type="dxa"/>
            <w:vAlign w:val="bottom"/>
            <w:tcBorders>
              <w:right w:val="single" w:sz="8" w:color="auto"/>
            </w:tcBorders>
          </w:tcPr>
          <w:p>
            <w:pPr>
              <w:jc w:val="center"/>
              <w:ind w:left="179"/>
              <w:spacing w:after="0"/>
              <w:rPr>
                <w:sz w:val="20"/>
                <w:szCs w:val="20"/>
                <w:color w:val="auto"/>
              </w:rPr>
            </w:pPr>
            <w:r>
              <w:rPr>
                <w:rFonts w:ascii="Arial" w:cs="Arial" w:eastAsia="Arial" w:hAnsi="Arial"/>
                <w:sz w:val="8"/>
                <w:szCs w:val="8"/>
                <w:color w:val="auto"/>
              </w:rPr>
              <w:t>-5.0%</w:t>
            </w:r>
          </w:p>
        </w:tc>
        <w:tc>
          <w:tcPr>
            <w:tcW w:w="0" w:type="dxa"/>
            <w:vAlign w:val="bottom"/>
          </w:tcPr>
          <w:p>
            <w:pPr>
              <w:spacing w:after="0"/>
              <w:rPr>
                <w:sz w:val="1"/>
                <w:szCs w:val="1"/>
                <w:color w:val="auto"/>
              </w:rPr>
            </w:pPr>
          </w:p>
        </w:tc>
      </w:tr>
      <w:tr>
        <w:trPr>
          <w:trHeight w:val="93"/>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Fair value through other comprehensive income investments</w:t>
            </w:r>
          </w:p>
        </w:tc>
        <w:tc>
          <w:tcPr>
            <w:tcW w:w="980" w:type="dxa"/>
            <w:vAlign w:val="bottom"/>
          </w:tcPr>
          <w:p>
            <w:pPr>
              <w:jc w:val="center"/>
              <w:spacing w:after="0"/>
              <w:rPr>
                <w:sz w:val="20"/>
                <w:szCs w:val="20"/>
                <w:color w:val="auto"/>
              </w:rPr>
            </w:pPr>
            <w:r>
              <w:rPr>
                <w:rFonts w:ascii="Arial" w:cs="Arial" w:eastAsia="Arial" w:hAnsi="Arial"/>
                <w:sz w:val="8"/>
                <w:szCs w:val="8"/>
                <w:color w:val="auto"/>
              </w:rPr>
              <w:t>33,344,169</w:t>
            </w:r>
          </w:p>
        </w:tc>
        <w:tc>
          <w:tcPr>
            <w:tcW w:w="1000" w:type="dxa"/>
            <w:vAlign w:val="bottom"/>
          </w:tcPr>
          <w:p>
            <w:pPr>
              <w:jc w:val="center"/>
              <w:spacing w:after="0"/>
              <w:rPr>
                <w:sz w:val="20"/>
                <w:szCs w:val="20"/>
                <w:color w:val="auto"/>
              </w:rPr>
            </w:pPr>
            <w:r>
              <w:rPr>
                <w:rFonts w:ascii="Arial" w:cs="Arial" w:eastAsia="Arial" w:hAnsi="Arial"/>
                <w:sz w:val="8"/>
                <w:szCs w:val="8"/>
                <w:color w:val="auto"/>
                <w:w w:val="99"/>
              </w:rPr>
              <w:t>38,047,888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39,156,806</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8"/>
              </w:rPr>
              <w:t>2.9%</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17.4%</w:t>
            </w:r>
          </w:p>
        </w:tc>
        <w:tc>
          <w:tcPr>
            <w:tcW w:w="0" w:type="dxa"/>
            <w:vAlign w:val="bottom"/>
          </w:tcPr>
          <w:p>
            <w:pPr>
              <w:spacing w:after="0"/>
              <w:rPr>
                <w:sz w:val="1"/>
                <w:szCs w:val="1"/>
                <w:color w:val="auto"/>
              </w:rPr>
            </w:pPr>
          </w:p>
        </w:tc>
      </w:tr>
      <w:tr>
        <w:trPr>
          <w:trHeight w:val="108"/>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Amortized cost investments</w:t>
            </w:r>
          </w:p>
        </w:tc>
        <w:tc>
          <w:tcPr>
            <w:tcW w:w="980" w:type="dxa"/>
            <w:vAlign w:val="bottom"/>
          </w:tcPr>
          <w:p>
            <w:pPr>
              <w:jc w:val="center"/>
              <w:spacing w:after="0"/>
              <w:rPr>
                <w:sz w:val="20"/>
                <w:szCs w:val="20"/>
                <w:color w:val="auto"/>
              </w:rPr>
            </w:pPr>
            <w:r>
              <w:rPr>
                <w:rFonts w:ascii="Arial" w:cs="Arial" w:eastAsia="Arial" w:hAnsi="Arial"/>
                <w:sz w:val="8"/>
                <w:szCs w:val="8"/>
                <w:color w:val="auto"/>
              </w:rPr>
              <w:t>10,182,619</w:t>
            </w:r>
          </w:p>
        </w:tc>
        <w:tc>
          <w:tcPr>
            <w:tcW w:w="1000" w:type="dxa"/>
            <w:vAlign w:val="bottom"/>
          </w:tcPr>
          <w:p>
            <w:pPr>
              <w:jc w:val="center"/>
              <w:spacing w:after="0"/>
              <w:rPr>
                <w:sz w:val="20"/>
                <w:szCs w:val="20"/>
                <w:color w:val="auto"/>
              </w:rPr>
            </w:pPr>
            <w:r>
              <w:rPr>
                <w:rFonts w:ascii="Arial" w:cs="Arial" w:eastAsia="Arial" w:hAnsi="Arial"/>
                <w:sz w:val="8"/>
                <w:szCs w:val="8"/>
                <w:color w:val="auto"/>
                <w:w w:val="99"/>
              </w:rPr>
              <w:t>10,059,376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8,986,734</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rPr>
              <w:t>-10.7%</w:t>
            </w:r>
          </w:p>
        </w:tc>
        <w:tc>
          <w:tcPr>
            <w:tcW w:w="1160" w:type="dxa"/>
            <w:vAlign w:val="bottom"/>
            <w:tcBorders>
              <w:right w:val="single" w:sz="8" w:color="auto"/>
            </w:tcBorders>
          </w:tcPr>
          <w:p>
            <w:pPr>
              <w:jc w:val="center"/>
              <w:ind w:left="179"/>
              <w:spacing w:after="0"/>
              <w:rPr>
                <w:sz w:val="20"/>
                <w:szCs w:val="20"/>
                <w:color w:val="auto"/>
              </w:rPr>
            </w:pPr>
            <w:r>
              <w:rPr>
                <w:rFonts w:ascii="Arial" w:cs="Arial" w:eastAsia="Arial" w:hAnsi="Arial"/>
                <w:sz w:val="8"/>
                <w:szCs w:val="8"/>
                <w:color w:val="auto"/>
              </w:rPr>
              <w:t>-11.7%</w:t>
            </w:r>
          </w:p>
        </w:tc>
        <w:tc>
          <w:tcPr>
            <w:tcW w:w="0" w:type="dxa"/>
            <w:vAlign w:val="bottom"/>
          </w:tcPr>
          <w:p>
            <w:pPr>
              <w:spacing w:after="0"/>
              <w:rPr>
                <w:sz w:val="1"/>
                <w:szCs w:val="1"/>
                <w:color w:val="auto"/>
              </w:rPr>
            </w:pPr>
          </w:p>
        </w:tc>
      </w:tr>
      <w:tr>
        <w:trPr>
          <w:trHeight w:val="169"/>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Loans</w:t>
            </w:r>
          </w:p>
        </w:tc>
        <w:tc>
          <w:tcPr>
            <w:tcW w:w="980" w:type="dxa"/>
            <w:vAlign w:val="bottom"/>
          </w:tcPr>
          <w:p>
            <w:pPr>
              <w:jc w:val="center"/>
              <w:spacing w:after="0"/>
              <w:rPr>
                <w:sz w:val="20"/>
                <w:szCs w:val="20"/>
                <w:color w:val="auto"/>
              </w:rPr>
            </w:pPr>
            <w:r>
              <w:rPr>
                <w:rFonts w:ascii="Arial" w:cs="Arial" w:eastAsia="Arial" w:hAnsi="Arial"/>
                <w:sz w:val="8"/>
                <w:szCs w:val="8"/>
                <w:color w:val="auto"/>
              </w:rPr>
              <w:t>142,845,549</w:t>
            </w:r>
          </w:p>
        </w:tc>
        <w:tc>
          <w:tcPr>
            <w:tcW w:w="1000" w:type="dxa"/>
            <w:vAlign w:val="bottom"/>
          </w:tcPr>
          <w:p>
            <w:pPr>
              <w:jc w:val="center"/>
              <w:spacing w:after="0"/>
              <w:rPr>
                <w:sz w:val="20"/>
                <w:szCs w:val="20"/>
                <w:color w:val="auto"/>
              </w:rPr>
            </w:pPr>
            <w:r>
              <w:rPr>
                <w:rFonts w:ascii="Arial" w:cs="Arial" w:eastAsia="Arial" w:hAnsi="Arial"/>
                <w:sz w:val="8"/>
                <w:szCs w:val="8"/>
                <w:color w:val="auto"/>
              </w:rPr>
              <w:t>140,798,083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146,946,546</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8"/>
              </w:rPr>
              <w:t>4.4%</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2.9%</w:t>
            </w:r>
          </w:p>
        </w:tc>
        <w:tc>
          <w:tcPr>
            <w:tcW w:w="0" w:type="dxa"/>
            <w:vAlign w:val="bottom"/>
          </w:tcPr>
          <w:p>
            <w:pPr>
              <w:spacing w:after="0"/>
              <w:rPr>
                <w:sz w:val="1"/>
                <w:szCs w:val="1"/>
                <w:color w:val="auto"/>
              </w:rPr>
            </w:pPr>
          </w:p>
        </w:tc>
      </w:tr>
      <w:tr>
        <w:trPr>
          <w:trHeight w:val="93"/>
        </w:trPr>
        <w:tc>
          <w:tcPr>
            <w:tcW w:w="440" w:type="dxa"/>
            <w:vAlign w:val="bottom"/>
            <w:tcBorders>
              <w:left w:val="single" w:sz="8" w:color="auto"/>
            </w:tcBorders>
          </w:tcPr>
          <w:p>
            <w:pPr>
              <w:spacing w:after="0"/>
              <w:rPr>
                <w:sz w:val="8"/>
                <w:szCs w:val="8"/>
                <w:color w:val="auto"/>
              </w:rPr>
            </w:pPr>
          </w:p>
        </w:tc>
        <w:tc>
          <w:tcPr>
            <w:tcW w:w="3800" w:type="dxa"/>
            <w:vAlign w:val="bottom"/>
            <w:tcBorders>
              <w:right w:val="single" w:sz="8" w:color="auto"/>
            </w:tcBorders>
          </w:tcPr>
          <w:p>
            <w:pPr>
              <w:spacing w:after="0"/>
              <w:rPr>
                <w:sz w:val="20"/>
                <w:szCs w:val="20"/>
                <w:color w:val="auto"/>
              </w:rPr>
            </w:pPr>
            <w:r>
              <w:rPr>
                <w:rFonts w:ascii="Arial" w:cs="Arial" w:eastAsia="Arial" w:hAnsi="Arial"/>
                <w:sz w:val="8"/>
                <w:szCs w:val="8"/>
                <w:color w:val="auto"/>
              </w:rPr>
              <w:t>Current</w:t>
            </w:r>
          </w:p>
        </w:tc>
        <w:tc>
          <w:tcPr>
            <w:tcW w:w="980" w:type="dxa"/>
            <w:vAlign w:val="bottom"/>
          </w:tcPr>
          <w:p>
            <w:pPr>
              <w:jc w:val="center"/>
              <w:spacing w:after="0"/>
              <w:rPr>
                <w:sz w:val="20"/>
                <w:szCs w:val="20"/>
                <w:color w:val="auto"/>
              </w:rPr>
            </w:pPr>
            <w:r>
              <w:rPr>
                <w:rFonts w:ascii="Arial" w:cs="Arial" w:eastAsia="Arial" w:hAnsi="Arial"/>
                <w:sz w:val="8"/>
                <w:szCs w:val="8"/>
                <w:color w:val="auto"/>
              </w:rPr>
              <w:t>136,866,154</w:t>
            </w:r>
          </w:p>
        </w:tc>
        <w:tc>
          <w:tcPr>
            <w:tcW w:w="1000" w:type="dxa"/>
            <w:vAlign w:val="bottom"/>
          </w:tcPr>
          <w:p>
            <w:pPr>
              <w:jc w:val="center"/>
              <w:spacing w:after="0"/>
              <w:rPr>
                <w:sz w:val="20"/>
                <w:szCs w:val="20"/>
                <w:color w:val="auto"/>
              </w:rPr>
            </w:pPr>
            <w:r>
              <w:rPr>
                <w:rFonts w:ascii="Arial" w:cs="Arial" w:eastAsia="Arial" w:hAnsi="Arial"/>
                <w:sz w:val="8"/>
                <w:szCs w:val="8"/>
                <w:color w:val="auto"/>
              </w:rPr>
              <w:t>134,593,059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140,715,785</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8"/>
              </w:rPr>
              <w:t>4.5%</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2.8%</w:t>
            </w:r>
          </w:p>
        </w:tc>
        <w:tc>
          <w:tcPr>
            <w:tcW w:w="0" w:type="dxa"/>
            <w:vAlign w:val="bottom"/>
          </w:tcPr>
          <w:p>
            <w:pPr>
              <w:spacing w:after="0"/>
              <w:rPr>
                <w:sz w:val="1"/>
                <w:szCs w:val="1"/>
                <w:color w:val="auto"/>
              </w:rPr>
            </w:pPr>
          </w:p>
        </w:tc>
      </w:tr>
      <w:tr>
        <w:trPr>
          <w:trHeight w:val="93"/>
        </w:trPr>
        <w:tc>
          <w:tcPr>
            <w:tcW w:w="440" w:type="dxa"/>
            <w:vAlign w:val="bottom"/>
            <w:tcBorders>
              <w:left w:val="single" w:sz="8" w:color="auto"/>
            </w:tcBorders>
          </w:tcPr>
          <w:p>
            <w:pPr>
              <w:spacing w:after="0"/>
              <w:rPr>
                <w:sz w:val="8"/>
                <w:szCs w:val="8"/>
                <w:color w:val="auto"/>
              </w:rPr>
            </w:pPr>
          </w:p>
        </w:tc>
        <w:tc>
          <w:tcPr>
            <w:tcW w:w="3800" w:type="dxa"/>
            <w:vAlign w:val="bottom"/>
            <w:tcBorders>
              <w:right w:val="single" w:sz="8" w:color="auto"/>
            </w:tcBorders>
          </w:tcPr>
          <w:p>
            <w:pPr>
              <w:spacing w:after="0"/>
              <w:rPr>
                <w:sz w:val="20"/>
                <w:szCs w:val="20"/>
                <w:color w:val="auto"/>
              </w:rPr>
            </w:pPr>
            <w:r>
              <w:rPr>
                <w:rFonts w:ascii="Arial" w:cs="Arial" w:eastAsia="Arial" w:hAnsi="Arial"/>
                <w:sz w:val="8"/>
                <w:szCs w:val="8"/>
                <w:color w:val="auto"/>
              </w:rPr>
              <w:t>Internal overdue loans</w:t>
            </w:r>
          </w:p>
        </w:tc>
        <w:tc>
          <w:tcPr>
            <w:tcW w:w="980" w:type="dxa"/>
            <w:vAlign w:val="bottom"/>
          </w:tcPr>
          <w:p>
            <w:pPr>
              <w:jc w:val="center"/>
              <w:spacing w:after="0"/>
              <w:rPr>
                <w:sz w:val="20"/>
                <w:szCs w:val="20"/>
                <w:color w:val="auto"/>
              </w:rPr>
            </w:pPr>
            <w:r>
              <w:rPr>
                <w:rFonts w:ascii="Arial" w:cs="Arial" w:eastAsia="Arial" w:hAnsi="Arial"/>
                <w:sz w:val="8"/>
                <w:szCs w:val="8"/>
                <w:color w:val="auto"/>
              </w:rPr>
              <w:t>5,979,395</w:t>
            </w:r>
          </w:p>
        </w:tc>
        <w:tc>
          <w:tcPr>
            <w:tcW w:w="1000" w:type="dxa"/>
            <w:vAlign w:val="bottom"/>
          </w:tcPr>
          <w:p>
            <w:pPr>
              <w:jc w:val="center"/>
              <w:spacing w:after="0"/>
              <w:rPr>
                <w:sz w:val="20"/>
                <w:szCs w:val="20"/>
                <w:color w:val="auto"/>
              </w:rPr>
            </w:pPr>
            <w:r>
              <w:rPr>
                <w:rFonts w:ascii="Arial" w:cs="Arial" w:eastAsia="Arial" w:hAnsi="Arial"/>
                <w:sz w:val="8"/>
                <w:szCs w:val="8"/>
                <w:color w:val="auto"/>
              </w:rPr>
              <w:t>6,205,024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6,230,761</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8"/>
              </w:rPr>
              <w:t>0.4%</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4.2%</w:t>
            </w:r>
          </w:p>
        </w:tc>
        <w:tc>
          <w:tcPr>
            <w:tcW w:w="0" w:type="dxa"/>
            <w:vAlign w:val="bottom"/>
          </w:tcPr>
          <w:p>
            <w:pPr>
              <w:spacing w:after="0"/>
              <w:rPr>
                <w:sz w:val="1"/>
                <w:szCs w:val="1"/>
                <w:color w:val="auto"/>
              </w:rPr>
            </w:pPr>
          </w:p>
        </w:tc>
      </w:tr>
      <w:tr>
        <w:trPr>
          <w:trHeight w:val="93"/>
        </w:trPr>
        <w:tc>
          <w:tcPr>
            <w:tcW w:w="440" w:type="dxa"/>
            <w:vAlign w:val="bottom"/>
            <w:tcBorders>
              <w:left w:val="single" w:sz="8" w:color="auto"/>
            </w:tcBorders>
          </w:tcPr>
          <w:p>
            <w:pPr>
              <w:spacing w:after="0"/>
              <w:rPr>
                <w:sz w:val="8"/>
                <w:szCs w:val="8"/>
                <w:color w:val="auto"/>
              </w:rPr>
            </w:pPr>
          </w:p>
        </w:tc>
        <w:tc>
          <w:tcPr>
            <w:tcW w:w="3800" w:type="dxa"/>
            <w:vAlign w:val="bottom"/>
            <w:tcBorders>
              <w:right w:val="single" w:sz="8" w:color="auto"/>
            </w:tcBorders>
          </w:tcPr>
          <w:p>
            <w:pPr>
              <w:spacing w:after="0"/>
              <w:rPr>
                <w:sz w:val="20"/>
                <w:szCs w:val="20"/>
                <w:color w:val="auto"/>
              </w:rPr>
            </w:pPr>
            <w:r>
              <w:rPr>
                <w:rFonts w:ascii="Arial" w:cs="Arial" w:eastAsia="Arial" w:hAnsi="Arial"/>
                <w:sz w:val="8"/>
                <w:szCs w:val="8"/>
                <w:color w:val="auto"/>
              </w:rPr>
              <w:t>Less - allowance for loan losses</w:t>
            </w:r>
          </w:p>
        </w:tc>
        <w:tc>
          <w:tcPr>
            <w:tcW w:w="980" w:type="dxa"/>
            <w:vAlign w:val="bottom"/>
          </w:tcPr>
          <w:p>
            <w:pPr>
              <w:jc w:val="center"/>
              <w:spacing w:after="0"/>
              <w:rPr>
                <w:sz w:val="20"/>
                <w:szCs w:val="20"/>
                <w:color w:val="auto"/>
              </w:rPr>
            </w:pPr>
            <w:r>
              <w:rPr>
                <w:rFonts w:ascii="Arial" w:cs="Arial" w:eastAsia="Arial" w:hAnsi="Arial"/>
                <w:sz w:val="8"/>
                <w:szCs w:val="8"/>
                <w:color w:val="auto"/>
              </w:rPr>
              <w:t>(7,956,184)</w:t>
            </w:r>
          </w:p>
        </w:tc>
        <w:tc>
          <w:tcPr>
            <w:tcW w:w="1000" w:type="dxa"/>
            <w:vAlign w:val="bottom"/>
          </w:tcPr>
          <w:p>
            <w:pPr>
              <w:jc w:val="center"/>
              <w:spacing w:after="0"/>
              <w:rPr>
                <w:sz w:val="20"/>
                <w:szCs w:val="20"/>
                <w:color w:val="auto"/>
              </w:rPr>
            </w:pPr>
            <w:r>
              <w:rPr>
                <w:rFonts w:ascii="Arial" w:cs="Arial" w:eastAsia="Arial" w:hAnsi="Arial"/>
                <w:sz w:val="8"/>
                <w:szCs w:val="8"/>
                <w:color w:val="auto"/>
              </w:rPr>
              <w:t>(8,190,343)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(8,350,024)</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8"/>
              </w:rPr>
              <w:t>1.9%</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5.0%</w:t>
            </w:r>
          </w:p>
        </w:tc>
        <w:tc>
          <w:tcPr>
            <w:tcW w:w="0" w:type="dxa"/>
            <w:vAlign w:val="bottom"/>
          </w:tcPr>
          <w:p>
            <w:pPr>
              <w:spacing w:after="0"/>
              <w:rPr>
                <w:sz w:val="1"/>
                <w:szCs w:val="1"/>
                <w:color w:val="auto"/>
              </w:rPr>
            </w:pPr>
          </w:p>
        </w:tc>
      </w:tr>
      <w:tr>
        <w:trPr>
          <w:trHeight w:val="108"/>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Loans, net</w:t>
            </w:r>
          </w:p>
        </w:tc>
        <w:tc>
          <w:tcPr>
            <w:tcW w:w="980" w:type="dxa"/>
            <w:vAlign w:val="bottom"/>
          </w:tcPr>
          <w:p>
            <w:pPr>
              <w:jc w:val="center"/>
              <w:spacing w:after="0"/>
              <w:rPr>
                <w:sz w:val="20"/>
                <w:szCs w:val="20"/>
                <w:color w:val="auto"/>
              </w:rPr>
            </w:pPr>
            <w:r>
              <w:rPr>
                <w:rFonts w:ascii="Arial" w:cs="Arial" w:eastAsia="Arial" w:hAnsi="Arial"/>
                <w:sz w:val="8"/>
                <w:szCs w:val="8"/>
                <w:color w:val="auto"/>
              </w:rPr>
              <w:t>134,889,365</w:t>
            </w:r>
          </w:p>
        </w:tc>
        <w:tc>
          <w:tcPr>
            <w:tcW w:w="1000" w:type="dxa"/>
            <w:vAlign w:val="bottom"/>
          </w:tcPr>
          <w:p>
            <w:pPr>
              <w:jc w:val="center"/>
              <w:spacing w:after="0"/>
              <w:rPr>
                <w:sz w:val="20"/>
                <w:szCs w:val="20"/>
                <w:color w:val="auto"/>
              </w:rPr>
            </w:pPr>
            <w:r>
              <w:rPr>
                <w:rFonts w:ascii="Arial" w:cs="Arial" w:eastAsia="Arial" w:hAnsi="Arial"/>
                <w:sz w:val="8"/>
                <w:szCs w:val="8"/>
                <w:color w:val="auto"/>
              </w:rPr>
              <w:t>132,607,740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138,596,522</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8"/>
              </w:rPr>
              <w:t>4.5%</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2.7%</w:t>
            </w:r>
          </w:p>
        </w:tc>
        <w:tc>
          <w:tcPr>
            <w:tcW w:w="0" w:type="dxa"/>
            <w:vAlign w:val="bottom"/>
          </w:tcPr>
          <w:p>
            <w:pPr>
              <w:spacing w:after="0"/>
              <w:rPr>
                <w:sz w:val="1"/>
                <w:szCs w:val="1"/>
                <w:color w:val="auto"/>
              </w:rPr>
            </w:pPr>
          </w:p>
        </w:tc>
      </w:tr>
      <w:tr>
        <w:trPr>
          <w:trHeight w:val="169"/>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Financial assets designated at fair value through profit or loss</w:t>
            </w:r>
          </w:p>
        </w:tc>
        <w:tc>
          <w:tcPr>
            <w:tcW w:w="980" w:type="dxa"/>
            <w:vAlign w:val="bottom"/>
          </w:tcPr>
          <w:p>
            <w:pPr>
              <w:jc w:val="center"/>
              <w:spacing w:after="0"/>
              <w:rPr>
                <w:sz w:val="20"/>
                <w:szCs w:val="20"/>
                <w:color w:val="auto"/>
              </w:rPr>
            </w:pPr>
            <w:r>
              <w:rPr>
                <w:rFonts w:ascii="Arial" w:cs="Arial" w:eastAsia="Arial" w:hAnsi="Arial"/>
                <w:sz w:val="8"/>
                <w:szCs w:val="8"/>
                <w:color w:val="auto"/>
              </w:rPr>
              <w:t>789,845</w:t>
            </w:r>
          </w:p>
        </w:tc>
        <w:tc>
          <w:tcPr>
            <w:tcW w:w="1000" w:type="dxa"/>
            <w:vAlign w:val="bottom"/>
          </w:tcPr>
          <w:p>
            <w:pPr>
              <w:jc w:val="center"/>
              <w:spacing w:after="0"/>
              <w:rPr>
                <w:sz w:val="20"/>
                <w:szCs w:val="20"/>
                <w:color w:val="auto"/>
              </w:rPr>
            </w:pPr>
            <w:r>
              <w:rPr>
                <w:rFonts w:ascii="Arial" w:cs="Arial" w:eastAsia="Arial" w:hAnsi="Arial"/>
                <w:sz w:val="8"/>
                <w:szCs w:val="8"/>
                <w:color w:val="auto"/>
              </w:rPr>
              <w:t>868,239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891,335</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8"/>
              </w:rPr>
              <w:t>2.7%</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12.8%</w:t>
            </w:r>
          </w:p>
        </w:tc>
        <w:tc>
          <w:tcPr>
            <w:tcW w:w="0" w:type="dxa"/>
            <w:vAlign w:val="bottom"/>
          </w:tcPr>
          <w:p>
            <w:pPr>
              <w:spacing w:after="0"/>
              <w:rPr>
                <w:sz w:val="1"/>
                <w:szCs w:val="1"/>
                <w:color w:val="auto"/>
              </w:rPr>
            </w:pPr>
          </w:p>
        </w:tc>
      </w:tr>
      <w:tr>
        <w:trPr>
          <w:trHeight w:val="93"/>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Property, plant and equipment, net</w:t>
            </w:r>
          </w:p>
        </w:tc>
        <w:tc>
          <w:tcPr>
            <w:tcW w:w="980" w:type="dxa"/>
            <w:vAlign w:val="bottom"/>
          </w:tcPr>
          <w:p>
            <w:pPr>
              <w:jc w:val="center"/>
              <w:spacing w:after="0"/>
              <w:rPr>
                <w:sz w:val="20"/>
                <w:szCs w:val="20"/>
                <w:color w:val="auto"/>
              </w:rPr>
            </w:pPr>
            <w:r>
              <w:rPr>
                <w:rFonts w:ascii="Arial" w:cs="Arial" w:eastAsia="Arial" w:hAnsi="Arial"/>
                <w:sz w:val="8"/>
                <w:szCs w:val="8"/>
                <w:color w:val="auto"/>
              </w:rPr>
              <w:t>1,749,132</w:t>
            </w:r>
          </w:p>
        </w:tc>
        <w:tc>
          <w:tcPr>
            <w:tcW w:w="1000" w:type="dxa"/>
            <w:vAlign w:val="bottom"/>
          </w:tcPr>
          <w:p>
            <w:pPr>
              <w:jc w:val="center"/>
              <w:spacing w:after="0"/>
              <w:rPr>
                <w:sz w:val="20"/>
                <w:szCs w:val="20"/>
                <w:color w:val="auto"/>
              </w:rPr>
            </w:pPr>
            <w:r>
              <w:rPr>
                <w:rFonts w:ascii="Arial" w:cs="Arial" w:eastAsia="Arial" w:hAnsi="Arial"/>
                <w:sz w:val="8"/>
                <w:szCs w:val="8"/>
                <w:color w:val="auto"/>
              </w:rPr>
              <w:t>1,815,570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1,792,615</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rPr>
              <w:t>-1.3%</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2.5%</w:t>
            </w:r>
          </w:p>
        </w:tc>
        <w:tc>
          <w:tcPr>
            <w:tcW w:w="0" w:type="dxa"/>
            <w:vAlign w:val="bottom"/>
          </w:tcPr>
          <w:p>
            <w:pPr>
              <w:spacing w:after="0"/>
              <w:rPr>
                <w:sz w:val="1"/>
                <w:szCs w:val="1"/>
                <w:color w:val="auto"/>
              </w:rPr>
            </w:pPr>
          </w:p>
        </w:tc>
      </w:tr>
      <w:tr>
        <w:trPr>
          <w:trHeight w:val="93"/>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Due from customers on acceptances</w:t>
            </w:r>
          </w:p>
        </w:tc>
        <w:tc>
          <w:tcPr>
            <w:tcW w:w="980" w:type="dxa"/>
            <w:vAlign w:val="bottom"/>
          </w:tcPr>
          <w:p>
            <w:pPr>
              <w:jc w:val="center"/>
              <w:spacing w:after="0"/>
              <w:rPr>
                <w:sz w:val="20"/>
                <w:szCs w:val="20"/>
                <w:color w:val="auto"/>
              </w:rPr>
            </w:pPr>
            <w:r>
              <w:rPr>
                <w:rFonts w:ascii="Arial" w:cs="Arial" w:eastAsia="Arial" w:hAnsi="Arial"/>
                <w:sz w:val="8"/>
                <w:szCs w:val="8"/>
                <w:color w:val="auto"/>
              </w:rPr>
              <w:t>226,161</w:t>
            </w:r>
          </w:p>
        </w:tc>
        <w:tc>
          <w:tcPr>
            <w:tcW w:w="1000" w:type="dxa"/>
            <w:vAlign w:val="bottom"/>
          </w:tcPr>
          <w:p>
            <w:pPr>
              <w:jc w:val="center"/>
              <w:spacing w:after="0"/>
              <w:rPr>
                <w:sz w:val="20"/>
                <w:szCs w:val="20"/>
                <w:color w:val="auto"/>
              </w:rPr>
            </w:pPr>
            <w:r>
              <w:rPr>
                <w:rFonts w:ascii="Arial" w:cs="Arial" w:eastAsia="Arial" w:hAnsi="Arial"/>
                <w:sz w:val="8"/>
                <w:szCs w:val="8"/>
                <w:color w:val="auto"/>
              </w:rPr>
              <w:t>322,346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473,382</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6"/>
              </w:rPr>
              <w:t>46.9%</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109.3%</w:t>
            </w:r>
          </w:p>
        </w:tc>
        <w:tc>
          <w:tcPr>
            <w:tcW w:w="0" w:type="dxa"/>
            <w:vAlign w:val="bottom"/>
          </w:tcPr>
          <w:p>
            <w:pPr>
              <w:spacing w:after="0"/>
              <w:rPr>
                <w:sz w:val="1"/>
                <w:szCs w:val="1"/>
                <w:color w:val="auto"/>
              </w:rPr>
            </w:pPr>
          </w:p>
        </w:tc>
      </w:tr>
      <w:tr>
        <w:trPr>
          <w:trHeight w:val="93"/>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Investments in associates</w:t>
            </w:r>
          </w:p>
        </w:tc>
        <w:tc>
          <w:tcPr>
            <w:tcW w:w="980" w:type="dxa"/>
            <w:vAlign w:val="bottom"/>
          </w:tcPr>
          <w:p>
            <w:pPr>
              <w:jc w:val="center"/>
              <w:spacing w:after="0"/>
              <w:rPr>
                <w:sz w:val="20"/>
                <w:szCs w:val="20"/>
                <w:color w:val="auto"/>
              </w:rPr>
            </w:pPr>
            <w:r>
              <w:rPr>
                <w:rFonts w:ascii="Arial" w:cs="Arial" w:eastAsia="Arial" w:hAnsi="Arial"/>
                <w:sz w:val="8"/>
                <w:szCs w:val="8"/>
                <w:color w:val="auto"/>
              </w:rPr>
              <w:t>675,623</w:t>
            </w:r>
          </w:p>
        </w:tc>
        <w:tc>
          <w:tcPr>
            <w:tcW w:w="1000" w:type="dxa"/>
            <w:vAlign w:val="bottom"/>
          </w:tcPr>
          <w:p>
            <w:pPr>
              <w:jc w:val="center"/>
              <w:spacing w:after="0"/>
              <w:rPr>
                <w:sz w:val="20"/>
                <w:szCs w:val="20"/>
                <w:color w:val="auto"/>
              </w:rPr>
            </w:pPr>
            <w:r>
              <w:rPr>
                <w:rFonts w:ascii="Arial" w:cs="Arial" w:eastAsia="Arial" w:hAnsi="Arial"/>
                <w:sz w:val="8"/>
                <w:szCs w:val="8"/>
                <w:color w:val="auto"/>
              </w:rPr>
              <w:t>691,908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712,728</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8"/>
              </w:rPr>
              <w:t>3.0%</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5.5%</w:t>
            </w:r>
          </w:p>
        </w:tc>
        <w:tc>
          <w:tcPr>
            <w:tcW w:w="0" w:type="dxa"/>
            <w:vAlign w:val="bottom"/>
          </w:tcPr>
          <w:p>
            <w:pPr>
              <w:spacing w:after="0"/>
              <w:rPr>
                <w:sz w:val="1"/>
                <w:szCs w:val="1"/>
                <w:color w:val="auto"/>
              </w:rPr>
            </w:pPr>
          </w:p>
        </w:tc>
      </w:tr>
      <w:tr>
        <w:trPr>
          <w:trHeight w:val="93"/>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Intangible assets and goodwill, net</w:t>
            </w:r>
          </w:p>
        </w:tc>
        <w:tc>
          <w:tcPr>
            <w:tcW w:w="980" w:type="dxa"/>
            <w:vAlign w:val="bottom"/>
          </w:tcPr>
          <w:p>
            <w:pPr>
              <w:jc w:val="center"/>
              <w:spacing w:after="0"/>
              <w:rPr>
                <w:sz w:val="20"/>
                <w:szCs w:val="20"/>
                <w:color w:val="auto"/>
              </w:rPr>
            </w:pPr>
            <w:r>
              <w:rPr>
                <w:rFonts w:ascii="Arial" w:cs="Arial" w:eastAsia="Arial" w:hAnsi="Arial"/>
                <w:sz w:val="8"/>
                <w:szCs w:val="8"/>
                <w:color w:val="auto"/>
              </w:rPr>
              <w:t>3,046,846</w:t>
            </w:r>
          </w:p>
        </w:tc>
        <w:tc>
          <w:tcPr>
            <w:tcW w:w="1000" w:type="dxa"/>
            <w:vAlign w:val="bottom"/>
          </w:tcPr>
          <w:p>
            <w:pPr>
              <w:jc w:val="center"/>
              <w:spacing w:after="0"/>
              <w:rPr>
                <w:sz w:val="20"/>
                <w:szCs w:val="20"/>
                <w:color w:val="auto"/>
              </w:rPr>
            </w:pPr>
            <w:r>
              <w:rPr>
                <w:rFonts w:ascii="Arial" w:cs="Arial" w:eastAsia="Arial" w:hAnsi="Arial"/>
                <w:sz w:val="8"/>
                <w:szCs w:val="8"/>
                <w:color w:val="auto"/>
              </w:rPr>
              <w:t>3,161,382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3,295,236</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8"/>
              </w:rPr>
              <w:t>4.2%</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8.2%</w:t>
            </w:r>
          </w:p>
        </w:tc>
        <w:tc>
          <w:tcPr>
            <w:tcW w:w="0" w:type="dxa"/>
            <w:vAlign w:val="bottom"/>
          </w:tcPr>
          <w:p>
            <w:pPr>
              <w:spacing w:after="0"/>
              <w:rPr>
                <w:sz w:val="1"/>
                <w:szCs w:val="1"/>
                <w:color w:val="auto"/>
              </w:rPr>
            </w:pPr>
          </w:p>
        </w:tc>
      </w:tr>
      <w:tr>
        <w:trPr>
          <w:trHeight w:val="93"/>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Reinsurance contract assets</w:t>
            </w:r>
          </w:p>
        </w:tc>
        <w:tc>
          <w:tcPr>
            <w:tcW w:w="980" w:type="dxa"/>
            <w:vAlign w:val="bottom"/>
          </w:tcPr>
          <w:p>
            <w:pPr>
              <w:jc w:val="center"/>
              <w:spacing w:after="0"/>
              <w:rPr>
                <w:sz w:val="20"/>
                <w:szCs w:val="20"/>
                <w:color w:val="auto"/>
              </w:rPr>
            </w:pPr>
            <w:r>
              <w:rPr>
                <w:rFonts w:ascii="Arial" w:cs="Arial" w:eastAsia="Arial" w:hAnsi="Arial"/>
                <w:sz w:val="8"/>
                <w:szCs w:val="8"/>
                <w:color w:val="auto"/>
              </w:rPr>
              <w:t>780,587</w:t>
            </w:r>
          </w:p>
        </w:tc>
        <w:tc>
          <w:tcPr>
            <w:tcW w:w="1000" w:type="dxa"/>
            <w:vAlign w:val="bottom"/>
          </w:tcPr>
          <w:p>
            <w:pPr>
              <w:jc w:val="center"/>
              <w:spacing w:after="0"/>
              <w:rPr>
                <w:sz w:val="20"/>
                <w:szCs w:val="20"/>
                <w:color w:val="auto"/>
              </w:rPr>
            </w:pPr>
            <w:r>
              <w:rPr>
                <w:rFonts w:ascii="Arial" w:cs="Arial" w:eastAsia="Arial" w:hAnsi="Arial"/>
                <w:sz w:val="8"/>
                <w:szCs w:val="8"/>
                <w:color w:val="auto"/>
              </w:rPr>
              <w:t>957,474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959,661</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8"/>
              </w:rPr>
              <w:t>0.2%</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22.9%</w:t>
            </w:r>
          </w:p>
        </w:tc>
        <w:tc>
          <w:tcPr>
            <w:tcW w:w="0" w:type="dxa"/>
            <w:vAlign w:val="bottom"/>
          </w:tcPr>
          <w:p>
            <w:pPr>
              <w:spacing w:after="0"/>
              <w:rPr>
                <w:sz w:val="1"/>
                <w:szCs w:val="1"/>
                <w:color w:val="auto"/>
              </w:rPr>
            </w:pPr>
          </w:p>
        </w:tc>
      </w:tr>
      <w:tr>
        <w:trPr>
          <w:trHeight w:val="108"/>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Other assets (1)</w:t>
            </w:r>
          </w:p>
        </w:tc>
        <w:tc>
          <w:tcPr>
            <w:tcW w:w="980" w:type="dxa"/>
            <w:vAlign w:val="bottom"/>
          </w:tcPr>
          <w:p>
            <w:pPr>
              <w:jc w:val="center"/>
              <w:spacing w:after="0"/>
              <w:rPr>
                <w:sz w:val="20"/>
                <w:szCs w:val="20"/>
                <w:color w:val="auto"/>
              </w:rPr>
            </w:pPr>
            <w:r>
              <w:rPr>
                <w:rFonts w:ascii="Arial" w:cs="Arial" w:eastAsia="Arial" w:hAnsi="Arial"/>
                <w:sz w:val="8"/>
                <w:szCs w:val="8"/>
                <w:color w:val="auto"/>
              </w:rPr>
              <w:t>8,063,007</w:t>
            </w:r>
          </w:p>
        </w:tc>
        <w:tc>
          <w:tcPr>
            <w:tcW w:w="1000" w:type="dxa"/>
            <w:vAlign w:val="bottom"/>
          </w:tcPr>
          <w:p>
            <w:pPr>
              <w:jc w:val="center"/>
              <w:spacing w:after="0"/>
              <w:rPr>
                <w:sz w:val="20"/>
                <w:szCs w:val="20"/>
                <w:color w:val="auto"/>
              </w:rPr>
            </w:pPr>
            <w:r>
              <w:rPr>
                <w:rFonts w:ascii="Arial" w:cs="Arial" w:eastAsia="Arial" w:hAnsi="Arial"/>
                <w:sz w:val="8"/>
                <w:szCs w:val="8"/>
                <w:color w:val="auto"/>
              </w:rPr>
              <w:t>7,506,630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12,278,373</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6"/>
              </w:rPr>
              <w:t>63.6%</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52.3%</w:t>
            </w: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3800" w:type="dxa"/>
            <w:vAlign w:val="bottom"/>
            <w:tcBorders>
              <w:right w:val="single" w:sz="8" w:color="auto"/>
            </w:tcBorders>
          </w:tcPr>
          <w:p>
            <w:pPr>
              <w:jc w:val="center"/>
              <w:ind w:right="399"/>
              <w:spacing w:after="0"/>
              <w:rPr>
                <w:sz w:val="20"/>
                <w:szCs w:val="20"/>
                <w:color w:val="auto"/>
              </w:rPr>
            </w:pPr>
            <w:r>
              <w:rPr>
                <w:rFonts w:ascii="Arial" w:cs="Arial" w:eastAsia="Arial" w:hAnsi="Arial"/>
                <w:sz w:val="8"/>
                <w:szCs w:val="8"/>
                <w:b w:val="1"/>
                <w:bCs w:val="1"/>
                <w:color w:val="auto"/>
              </w:rPr>
              <w:t>Total Assets</w:t>
            </w:r>
          </w:p>
        </w:tc>
        <w:tc>
          <w:tcPr>
            <w:tcW w:w="980" w:type="dxa"/>
            <w:vAlign w:val="bottom"/>
          </w:tcPr>
          <w:p>
            <w:pPr>
              <w:jc w:val="center"/>
              <w:spacing w:after="0"/>
              <w:rPr>
                <w:sz w:val="20"/>
                <w:szCs w:val="20"/>
                <w:color w:val="auto"/>
              </w:rPr>
            </w:pPr>
            <w:r>
              <w:rPr>
                <w:rFonts w:ascii="Arial" w:cs="Arial" w:eastAsia="Arial" w:hAnsi="Arial"/>
                <w:sz w:val="8"/>
                <w:szCs w:val="8"/>
                <w:b w:val="1"/>
                <w:bCs w:val="1"/>
                <w:color w:val="auto"/>
              </w:rPr>
              <w:t>233,310,290</w:t>
            </w:r>
          </w:p>
        </w:tc>
        <w:tc>
          <w:tcPr>
            <w:tcW w:w="1000" w:type="dxa"/>
            <w:vAlign w:val="bottom"/>
          </w:tcPr>
          <w:p>
            <w:pPr>
              <w:jc w:val="center"/>
              <w:spacing w:after="0"/>
              <w:rPr>
                <w:sz w:val="20"/>
                <w:szCs w:val="20"/>
                <w:color w:val="auto"/>
              </w:rPr>
            </w:pPr>
            <w:r>
              <w:rPr>
                <w:rFonts w:ascii="Arial" w:cs="Arial" w:eastAsia="Arial" w:hAnsi="Arial"/>
                <w:sz w:val="8"/>
                <w:szCs w:val="8"/>
                <w:b w:val="1"/>
                <w:bCs w:val="1"/>
                <w:color w:val="auto"/>
              </w:rPr>
              <w:t>241,171,741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248,067,159</w:t>
            </w:r>
          </w:p>
        </w:tc>
        <w:tc>
          <w:tcPr>
            <w:tcW w:w="620" w:type="dxa"/>
            <w:vAlign w:val="bottom"/>
          </w:tcPr>
          <w:p>
            <w:pPr>
              <w:jc w:val="center"/>
              <w:ind w:left="199"/>
              <w:spacing w:after="0"/>
              <w:rPr>
                <w:sz w:val="20"/>
                <w:szCs w:val="20"/>
                <w:color w:val="auto"/>
              </w:rPr>
            </w:pPr>
            <w:r>
              <w:rPr>
                <w:rFonts w:ascii="Arial" w:cs="Arial" w:eastAsia="Arial" w:hAnsi="Arial"/>
                <w:sz w:val="8"/>
                <w:szCs w:val="8"/>
                <w:b w:val="1"/>
                <w:bCs w:val="1"/>
                <w:color w:val="auto"/>
                <w:w w:val="98"/>
              </w:rPr>
              <w:t>2.9%</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b w:val="1"/>
                <w:bCs w:val="1"/>
                <w:color w:val="auto"/>
              </w:rPr>
              <w:t>6.3%</w:t>
            </w:r>
          </w:p>
        </w:tc>
        <w:tc>
          <w:tcPr>
            <w:tcW w:w="0" w:type="dxa"/>
            <w:vAlign w:val="bottom"/>
          </w:tcPr>
          <w:p>
            <w:pPr>
              <w:spacing w:after="0"/>
              <w:rPr>
                <w:sz w:val="1"/>
                <w:szCs w:val="1"/>
                <w:color w:val="auto"/>
              </w:rPr>
            </w:pPr>
          </w:p>
        </w:tc>
      </w:tr>
      <w:tr>
        <w:trPr>
          <w:trHeight w:val="165"/>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b w:val="1"/>
                <w:bCs w:val="1"/>
                <w:color w:val="auto"/>
              </w:rPr>
              <w:t>LIABILITIES AND EQUITY</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b w:val="1"/>
                <w:bCs w:val="1"/>
                <w:color w:val="auto"/>
              </w:rPr>
              <w:t>Deposits and obligations</w:t>
            </w:r>
          </w:p>
        </w:tc>
        <w:tc>
          <w:tcPr>
            <w:tcW w:w="9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440" w:type="dxa"/>
            <w:vAlign w:val="bottom"/>
            <w:tcBorders>
              <w:left w:val="single" w:sz="8" w:color="auto"/>
            </w:tcBorders>
          </w:tcPr>
          <w:p>
            <w:pPr>
              <w:spacing w:after="0"/>
              <w:rPr>
                <w:sz w:val="8"/>
                <w:szCs w:val="8"/>
                <w:color w:val="auto"/>
              </w:rPr>
            </w:pPr>
          </w:p>
        </w:tc>
        <w:tc>
          <w:tcPr>
            <w:tcW w:w="3800" w:type="dxa"/>
            <w:vAlign w:val="bottom"/>
            <w:tcBorders>
              <w:right w:val="single" w:sz="8" w:color="auto"/>
            </w:tcBorders>
          </w:tcPr>
          <w:p>
            <w:pPr>
              <w:spacing w:after="0"/>
              <w:rPr>
                <w:sz w:val="20"/>
                <w:szCs w:val="20"/>
                <w:color w:val="auto"/>
              </w:rPr>
            </w:pPr>
            <w:r>
              <w:rPr>
                <w:rFonts w:ascii="Arial" w:cs="Arial" w:eastAsia="Arial" w:hAnsi="Arial"/>
                <w:sz w:val="8"/>
                <w:szCs w:val="8"/>
                <w:color w:val="auto"/>
              </w:rPr>
              <w:t>Non-interest bearing</w:t>
            </w:r>
          </w:p>
        </w:tc>
        <w:tc>
          <w:tcPr>
            <w:tcW w:w="980" w:type="dxa"/>
            <w:vAlign w:val="bottom"/>
          </w:tcPr>
          <w:p>
            <w:pPr>
              <w:jc w:val="center"/>
              <w:spacing w:after="0"/>
              <w:rPr>
                <w:sz w:val="20"/>
                <w:szCs w:val="20"/>
                <w:color w:val="auto"/>
              </w:rPr>
            </w:pPr>
            <w:r>
              <w:rPr>
                <w:rFonts w:ascii="Arial" w:cs="Arial" w:eastAsia="Arial" w:hAnsi="Arial"/>
                <w:sz w:val="8"/>
                <w:szCs w:val="8"/>
                <w:color w:val="auto"/>
              </w:rPr>
              <w:t>39,475,762</w:t>
            </w:r>
          </w:p>
        </w:tc>
        <w:tc>
          <w:tcPr>
            <w:tcW w:w="1000" w:type="dxa"/>
            <w:vAlign w:val="bottom"/>
          </w:tcPr>
          <w:p>
            <w:pPr>
              <w:jc w:val="center"/>
              <w:spacing w:after="0"/>
              <w:rPr>
                <w:sz w:val="20"/>
                <w:szCs w:val="20"/>
                <w:color w:val="auto"/>
              </w:rPr>
            </w:pPr>
            <w:r>
              <w:rPr>
                <w:rFonts w:ascii="Arial" w:cs="Arial" w:eastAsia="Arial" w:hAnsi="Arial"/>
                <w:sz w:val="8"/>
                <w:szCs w:val="8"/>
                <w:color w:val="auto"/>
                <w:w w:val="99"/>
              </w:rPr>
              <w:t>41,706,139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43,190,989</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8"/>
              </w:rPr>
              <w:t>3.6%</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9.4%</w:t>
            </w:r>
          </w:p>
        </w:tc>
        <w:tc>
          <w:tcPr>
            <w:tcW w:w="0" w:type="dxa"/>
            <w:vAlign w:val="bottom"/>
          </w:tcPr>
          <w:p>
            <w:pPr>
              <w:spacing w:after="0"/>
              <w:rPr>
                <w:sz w:val="1"/>
                <w:szCs w:val="1"/>
                <w:color w:val="auto"/>
              </w:rPr>
            </w:pPr>
          </w:p>
        </w:tc>
      </w:tr>
      <w:tr>
        <w:trPr>
          <w:trHeight w:val="93"/>
        </w:trPr>
        <w:tc>
          <w:tcPr>
            <w:tcW w:w="440" w:type="dxa"/>
            <w:vAlign w:val="bottom"/>
            <w:tcBorders>
              <w:left w:val="single" w:sz="8" w:color="auto"/>
            </w:tcBorders>
          </w:tcPr>
          <w:p>
            <w:pPr>
              <w:spacing w:after="0"/>
              <w:rPr>
                <w:sz w:val="8"/>
                <w:szCs w:val="8"/>
                <w:color w:val="auto"/>
              </w:rPr>
            </w:pPr>
          </w:p>
        </w:tc>
        <w:tc>
          <w:tcPr>
            <w:tcW w:w="3800" w:type="dxa"/>
            <w:vAlign w:val="bottom"/>
            <w:tcBorders>
              <w:right w:val="single" w:sz="8" w:color="auto"/>
            </w:tcBorders>
          </w:tcPr>
          <w:p>
            <w:pPr>
              <w:spacing w:after="0"/>
              <w:rPr>
                <w:sz w:val="20"/>
                <w:szCs w:val="20"/>
                <w:color w:val="auto"/>
              </w:rPr>
            </w:pPr>
            <w:r>
              <w:rPr>
                <w:rFonts w:ascii="Arial" w:cs="Arial" w:eastAsia="Arial" w:hAnsi="Arial"/>
                <w:sz w:val="8"/>
                <w:szCs w:val="8"/>
                <w:color w:val="auto"/>
              </w:rPr>
              <w:t>Interest bearing</w:t>
            </w:r>
          </w:p>
        </w:tc>
        <w:tc>
          <w:tcPr>
            <w:tcW w:w="980" w:type="dxa"/>
            <w:vAlign w:val="bottom"/>
          </w:tcPr>
          <w:p>
            <w:pPr>
              <w:jc w:val="center"/>
              <w:spacing w:after="0"/>
              <w:rPr>
                <w:sz w:val="20"/>
                <w:szCs w:val="20"/>
                <w:color w:val="auto"/>
              </w:rPr>
            </w:pPr>
            <w:r>
              <w:rPr>
                <w:rFonts w:ascii="Arial" w:cs="Arial" w:eastAsia="Arial" w:hAnsi="Arial"/>
                <w:sz w:val="8"/>
                <w:szCs w:val="8"/>
                <w:color w:val="auto"/>
              </w:rPr>
              <w:t>103,911,955</w:t>
            </w:r>
          </w:p>
        </w:tc>
        <w:tc>
          <w:tcPr>
            <w:tcW w:w="1000" w:type="dxa"/>
            <w:vAlign w:val="bottom"/>
          </w:tcPr>
          <w:p>
            <w:pPr>
              <w:jc w:val="center"/>
              <w:spacing w:after="0"/>
              <w:rPr>
                <w:sz w:val="20"/>
                <w:szCs w:val="20"/>
                <w:color w:val="auto"/>
              </w:rPr>
            </w:pPr>
            <w:r>
              <w:rPr>
                <w:rFonts w:ascii="Arial" w:cs="Arial" w:eastAsia="Arial" w:hAnsi="Arial"/>
                <w:sz w:val="8"/>
                <w:szCs w:val="8"/>
                <w:color w:val="auto"/>
              </w:rPr>
              <w:t>106,150,988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108,780,995</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8"/>
              </w:rPr>
              <w:t>2.5%</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4.7%</w:t>
            </w:r>
          </w:p>
        </w:tc>
        <w:tc>
          <w:tcPr>
            <w:tcW w:w="0" w:type="dxa"/>
            <w:vAlign w:val="bottom"/>
          </w:tcPr>
          <w:p>
            <w:pPr>
              <w:spacing w:after="0"/>
              <w:rPr>
                <w:sz w:val="1"/>
                <w:szCs w:val="1"/>
                <w:color w:val="auto"/>
              </w:rPr>
            </w:pPr>
          </w:p>
        </w:tc>
      </w:tr>
      <w:tr>
        <w:trPr>
          <w:trHeight w:val="108"/>
        </w:trPr>
        <w:tc>
          <w:tcPr>
            <w:tcW w:w="440" w:type="dxa"/>
            <w:vAlign w:val="bottom"/>
            <w:tcBorders>
              <w:left w:val="single" w:sz="8" w:color="auto"/>
            </w:tcBorders>
          </w:tcPr>
          <w:p>
            <w:pPr>
              <w:spacing w:after="0"/>
              <w:rPr>
                <w:sz w:val="9"/>
                <w:szCs w:val="9"/>
                <w:color w:val="auto"/>
              </w:rPr>
            </w:pPr>
          </w:p>
        </w:tc>
        <w:tc>
          <w:tcPr>
            <w:tcW w:w="3800" w:type="dxa"/>
            <w:vAlign w:val="bottom"/>
            <w:tcBorders>
              <w:right w:val="single" w:sz="8" w:color="auto"/>
            </w:tcBorders>
          </w:tcPr>
          <w:p>
            <w:pPr>
              <w:spacing w:after="0"/>
              <w:rPr>
                <w:sz w:val="20"/>
                <w:szCs w:val="20"/>
                <w:color w:val="auto"/>
              </w:rPr>
            </w:pPr>
            <w:r>
              <w:rPr>
                <w:rFonts w:ascii="Arial" w:cs="Arial" w:eastAsia="Arial" w:hAnsi="Arial"/>
                <w:sz w:val="8"/>
                <w:szCs w:val="8"/>
                <w:color w:val="auto"/>
              </w:rPr>
              <w:t>Total deposits and obligations</w:t>
            </w:r>
          </w:p>
        </w:tc>
        <w:tc>
          <w:tcPr>
            <w:tcW w:w="980" w:type="dxa"/>
            <w:vAlign w:val="bottom"/>
          </w:tcPr>
          <w:p>
            <w:pPr>
              <w:jc w:val="center"/>
              <w:spacing w:after="0"/>
              <w:rPr>
                <w:sz w:val="20"/>
                <w:szCs w:val="20"/>
                <w:color w:val="auto"/>
              </w:rPr>
            </w:pPr>
            <w:r>
              <w:rPr>
                <w:rFonts w:ascii="Arial" w:cs="Arial" w:eastAsia="Arial" w:hAnsi="Arial"/>
                <w:sz w:val="8"/>
                <w:szCs w:val="8"/>
                <w:color w:val="auto"/>
              </w:rPr>
              <w:t>143,387,717</w:t>
            </w:r>
          </w:p>
        </w:tc>
        <w:tc>
          <w:tcPr>
            <w:tcW w:w="1000" w:type="dxa"/>
            <w:vAlign w:val="bottom"/>
          </w:tcPr>
          <w:p>
            <w:pPr>
              <w:jc w:val="center"/>
              <w:spacing w:after="0"/>
              <w:rPr>
                <w:sz w:val="20"/>
                <w:szCs w:val="20"/>
                <w:color w:val="auto"/>
              </w:rPr>
            </w:pPr>
            <w:r>
              <w:rPr>
                <w:rFonts w:ascii="Arial" w:cs="Arial" w:eastAsia="Arial" w:hAnsi="Arial"/>
                <w:sz w:val="8"/>
                <w:szCs w:val="8"/>
                <w:color w:val="auto"/>
              </w:rPr>
              <w:t>147,857,127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151,971,984</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8"/>
              </w:rPr>
              <w:t>2.8%</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6.0%</w:t>
            </w:r>
          </w:p>
        </w:tc>
        <w:tc>
          <w:tcPr>
            <w:tcW w:w="0" w:type="dxa"/>
            <w:vAlign w:val="bottom"/>
          </w:tcPr>
          <w:p>
            <w:pPr>
              <w:spacing w:after="0"/>
              <w:rPr>
                <w:sz w:val="1"/>
                <w:szCs w:val="1"/>
                <w:color w:val="auto"/>
              </w:rPr>
            </w:pPr>
          </w:p>
        </w:tc>
      </w:tr>
      <w:tr>
        <w:trPr>
          <w:trHeight w:val="169"/>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Payables from repurchase agreements and securities lending</w:t>
            </w:r>
          </w:p>
        </w:tc>
        <w:tc>
          <w:tcPr>
            <w:tcW w:w="980" w:type="dxa"/>
            <w:vAlign w:val="bottom"/>
          </w:tcPr>
          <w:p>
            <w:pPr>
              <w:jc w:val="center"/>
              <w:spacing w:after="0"/>
              <w:rPr>
                <w:sz w:val="20"/>
                <w:szCs w:val="20"/>
                <w:color w:val="auto"/>
              </w:rPr>
            </w:pPr>
            <w:r>
              <w:rPr>
                <w:rFonts w:ascii="Arial" w:cs="Arial" w:eastAsia="Arial" w:hAnsi="Arial"/>
                <w:sz w:val="8"/>
                <w:szCs w:val="8"/>
                <w:color w:val="auto"/>
              </w:rPr>
              <w:t>14,306,880</w:t>
            </w:r>
          </w:p>
        </w:tc>
        <w:tc>
          <w:tcPr>
            <w:tcW w:w="1000" w:type="dxa"/>
            <w:vAlign w:val="bottom"/>
          </w:tcPr>
          <w:p>
            <w:pPr>
              <w:jc w:val="center"/>
              <w:spacing w:after="0"/>
              <w:rPr>
                <w:sz w:val="20"/>
                <w:szCs w:val="20"/>
                <w:color w:val="auto"/>
              </w:rPr>
            </w:pPr>
            <w:r>
              <w:rPr>
                <w:rFonts w:ascii="Arial" w:cs="Arial" w:eastAsia="Arial" w:hAnsi="Arial"/>
                <w:sz w:val="8"/>
                <w:szCs w:val="8"/>
                <w:color w:val="auto"/>
              </w:rPr>
              <w:t>9,491,276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7,689,689</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rPr>
              <w:t>-19.0%</w:t>
            </w:r>
          </w:p>
        </w:tc>
        <w:tc>
          <w:tcPr>
            <w:tcW w:w="1160" w:type="dxa"/>
            <w:vAlign w:val="bottom"/>
            <w:tcBorders>
              <w:right w:val="single" w:sz="8" w:color="auto"/>
            </w:tcBorders>
          </w:tcPr>
          <w:p>
            <w:pPr>
              <w:jc w:val="center"/>
              <w:ind w:left="179"/>
              <w:spacing w:after="0"/>
              <w:rPr>
                <w:sz w:val="20"/>
                <w:szCs w:val="20"/>
                <w:color w:val="auto"/>
              </w:rPr>
            </w:pPr>
            <w:r>
              <w:rPr>
                <w:rFonts w:ascii="Arial" w:cs="Arial" w:eastAsia="Arial" w:hAnsi="Arial"/>
                <w:sz w:val="8"/>
                <w:szCs w:val="8"/>
                <w:color w:val="auto"/>
              </w:rPr>
              <w:t>-46.3%</w:t>
            </w:r>
          </w:p>
        </w:tc>
        <w:tc>
          <w:tcPr>
            <w:tcW w:w="0" w:type="dxa"/>
            <w:vAlign w:val="bottom"/>
          </w:tcPr>
          <w:p>
            <w:pPr>
              <w:spacing w:after="0"/>
              <w:rPr>
                <w:sz w:val="1"/>
                <w:szCs w:val="1"/>
                <w:color w:val="auto"/>
              </w:rPr>
            </w:pPr>
          </w:p>
        </w:tc>
      </w:tr>
      <w:tr>
        <w:trPr>
          <w:trHeight w:val="93"/>
        </w:trPr>
        <w:tc>
          <w:tcPr>
            <w:tcW w:w="440" w:type="dxa"/>
            <w:vAlign w:val="bottom"/>
            <w:tcBorders>
              <w:left w:val="single" w:sz="8" w:color="auto"/>
            </w:tcBorders>
          </w:tcPr>
          <w:p>
            <w:pPr>
              <w:spacing w:after="0"/>
              <w:rPr>
                <w:sz w:val="8"/>
                <w:szCs w:val="8"/>
                <w:color w:val="auto"/>
              </w:rPr>
            </w:pPr>
          </w:p>
        </w:tc>
        <w:tc>
          <w:tcPr>
            <w:tcW w:w="3800" w:type="dxa"/>
            <w:vAlign w:val="bottom"/>
            <w:tcBorders>
              <w:right w:val="single" w:sz="8" w:color="auto"/>
            </w:tcBorders>
          </w:tcPr>
          <w:p>
            <w:pPr>
              <w:spacing w:after="0"/>
              <w:rPr>
                <w:sz w:val="20"/>
                <w:szCs w:val="20"/>
                <w:color w:val="auto"/>
              </w:rPr>
            </w:pPr>
            <w:r>
              <w:rPr>
                <w:rFonts w:ascii="Arial" w:cs="Arial" w:eastAsia="Arial" w:hAnsi="Arial"/>
                <w:sz w:val="8"/>
                <w:szCs w:val="8"/>
                <w:color w:val="auto"/>
              </w:rPr>
              <w:t>BCRP instruments</w:t>
            </w:r>
          </w:p>
        </w:tc>
        <w:tc>
          <w:tcPr>
            <w:tcW w:w="980" w:type="dxa"/>
            <w:vAlign w:val="bottom"/>
          </w:tcPr>
          <w:p>
            <w:pPr>
              <w:jc w:val="center"/>
              <w:spacing w:after="0"/>
              <w:rPr>
                <w:sz w:val="20"/>
                <w:szCs w:val="20"/>
                <w:color w:val="auto"/>
              </w:rPr>
            </w:pPr>
            <w:r>
              <w:rPr>
                <w:rFonts w:ascii="Arial" w:cs="Arial" w:eastAsia="Arial" w:hAnsi="Arial"/>
                <w:sz w:val="8"/>
                <w:szCs w:val="8"/>
                <w:color w:val="auto"/>
                <w:w w:val="99"/>
              </w:rPr>
              <w:t>11,772,772</w:t>
            </w:r>
          </w:p>
        </w:tc>
        <w:tc>
          <w:tcPr>
            <w:tcW w:w="1000" w:type="dxa"/>
            <w:vAlign w:val="bottom"/>
          </w:tcPr>
          <w:p>
            <w:pPr>
              <w:jc w:val="center"/>
              <w:spacing w:after="0"/>
              <w:rPr>
                <w:sz w:val="20"/>
                <w:szCs w:val="20"/>
                <w:color w:val="auto"/>
              </w:rPr>
            </w:pPr>
            <w:r>
              <w:rPr>
                <w:rFonts w:ascii="Arial" w:cs="Arial" w:eastAsia="Arial" w:hAnsi="Arial"/>
                <w:sz w:val="8"/>
                <w:szCs w:val="8"/>
                <w:color w:val="auto"/>
              </w:rPr>
              <w:t>6,854,368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5,542,892</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rPr>
              <w:t>-19.1%</w:t>
            </w:r>
          </w:p>
        </w:tc>
        <w:tc>
          <w:tcPr>
            <w:tcW w:w="1160" w:type="dxa"/>
            <w:vAlign w:val="bottom"/>
            <w:tcBorders>
              <w:right w:val="single" w:sz="8" w:color="auto"/>
            </w:tcBorders>
          </w:tcPr>
          <w:p>
            <w:pPr>
              <w:jc w:val="center"/>
              <w:ind w:left="179"/>
              <w:spacing w:after="0"/>
              <w:rPr>
                <w:sz w:val="20"/>
                <w:szCs w:val="20"/>
                <w:color w:val="auto"/>
              </w:rPr>
            </w:pPr>
            <w:r>
              <w:rPr>
                <w:rFonts w:ascii="Arial" w:cs="Arial" w:eastAsia="Arial" w:hAnsi="Arial"/>
                <w:sz w:val="8"/>
                <w:szCs w:val="8"/>
                <w:color w:val="auto"/>
              </w:rPr>
              <w:t>-52.9%</w:t>
            </w:r>
          </w:p>
        </w:tc>
        <w:tc>
          <w:tcPr>
            <w:tcW w:w="0" w:type="dxa"/>
            <w:vAlign w:val="bottom"/>
          </w:tcPr>
          <w:p>
            <w:pPr>
              <w:spacing w:after="0"/>
              <w:rPr>
                <w:sz w:val="1"/>
                <w:szCs w:val="1"/>
                <w:color w:val="auto"/>
              </w:rPr>
            </w:pPr>
          </w:p>
        </w:tc>
      </w:tr>
      <w:tr>
        <w:trPr>
          <w:trHeight w:val="93"/>
        </w:trPr>
        <w:tc>
          <w:tcPr>
            <w:tcW w:w="440" w:type="dxa"/>
            <w:vAlign w:val="bottom"/>
            <w:tcBorders>
              <w:left w:val="single" w:sz="8" w:color="auto"/>
            </w:tcBorders>
          </w:tcPr>
          <w:p>
            <w:pPr>
              <w:spacing w:after="0"/>
              <w:rPr>
                <w:sz w:val="8"/>
                <w:szCs w:val="8"/>
                <w:color w:val="auto"/>
              </w:rPr>
            </w:pPr>
          </w:p>
        </w:tc>
        <w:tc>
          <w:tcPr>
            <w:tcW w:w="3800" w:type="dxa"/>
            <w:vAlign w:val="bottom"/>
            <w:tcBorders>
              <w:right w:val="single" w:sz="8" w:color="auto"/>
            </w:tcBorders>
          </w:tcPr>
          <w:p>
            <w:pPr>
              <w:spacing w:after="0"/>
              <w:rPr>
                <w:sz w:val="20"/>
                <w:szCs w:val="20"/>
                <w:color w:val="auto"/>
              </w:rPr>
            </w:pPr>
            <w:r>
              <w:rPr>
                <w:rFonts w:ascii="Arial" w:cs="Arial" w:eastAsia="Arial" w:hAnsi="Arial"/>
                <w:sz w:val="8"/>
                <w:szCs w:val="8"/>
                <w:color w:val="auto"/>
              </w:rPr>
              <w:t>Repurchase agreements with third parties</w:t>
            </w:r>
          </w:p>
        </w:tc>
        <w:tc>
          <w:tcPr>
            <w:tcW w:w="980" w:type="dxa"/>
            <w:vAlign w:val="bottom"/>
          </w:tcPr>
          <w:p>
            <w:pPr>
              <w:jc w:val="center"/>
              <w:spacing w:after="0"/>
              <w:rPr>
                <w:sz w:val="20"/>
                <w:szCs w:val="20"/>
                <w:color w:val="auto"/>
              </w:rPr>
            </w:pPr>
            <w:r>
              <w:rPr>
                <w:rFonts w:ascii="Arial" w:cs="Arial" w:eastAsia="Arial" w:hAnsi="Arial"/>
                <w:sz w:val="8"/>
                <w:szCs w:val="8"/>
                <w:color w:val="auto"/>
              </w:rPr>
              <w:t>1,276,709</w:t>
            </w:r>
          </w:p>
        </w:tc>
        <w:tc>
          <w:tcPr>
            <w:tcW w:w="1000" w:type="dxa"/>
            <w:vAlign w:val="bottom"/>
          </w:tcPr>
          <w:p>
            <w:pPr>
              <w:jc w:val="center"/>
              <w:spacing w:after="0"/>
              <w:rPr>
                <w:sz w:val="20"/>
                <w:szCs w:val="20"/>
                <w:color w:val="auto"/>
              </w:rPr>
            </w:pPr>
            <w:r>
              <w:rPr>
                <w:rFonts w:ascii="Arial" w:cs="Arial" w:eastAsia="Arial" w:hAnsi="Arial"/>
                <w:sz w:val="8"/>
                <w:szCs w:val="8"/>
                <w:color w:val="auto"/>
              </w:rPr>
              <w:t>1,092,031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927,666</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rPr>
              <w:t>-15.1%</w:t>
            </w:r>
          </w:p>
        </w:tc>
        <w:tc>
          <w:tcPr>
            <w:tcW w:w="1160" w:type="dxa"/>
            <w:vAlign w:val="bottom"/>
            <w:tcBorders>
              <w:right w:val="single" w:sz="8" w:color="auto"/>
            </w:tcBorders>
          </w:tcPr>
          <w:p>
            <w:pPr>
              <w:jc w:val="center"/>
              <w:ind w:left="179"/>
              <w:spacing w:after="0"/>
              <w:rPr>
                <w:sz w:val="20"/>
                <w:szCs w:val="20"/>
                <w:color w:val="auto"/>
              </w:rPr>
            </w:pPr>
            <w:r>
              <w:rPr>
                <w:rFonts w:ascii="Arial" w:cs="Arial" w:eastAsia="Arial" w:hAnsi="Arial"/>
                <w:sz w:val="8"/>
                <w:szCs w:val="8"/>
                <w:color w:val="auto"/>
              </w:rPr>
              <w:t>-27.3%</w:t>
            </w:r>
          </w:p>
        </w:tc>
        <w:tc>
          <w:tcPr>
            <w:tcW w:w="0" w:type="dxa"/>
            <w:vAlign w:val="bottom"/>
          </w:tcPr>
          <w:p>
            <w:pPr>
              <w:spacing w:after="0"/>
              <w:rPr>
                <w:sz w:val="1"/>
                <w:szCs w:val="1"/>
                <w:color w:val="auto"/>
              </w:rPr>
            </w:pPr>
          </w:p>
        </w:tc>
      </w:tr>
      <w:tr>
        <w:trPr>
          <w:trHeight w:val="108"/>
        </w:trPr>
        <w:tc>
          <w:tcPr>
            <w:tcW w:w="440" w:type="dxa"/>
            <w:vAlign w:val="bottom"/>
            <w:tcBorders>
              <w:left w:val="single" w:sz="8" w:color="auto"/>
            </w:tcBorders>
          </w:tcPr>
          <w:p>
            <w:pPr>
              <w:spacing w:after="0"/>
              <w:rPr>
                <w:sz w:val="9"/>
                <w:szCs w:val="9"/>
                <w:color w:val="auto"/>
              </w:rPr>
            </w:pPr>
          </w:p>
        </w:tc>
        <w:tc>
          <w:tcPr>
            <w:tcW w:w="3800" w:type="dxa"/>
            <w:vAlign w:val="bottom"/>
            <w:tcBorders>
              <w:right w:val="single" w:sz="8" w:color="auto"/>
            </w:tcBorders>
          </w:tcPr>
          <w:p>
            <w:pPr>
              <w:spacing w:after="0"/>
              <w:rPr>
                <w:sz w:val="20"/>
                <w:szCs w:val="20"/>
                <w:color w:val="auto"/>
              </w:rPr>
            </w:pPr>
            <w:r>
              <w:rPr>
                <w:rFonts w:ascii="Arial" w:cs="Arial" w:eastAsia="Arial" w:hAnsi="Arial"/>
                <w:sz w:val="8"/>
                <w:szCs w:val="8"/>
                <w:color w:val="auto"/>
              </w:rPr>
              <w:t>Repurchase agreements with customers</w:t>
            </w:r>
          </w:p>
        </w:tc>
        <w:tc>
          <w:tcPr>
            <w:tcW w:w="980" w:type="dxa"/>
            <w:vAlign w:val="bottom"/>
          </w:tcPr>
          <w:p>
            <w:pPr>
              <w:jc w:val="center"/>
              <w:spacing w:after="0"/>
              <w:rPr>
                <w:sz w:val="20"/>
                <w:szCs w:val="20"/>
                <w:color w:val="auto"/>
              </w:rPr>
            </w:pPr>
            <w:r>
              <w:rPr>
                <w:rFonts w:ascii="Arial" w:cs="Arial" w:eastAsia="Arial" w:hAnsi="Arial"/>
                <w:sz w:val="8"/>
                <w:szCs w:val="8"/>
                <w:color w:val="auto"/>
              </w:rPr>
              <w:t>1,257,399</w:t>
            </w:r>
          </w:p>
        </w:tc>
        <w:tc>
          <w:tcPr>
            <w:tcW w:w="1000" w:type="dxa"/>
            <w:vAlign w:val="bottom"/>
          </w:tcPr>
          <w:p>
            <w:pPr>
              <w:jc w:val="center"/>
              <w:spacing w:after="0"/>
              <w:rPr>
                <w:sz w:val="20"/>
                <w:szCs w:val="20"/>
                <w:color w:val="auto"/>
              </w:rPr>
            </w:pPr>
            <w:r>
              <w:rPr>
                <w:rFonts w:ascii="Arial" w:cs="Arial" w:eastAsia="Arial" w:hAnsi="Arial"/>
                <w:sz w:val="8"/>
                <w:szCs w:val="8"/>
                <w:color w:val="auto"/>
              </w:rPr>
              <w:t>1,544,877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1,219,131</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rPr>
              <w:t>-21.1%</w:t>
            </w:r>
          </w:p>
        </w:tc>
        <w:tc>
          <w:tcPr>
            <w:tcW w:w="1160" w:type="dxa"/>
            <w:vAlign w:val="bottom"/>
            <w:tcBorders>
              <w:right w:val="single" w:sz="8" w:color="auto"/>
            </w:tcBorders>
          </w:tcPr>
          <w:p>
            <w:pPr>
              <w:jc w:val="center"/>
              <w:ind w:left="179"/>
              <w:spacing w:after="0"/>
              <w:rPr>
                <w:sz w:val="20"/>
                <w:szCs w:val="20"/>
                <w:color w:val="auto"/>
              </w:rPr>
            </w:pPr>
            <w:r>
              <w:rPr>
                <w:rFonts w:ascii="Arial" w:cs="Arial" w:eastAsia="Arial" w:hAnsi="Arial"/>
                <w:sz w:val="8"/>
                <w:szCs w:val="8"/>
                <w:color w:val="auto"/>
              </w:rPr>
              <w:t>-3.0%</w:t>
            </w:r>
          </w:p>
        </w:tc>
        <w:tc>
          <w:tcPr>
            <w:tcW w:w="0" w:type="dxa"/>
            <w:vAlign w:val="bottom"/>
          </w:tcPr>
          <w:p>
            <w:pPr>
              <w:spacing w:after="0"/>
              <w:rPr>
                <w:sz w:val="1"/>
                <w:szCs w:val="1"/>
                <w:color w:val="auto"/>
              </w:rPr>
            </w:pPr>
          </w:p>
        </w:tc>
      </w:tr>
      <w:tr>
        <w:trPr>
          <w:trHeight w:val="169"/>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Due to banks and correspondents</w:t>
            </w:r>
          </w:p>
        </w:tc>
        <w:tc>
          <w:tcPr>
            <w:tcW w:w="980" w:type="dxa"/>
            <w:vAlign w:val="bottom"/>
          </w:tcPr>
          <w:p>
            <w:pPr>
              <w:jc w:val="center"/>
              <w:spacing w:after="0"/>
              <w:rPr>
                <w:sz w:val="20"/>
                <w:szCs w:val="20"/>
                <w:color w:val="auto"/>
              </w:rPr>
            </w:pPr>
            <w:r>
              <w:rPr>
                <w:rFonts w:ascii="Arial" w:cs="Arial" w:eastAsia="Arial" w:hAnsi="Arial"/>
                <w:sz w:val="8"/>
                <w:szCs w:val="8"/>
                <w:color w:val="auto"/>
              </w:rPr>
              <w:t>10,062,290</w:t>
            </w:r>
          </w:p>
        </w:tc>
        <w:tc>
          <w:tcPr>
            <w:tcW w:w="1000" w:type="dxa"/>
            <w:vAlign w:val="bottom"/>
          </w:tcPr>
          <w:p>
            <w:pPr>
              <w:jc w:val="center"/>
              <w:spacing w:after="0"/>
              <w:rPr>
                <w:sz w:val="20"/>
                <w:szCs w:val="20"/>
                <w:color w:val="auto"/>
              </w:rPr>
            </w:pPr>
            <w:r>
              <w:rPr>
                <w:rFonts w:ascii="Arial" w:cs="Arial" w:eastAsia="Arial" w:hAnsi="Arial"/>
                <w:sz w:val="8"/>
                <w:szCs w:val="8"/>
                <w:color w:val="auto"/>
                <w:w w:val="99"/>
              </w:rPr>
              <w:t>10,684,673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12,620,346</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6"/>
              </w:rPr>
              <w:t>18.1%</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25.4%</w:t>
            </w:r>
          </w:p>
        </w:tc>
        <w:tc>
          <w:tcPr>
            <w:tcW w:w="0" w:type="dxa"/>
            <w:vAlign w:val="bottom"/>
          </w:tcPr>
          <w:p>
            <w:pPr>
              <w:spacing w:after="0"/>
              <w:rPr>
                <w:sz w:val="1"/>
                <w:szCs w:val="1"/>
                <w:color w:val="auto"/>
              </w:rPr>
            </w:pPr>
          </w:p>
        </w:tc>
      </w:tr>
      <w:tr>
        <w:trPr>
          <w:trHeight w:val="93"/>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Bonds and notes issued</w:t>
            </w:r>
          </w:p>
        </w:tc>
        <w:tc>
          <w:tcPr>
            <w:tcW w:w="980" w:type="dxa"/>
            <w:vAlign w:val="bottom"/>
          </w:tcPr>
          <w:p>
            <w:pPr>
              <w:jc w:val="center"/>
              <w:spacing w:after="0"/>
              <w:rPr>
                <w:sz w:val="20"/>
                <w:szCs w:val="20"/>
                <w:color w:val="auto"/>
              </w:rPr>
            </w:pPr>
            <w:r>
              <w:rPr>
                <w:rFonts w:ascii="Arial" w:cs="Arial" w:eastAsia="Arial" w:hAnsi="Arial"/>
                <w:sz w:val="8"/>
                <w:szCs w:val="8"/>
                <w:color w:val="auto"/>
              </w:rPr>
              <w:t>14,235,697</w:t>
            </w:r>
          </w:p>
        </w:tc>
        <w:tc>
          <w:tcPr>
            <w:tcW w:w="1000" w:type="dxa"/>
            <w:vAlign w:val="bottom"/>
          </w:tcPr>
          <w:p>
            <w:pPr>
              <w:jc w:val="center"/>
              <w:spacing w:after="0"/>
              <w:rPr>
                <w:sz w:val="20"/>
                <w:szCs w:val="20"/>
                <w:color w:val="auto"/>
              </w:rPr>
            </w:pPr>
            <w:r>
              <w:rPr>
                <w:rFonts w:ascii="Arial" w:cs="Arial" w:eastAsia="Arial" w:hAnsi="Arial"/>
                <w:sz w:val="8"/>
                <w:szCs w:val="8"/>
                <w:color w:val="auto"/>
                <w:w w:val="99"/>
              </w:rPr>
              <w:t>17,541,121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17,953,508</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8"/>
              </w:rPr>
              <w:t>2.4%</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26.1%</w:t>
            </w:r>
          </w:p>
        </w:tc>
        <w:tc>
          <w:tcPr>
            <w:tcW w:w="0" w:type="dxa"/>
            <w:vAlign w:val="bottom"/>
          </w:tcPr>
          <w:p>
            <w:pPr>
              <w:spacing w:after="0"/>
              <w:rPr>
                <w:sz w:val="1"/>
                <w:szCs w:val="1"/>
                <w:color w:val="auto"/>
              </w:rPr>
            </w:pPr>
          </w:p>
        </w:tc>
      </w:tr>
      <w:tr>
        <w:trPr>
          <w:trHeight w:val="93"/>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Banker’s acceptances outstanding</w:t>
            </w:r>
          </w:p>
        </w:tc>
        <w:tc>
          <w:tcPr>
            <w:tcW w:w="980" w:type="dxa"/>
            <w:vAlign w:val="bottom"/>
          </w:tcPr>
          <w:p>
            <w:pPr>
              <w:jc w:val="center"/>
              <w:spacing w:after="0"/>
              <w:rPr>
                <w:sz w:val="20"/>
                <w:szCs w:val="20"/>
                <w:color w:val="auto"/>
              </w:rPr>
            </w:pPr>
            <w:r>
              <w:rPr>
                <w:rFonts w:ascii="Arial" w:cs="Arial" w:eastAsia="Arial" w:hAnsi="Arial"/>
                <w:sz w:val="8"/>
                <w:szCs w:val="8"/>
                <w:color w:val="auto"/>
              </w:rPr>
              <w:t>226,161</w:t>
            </w:r>
          </w:p>
        </w:tc>
        <w:tc>
          <w:tcPr>
            <w:tcW w:w="1000" w:type="dxa"/>
            <w:vAlign w:val="bottom"/>
          </w:tcPr>
          <w:p>
            <w:pPr>
              <w:jc w:val="center"/>
              <w:spacing w:after="0"/>
              <w:rPr>
                <w:sz w:val="20"/>
                <w:szCs w:val="20"/>
                <w:color w:val="auto"/>
              </w:rPr>
            </w:pPr>
            <w:r>
              <w:rPr>
                <w:rFonts w:ascii="Arial" w:cs="Arial" w:eastAsia="Arial" w:hAnsi="Arial"/>
                <w:sz w:val="8"/>
                <w:szCs w:val="8"/>
                <w:color w:val="auto"/>
              </w:rPr>
              <w:t>322,346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473,382</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6"/>
              </w:rPr>
              <w:t>46.9%</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109.3%</w:t>
            </w:r>
          </w:p>
        </w:tc>
        <w:tc>
          <w:tcPr>
            <w:tcW w:w="0" w:type="dxa"/>
            <w:vAlign w:val="bottom"/>
          </w:tcPr>
          <w:p>
            <w:pPr>
              <w:spacing w:after="0"/>
              <w:rPr>
                <w:sz w:val="1"/>
                <w:szCs w:val="1"/>
                <w:color w:val="auto"/>
              </w:rPr>
            </w:pPr>
          </w:p>
        </w:tc>
      </w:tr>
      <w:tr>
        <w:trPr>
          <w:trHeight w:val="93"/>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Insurance contract liability</w:t>
            </w:r>
          </w:p>
        </w:tc>
        <w:tc>
          <w:tcPr>
            <w:tcW w:w="980" w:type="dxa"/>
            <w:vAlign w:val="bottom"/>
          </w:tcPr>
          <w:p>
            <w:pPr>
              <w:jc w:val="center"/>
              <w:spacing w:after="0"/>
              <w:rPr>
                <w:sz w:val="20"/>
                <w:szCs w:val="20"/>
                <w:color w:val="auto"/>
              </w:rPr>
            </w:pPr>
            <w:r>
              <w:rPr>
                <w:rFonts w:ascii="Arial" w:cs="Arial" w:eastAsia="Arial" w:hAnsi="Arial"/>
                <w:sz w:val="8"/>
                <w:szCs w:val="8"/>
                <w:color w:val="auto"/>
                <w:w w:val="99"/>
              </w:rPr>
              <w:t>11,567,408</w:t>
            </w:r>
          </w:p>
        </w:tc>
        <w:tc>
          <w:tcPr>
            <w:tcW w:w="1000" w:type="dxa"/>
            <w:vAlign w:val="bottom"/>
          </w:tcPr>
          <w:p>
            <w:pPr>
              <w:jc w:val="center"/>
              <w:spacing w:after="0"/>
              <w:rPr>
                <w:sz w:val="20"/>
                <w:szCs w:val="20"/>
                <w:color w:val="auto"/>
              </w:rPr>
            </w:pPr>
            <w:r>
              <w:rPr>
                <w:rFonts w:ascii="Arial" w:cs="Arial" w:eastAsia="Arial" w:hAnsi="Arial"/>
                <w:sz w:val="8"/>
                <w:szCs w:val="8"/>
                <w:color w:val="auto"/>
                <w:w w:val="99"/>
              </w:rPr>
              <w:t>12,343,975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12,814,831</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8"/>
              </w:rPr>
              <w:t>3.8%</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10.8%</w:t>
            </w:r>
          </w:p>
        </w:tc>
        <w:tc>
          <w:tcPr>
            <w:tcW w:w="0" w:type="dxa"/>
            <w:vAlign w:val="bottom"/>
          </w:tcPr>
          <w:p>
            <w:pPr>
              <w:spacing w:after="0"/>
              <w:rPr>
                <w:sz w:val="1"/>
                <w:szCs w:val="1"/>
                <w:color w:val="auto"/>
              </w:rPr>
            </w:pPr>
          </w:p>
        </w:tc>
      </w:tr>
      <w:tr>
        <w:trPr>
          <w:trHeight w:val="93"/>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Financial liabilities at fair value through profit or loss</w:t>
            </w:r>
          </w:p>
        </w:tc>
        <w:tc>
          <w:tcPr>
            <w:tcW w:w="980" w:type="dxa"/>
            <w:vAlign w:val="bottom"/>
          </w:tcPr>
          <w:p>
            <w:pPr>
              <w:jc w:val="center"/>
              <w:spacing w:after="0"/>
              <w:rPr>
                <w:sz w:val="20"/>
                <w:szCs w:val="20"/>
                <w:color w:val="auto"/>
              </w:rPr>
            </w:pPr>
            <w:r>
              <w:rPr>
                <w:rFonts w:ascii="Arial" w:cs="Arial" w:eastAsia="Arial" w:hAnsi="Arial"/>
                <w:sz w:val="8"/>
                <w:szCs w:val="8"/>
                <w:color w:val="auto"/>
              </w:rPr>
              <w:t>413,665</w:t>
            </w:r>
          </w:p>
        </w:tc>
        <w:tc>
          <w:tcPr>
            <w:tcW w:w="1000" w:type="dxa"/>
            <w:vAlign w:val="bottom"/>
          </w:tcPr>
          <w:p>
            <w:pPr>
              <w:jc w:val="center"/>
              <w:spacing w:after="0"/>
              <w:rPr>
                <w:sz w:val="20"/>
                <w:szCs w:val="20"/>
                <w:color w:val="auto"/>
              </w:rPr>
            </w:pPr>
            <w:r>
              <w:rPr>
                <w:rFonts w:ascii="Arial" w:cs="Arial" w:eastAsia="Arial" w:hAnsi="Arial"/>
                <w:sz w:val="8"/>
                <w:szCs w:val="8"/>
                <w:color w:val="auto"/>
              </w:rPr>
              <w:t>309,228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811,015</w:t>
            </w:r>
          </w:p>
        </w:tc>
        <w:tc>
          <w:tcPr>
            <w:tcW w:w="620" w:type="dxa"/>
            <w:vAlign w:val="bottom"/>
          </w:tcPr>
          <w:p>
            <w:pPr>
              <w:jc w:val="center"/>
              <w:ind w:left="179"/>
              <w:spacing w:after="0"/>
              <w:rPr>
                <w:sz w:val="20"/>
                <w:szCs w:val="20"/>
                <w:color w:val="auto"/>
              </w:rPr>
            </w:pPr>
            <w:r>
              <w:rPr>
                <w:rFonts w:ascii="Arial" w:cs="Arial" w:eastAsia="Arial" w:hAnsi="Arial"/>
                <w:sz w:val="8"/>
                <w:szCs w:val="8"/>
                <w:color w:val="auto"/>
              </w:rPr>
              <w:t>162.3%</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96.1%</w:t>
            </w:r>
          </w:p>
        </w:tc>
        <w:tc>
          <w:tcPr>
            <w:tcW w:w="0" w:type="dxa"/>
            <w:vAlign w:val="bottom"/>
          </w:tcPr>
          <w:p>
            <w:pPr>
              <w:spacing w:after="0"/>
              <w:rPr>
                <w:sz w:val="1"/>
                <w:szCs w:val="1"/>
                <w:color w:val="auto"/>
              </w:rPr>
            </w:pPr>
          </w:p>
        </w:tc>
      </w:tr>
      <w:tr>
        <w:trPr>
          <w:trHeight w:val="108"/>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Other liabilities</w:t>
            </w:r>
          </w:p>
        </w:tc>
        <w:tc>
          <w:tcPr>
            <w:tcW w:w="980" w:type="dxa"/>
            <w:vAlign w:val="bottom"/>
          </w:tcPr>
          <w:p>
            <w:pPr>
              <w:jc w:val="center"/>
              <w:spacing w:after="0"/>
              <w:rPr>
                <w:sz w:val="20"/>
                <w:szCs w:val="20"/>
                <w:color w:val="auto"/>
              </w:rPr>
            </w:pPr>
            <w:r>
              <w:rPr>
                <w:rFonts w:ascii="Arial" w:cs="Arial" w:eastAsia="Arial" w:hAnsi="Arial"/>
                <w:sz w:val="8"/>
                <w:szCs w:val="8"/>
                <w:color w:val="auto"/>
              </w:rPr>
              <w:t>8,471,819</w:t>
            </w:r>
          </w:p>
        </w:tc>
        <w:tc>
          <w:tcPr>
            <w:tcW w:w="1000" w:type="dxa"/>
            <w:vAlign w:val="bottom"/>
          </w:tcPr>
          <w:p>
            <w:pPr>
              <w:jc w:val="center"/>
              <w:spacing w:after="0"/>
              <w:rPr>
                <w:sz w:val="20"/>
                <w:szCs w:val="20"/>
                <w:color w:val="auto"/>
              </w:rPr>
            </w:pPr>
            <w:r>
              <w:rPr>
                <w:rFonts w:ascii="Arial" w:cs="Arial" w:eastAsia="Arial" w:hAnsi="Arial"/>
                <w:sz w:val="8"/>
                <w:szCs w:val="8"/>
                <w:color w:val="auto"/>
              </w:rPr>
              <w:t>8,185,785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10,707,332</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6"/>
              </w:rPr>
              <w:t>30.8%</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26.4%</w:t>
            </w: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3800" w:type="dxa"/>
            <w:vAlign w:val="bottom"/>
            <w:tcBorders>
              <w:right w:val="single" w:sz="8" w:color="auto"/>
            </w:tcBorders>
          </w:tcPr>
          <w:p>
            <w:pPr>
              <w:jc w:val="center"/>
              <w:ind w:right="419"/>
              <w:spacing w:after="0"/>
              <w:rPr>
                <w:sz w:val="20"/>
                <w:szCs w:val="20"/>
                <w:color w:val="auto"/>
              </w:rPr>
            </w:pPr>
            <w:r>
              <w:rPr>
                <w:rFonts w:ascii="Arial" w:cs="Arial" w:eastAsia="Arial" w:hAnsi="Arial"/>
                <w:sz w:val="8"/>
                <w:szCs w:val="8"/>
                <w:b w:val="1"/>
                <w:bCs w:val="1"/>
                <w:color w:val="auto"/>
                <w:w w:val="99"/>
              </w:rPr>
              <w:t>Total Liabilities</w:t>
            </w:r>
          </w:p>
        </w:tc>
        <w:tc>
          <w:tcPr>
            <w:tcW w:w="980" w:type="dxa"/>
            <w:vAlign w:val="bottom"/>
          </w:tcPr>
          <w:p>
            <w:pPr>
              <w:jc w:val="center"/>
              <w:spacing w:after="0"/>
              <w:rPr>
                <w:sz w:val="20"/>
                <w:szCs w:val="20"/>
                <w:color w:val="auto"/>
              </w:rPr>
            </w:pPr>
            <w:r>
              <w:rPr>
                <w:rFonts w:ascii="Arial" w:cs="Arial" w:eastAsia="Arial" w:hAnsi="Arial"/>
                <w:sz w:val="8"/>
                <w:szCs w:val="8"/>
                <w:b w:val="1"/>
                <w:bCs w:val="1"/>
                <w:color w:val="auto"/>
              </w:rPr>
              <w:t>202,671,637</w:t>
            </w:r>
          </w:p>
        </w:tc>
        <w:tc>
          <w:tcPr>
            <w:tcW w:w="1000" w:type="dxa"/>
            <w:vAlign w:val="bottom"/>
          </w:tcPr>
          <w:p>
            <w:pPr>
              <w:jc w:val="center"/>
              <w:spacing w:after="0"/>
              <w:rPr>
                <w:sz w:val="20"/>
                <w:szCs w:val="20"/>
                <w:color w:val="auto"/>
              </w:rPr>
            </w:pPr>
            <w:r>
              <w:rPr>
                <w:rFonts w:ascii="Arial" w:cs="Arial" w:eastAsia="Arial" w:hAnsi="Arial"/>
                <w:sz w:val="8"/>
                <w:szCs w:val="8"/>
                <w:b w:val="1"/>
                <w:bCs w:val="1"/>
                <w:color w:val="auto"/>
              </w:rPr>
              <w:t>206,735,531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215,042,087</w:t>
            </w:r>
          </w:p>
        </w:tc>
        <w:tc>
          <w:tcPr>
            <w:tcW w:w="620" w:type="dxa"/>
            <w:vAlign w:val="bottom"/>
          </w:tcPr>
          <w:p>
            <w:pPr>
              <w:jc w:val="center"/>
              <w:ind w:left="199"/>
              <w:spacing w:after="0"/>
              <w:rPr>
                <w:sz w:val="20"/>
                <w:szCs w:val="20"/>
                <w:color w:val="auto"/>
              </w:rPr>
            </w:pPr>
            <w:r>
              <w:rPr>
                <w:rFonts w:ascii="Arial" w:cs="Arial" w:eastAsia="Arial" w:hAnsi="Arial"/>
                <w:sz w:val="8"/>
                <w:szCs w:val="8"/>
                <w:b w:val="1"/>
                <w:bCs w:val="1"/>
                <w:color w:val="auto"/>
                <w:w w:val="98"/>
              </w:rPr>
              <w:t>4.0%</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b w:val="1"/>
                <w:bCs w:val="1"/>
                <w:color w:val="auto"/>
              </w:rPr>
              <w:t>6.1%</w:t>
            </w:r>
          </w:p>
        </w:tc>
        <w:tc>
          <w:tcPr>
            <w:tcW w:w="0" w:type="dxa"/>
            <w:vAlign w:val="bottom"/>
          </w:tcPr>
          <w:p>
            <w:pPr>
              <w:spacing w:after="0"/>
              <w:rPr>
                <w:sz w:val="1"/>
                <w:szCs w:val="1"/>
                <w:color w:val="auto"/>
              </w:rPr>
            </w:pPr>
          </w:p>
        </w:tc>
      </w:tr>
      <w:tr>
        <w:trPr>
          <w:trHeight w:val="258"/>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b w:val="1"/>
                <w:bCs w:val="1"/>
                <w:color w:val="auto"/>
              </w:rPr>
              <w:t>Net equity</w:t>
            </w:r>
          </w:p>
        </w:tc>
        <w:tc>
          <w:tcPr>
            <w:tcW w:w="980" w:type="dxa"/>
            <w:vAlign w:val="bottom"/>
          </w:tcPr>
          <w:p>
            <w:pPr>
              <w:jc w:val="center"/>
              <w:spacing w:after="0"/>
              <w:rPr>
                <w:sz w:val="20"/>
                <w:szCs w:val="20"/>
                <w:color w:val="auto"/>
              </w:rPr>
            </w:pPr>
            <w:r>
              <w:rPr>
                <w:rFonts w:ascii="Arial" w:cs="Arial" w:eastAsia="Arial" w:hAnsi="Arial"/>
                <w:sz w:val="8"/>
                <w:szCs w:val="8"/>
                <w:b w:val="1"/>
                <w:bCs w:val="1"/>
                <w:color w:val="auto"/>
              </w:rPr>
              <w:t>30,027,036</w:t>
            </w:r>
          </w:p>
        </w:tc>
        <w:tc>
          <w:tcPr>
            <w:tcW w:w="1000" w:type="dxa"/>
            <w:vAlign w:val="bottom"/>
          </w:tcPr>
          <w:p>
            <w:pPr>
              <w:jc w:val="center"/>
              <w:spacing w:after="0"/>
              <w:rPr>
                <w:sz w:val="20"/>
                <w:szCs w:val="20"/>
                <w:color w:val="auto"/>
              </w:rPr>
            </w:pPr>
            <w:r>
              <w:rPr>
                <w:rFonts w:ascii="Arial" w:cs="Arial" w:eastAsia="Arial" w:hAnsi="Arial"/>
                <w:sz w:val="8"/>
                <w:szCs w:val="8"/>
                <w:b w:val="1"/>
                <w:bCs w:val="1"/>
                <w:color w:val="auto"/>
                <w:w w:val="99"/>
              </w:rPr>
              <w:t>33,853,460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32,413,767</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rPr>
              <w:t>-4.3%</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7.9%</w:t>
            </w:r>
          </w:p>
        </w:tc>
        <w:tc>
          <w:tcPr>
            <w:tcW w:w="0" w:type="dxa"/>
            <w:vAlign w:val="bottom"/>
          </w:tcPr>
          <w:p>
            <w:pPr>
              <w:spacing w:after="0"/>
              <w:rPr>
                <w:sz w:val="1"/>
                <w:szCs w:val="1"/>
                <w:color w:val="auto"/>
              </w:rPr>
            </w:pPr>
          </w:p>
        </w:tc>
      </w:tr>
      <w:tr>
        <w:trPr>
          <w:trHeight w:val="93"/>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Capital stock</w:t>
            </w:r>
          </w:p>
        </w:tc>
        <w:tc>
          <w:tcPr>
            <w:tcW w:w="980" w:type="dxa"/>
            <w:vAlign w:val="bottom"/>
          </w:tcPr>
          <w:p>
            <w:pPr>
              <w:jc w:val="center"/>
              <w:spacing w:after="0"/>
              <w:rPr>
                <w:sz w:val="20"/>
                <w:szCs w:val="20"/>
                <w:color w:val="auto"/>
              </w:rPr>
            </w:pPr>
            <w:r>
              <w:rPr>
                <w:rFonts w:ascii="Arial" w:cs="Arial" w:eastAsia="Arial" w:hAnsi="Arial"/>
                <w:sz w:val="8"/>
                <w:szCs w:val="8"/>
                <w:color w:val="auto"/>
              </w:rPr>
              <w:t>1,318,993</w:t>
            </w:r>
          </w:p>
        </w:tc>
        <w:tc>
          <w:tcPr>
            <w:tcW w:w="1000" w:type="dxa"/>
            <w:vAlign w:val="bottom"/>
          </w:tcPr>
          <w:p>
            <w:pPr>
              <w:jc w:val="center"/>
              <w:spacing w:after="0"/>
              <w:rPr>
                <w:sz w:val="20"/>
                <w:szCs w:val="20"/>
                <w:color w:val="auto"/>
              </w:rPr>
            </w:pPr>
            <w:r>
              <w:rPr>
                <w:rFonts w:ascii="Arial" w:cs="Arial" w:eastAsia="Arial" w:hAnsi="Arial"/>
                <w:sz w:val="8"/>
                <w:szCs w:val="8"/>
                <w:color w:val="auto"/>
              </w:rPr>
              <w:t>1,318,993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1,318,993</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8"/>
              </w:rPr>
              <w:t>0.0%</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93"/>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Treasury stock</w:t>
            </w:r>
          </w:p>
        </w:tc>
        <w:tc>
          <w:tcPr>
            <w:tcW w:w="980" w:type="dxa"/>
            <w:vAlign w:val="bottom"/>
          </w:tcPr>
          <w:p>
            <w:pPr>
              <w:jc w:val="center"/>
              <w:spacing w:after="0"/>
              <w:rPr>
                <w:sz w:val="20"/>
                <w:szCs w:val="20"/>
                <w:color w:val="auto"/>
              </w:rPr>
            </w:pPr>
            <w:r>
              <w:rPr>
                <w:rFonts w:ascii="Arial" w:cs="Arial" w:eastAsia="Arial" w:hAnsi="Arial"/>
                <w:sz w:val="8"/>
                <w:szCs w:val="8"/>
                <w:color w:val="auto"/>
              </w:rPr>
              <w:t>(208,035)</w:t>
            </w:r>
          </w:p>
        </w:tc>
        <w:tc>
          <w:tcPr>
            <w:tcW w:w="1000" w:type="dxa"/>
            <w:vAlign w:val="bottom"/>
          </w:tcPr>
          <w:p>
            <w:pPr>
              <w:jc w:val="center"/>
              <w:spacing w:after="0"/>
              <w:rPr>
                <w:sz w:val="20"/>
                <w:szCs w:val="20"/>
                <w:color w:val="auto"/>
              </w:rPr>
            </w:pPr>
            <w:r>
              <w:rPr>
                <w:rFonts w:ascii="Arial" w:cs="Arial" w:eastAsia="Arial" w:hAnsi="Arial"/>
                <w:sz w:val="8"/>
                <w:szCs w:val="8"/>
                <w:color w:val="auto"/>
              </w:rPr>
              <w:t>(208,343)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(208,918)</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8"/>
              </w:rPr>
              <w:t>0.3%</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0.4%</w:t>
            </w:r>
          </w:p>
        </w:tc>
        <w:tc>
          <w:tcPr>
            <w:tcW w:w="0" w:type="dxa"/>
            <w:vAlign w:val="bottom"/>
          </w:tcPr>
          <w:p>
            <w:pPr>
              <w:spacing w:after="0"/>
              <w:rPr>
                <w:sz w:val="1"/>
                <w:szCs w:val="1"/>
                <w:color w:val="auto"/>
              </w:rPr>
            </w:pPr>
          </w:p>
        </w:tc>
      </w:tr>
      <w:tr>
        <w:trPr>
          <w:trHeight w:val="93"/>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Capital surplus</w:t>
            </w:r>
          </w:p>
        </w:tc>
        <w:tc>
          <w:tcPr>
            <w:tcW w:w="980" w:type="dxa"/>
            <w:vAlign w:val="bottom"/>
          </w:tcPr>
          <w:p>
            <w:pPr>
              <w:jc w:val="center"/>
              <w:spacing w:after="0"/>
              <w:rPr>
                <w:sz w:val="20"/>
                <w:szCs w:val="20"/>
                <w:color w:val="auto"/>
              </w:rPr>
            </w:pPr>
            <w:r>
              <w:rPr>
                <w:rFonts w:ascii="Arial" w:cs="Arial" w:eastAsia="Arial" w:hAnsi="Arial"/>
                <w:sz w:val="8"/>
                <w:szCs w:val="8"/>
                <w:color w:val="auto"/>
              </w:rPr>
              <w:t>231,019</w:t>
            </w:r>
          </w:p>
        </w:tc>
        <w:tc>
          <w:tcPr>
            <w:tcW w:w="1000" w:type="dxa"/>
            <w:vAlign w:val="bottom"/>
          </w:tcPr>
          <w:p>
            <w:pPr>
              <w:jc w:val="center"/>
              <w:spacing w:after="0"/>
              <w:rPr>
                <w:sz w:val="20"/>
                <w:szCs w:val="20"/>
                <w:color w:val="auto"/>
              </w:rPr>
            </w:pPr>
            <w:r>
              <w:rPr>
                <w:rFonts w:ascii="Arial" w:cs="Arial" w:eastAsia="Arial" w:hAnsi="Arial"/>
                <w:sz w:val="8"/>
                <w:szCs w:val="8"/>
                <w:color w:val="auto"/>
              </w:rPr>
              <w:t>201,965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172,303</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rPr>
              <w:t>-14.7%</w:t>
            </w:r>
          </w:p>
        </w:tc>
        <w:tc>
          <w:tcPr>
            <w:tcW w:w="1160" w:type="dxa"/>
            <w:vAlign w:val="bottom"/>
            <w:tcBorders>
              <w:right w:val="single" w:sz="8" w:color="auto"/>
            </w:tcBorders>
          </w:tcPr>
          <w:p>
            <w:pPr>
              <w:jc w:val="center"/>
              <w:ind w:left="179"/>
              <w:spacing w:after="0"/>
              <w:rPr>
                <w:sz w:val="20"/>
                <w:szCs w:val="20"/>
                <w:color w:val="auto"/>
              </w:rPr>
            </w:pPr>
            <w:r>
              <w:rPr>
                <w:rFonts w:ascii="Arial" w:cs="Arial" w:eastAsia="Arial" w:hAnsi="Arial"/>
                <w:sz w:val="8"/>
                <w:szCs w:val="8"/>
                <w:color w:val="auto"/>
              </w:rPr>
              <w:t>-25.4%</w:t>
            </w:r>
          </w:p>
        </w:tc>
        <w:tc>
          <w:tcPr>
            <w:tcW w:w="0" w:type="dxa"/>
            <w:vAlign w:val="bottom"/>
          </w:tcPr>
          <w:p>
            <w:pPr>
              <w:spacing w:after="0"/>
              <w:rPr>
                <w:sz w:val="1"/>
                <w:szCs w:val="1"/>
                <w:color w:val="auto"/>
              </w:rPr>
            </w:pPr>
          </w:p>
        </w:tc>
      </w:tr>
      <w:tr>
        <w:trPr>
          <w:trHeight w:val="93"/>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Reserves</w:t>
            </w:r>
          </w:p>
        </w:tc>
        <w:tc>
          <w:tcPr>
            <w:tcW w:w="980" w:type="dxa"/>
            <w:vAlign w:val="bottom"/>
          </w:tcPr>
          <w:p>
            <w:pPr>
              <w:jc w:val="center"/>
              <w:spacing w:after="0"/>
              <w:rPr>
                <w:sz w:val="20"/>
                <w:szCs w:val="20"/>
                <w:color w:val="auto"/>
              </w:rPr>
            </w:pPr>
            <w:r>
              <w:rPr>
                <w:rFonts w:ascii="Arial" w:cs="Arial" w:eastAsia="Arial" w:hAnsi="Arial"/>
                <w:sz w:val="8"/>
                <w:szCs w:val="8"/>
                <w:color w:val="auto"/>
              </w:rPr>
              <w:t>26,221,577</w:t>
            </w:r>
          </w:p>
        </w:tc>
        <w:tc>
          <w:tcPr>
            <w:tcW w:w="1000" w:type="dxa"/>
            <w:vAlign w:val="bottom"/>
          </w:tcPr>
          <w:p>
            <w:pPr>
              <w:jc w:val="center"/>
              <w:spacing w:after="0"/>
              <w:rPr>
                <w:sz w:val="20"/>
                <w:szCs w:val="20"/>
                <w:color w:val="auto"/>
              </w:rPr>
            </w:pPr>
            <w:r>
              <w:rPr>
                <w:rFonts w:ascii="Arial" w:cs="Arial" w:eastAsia="Arial" w:hAnsi="Arial"/>
                <w:sz w:val="8"/>
                <w:szCs w:val="8"/>
                <w:color w:val="auto"/>
                <w:w w:val="99"/>
              </w:rPr>
              <w:t>26,213,432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28,008,038</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8"/>
              </w:rPr>
              <w:t>6.8%</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6.8%</w:t>
            </w:r>
          </w:p>
        </w:tc>
        <w:tc>
          <w:tcPr>
            <w:tcW w:w="0" w:type="dxa"/>
            <w:vAlign w:val="bottom"/>
          </w:tcPr>
          <w:p>
            <w:pPr>
              <w:spacing w:after="0"/>
              <w:rPr>
                <w:sz w:val="1"/>
                <w:szCs w:val="1"/>
                <w:color w:val="auto"/>
              </w:rPr>
            </w:pPr>
          </w:p>
        </w:tc>
      </w:tr>
      <w:tr>
        <w:trPr>
          <w:trHeight w:val="93"/>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Other</w:t>
            </w:r>
          </w:p>
        </w:tc>
        <w:tc>
          <w:tcPr>
            <w:tcW w:w="980" w:type="dxa"/>
            <w:vAlign w:val="bottom"/>
            <w:vMerge w:val="restart"/>
          </w:tcPr>
          <w:p>
            <w:pPr>
              <w:jc w:val="center"/>
              <w:spacing w:after="0"/>
              <w:rPr>
                <w:sz w:val="20"/>
                <w:szCs w:val="20"/>
                <w:color w:val="auto"/>
              </w:rPr>
            </w:pPr>
            <w:r>
              <w:rPr>
                <w:rFonts w:ascii="Arial" w:cs="Arial" w:eastAsia="Arial" w:hAnsi="Arial"/>
                <w:sz w:val="8"/>
                <w:szCs w:val="8"/>
                <w:color w:val="auto"/>
              </w:rPr>
              <w:t>(13,015)</w:t>
            </w:r>
          </w:p>
        </w:tc>
        <w:tc>
          <w:tcPr>
            <w:tcW w:w="1000" w:type="dxa"/>
            <w:vAlign w:val="bottom"/>
            <w:vMerge w:val="restart"/>
          </w:tcPr>
          <w:p>
            <w:pPr>
              <w:jc w:val="center"/>
              <w:spacing w:after="0"/>
              <w:rPr>
                <w:sz w:val="20"/>
                <w:szCs w:val="20"/>
                <w:color w:val="auto"/>
              </w:rPr>
            </w:pPr>
            <w:r>
              <w:rPr>
                <w:rFonts w:ascii="Arial" w:cs="Arial" w:eastAsia="Arial" w:hAnsi="Arial"/>
                <w:sz w:val="8"/>
                <w:szCs w:val="8"/>
                <w:color w:val="auto"/>
              </w:rPr>
              <w:t>243,405</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8"/>
                <w:szCs w:val="8"/>
                <w:color w:val="auto"/>
              </w:rPr>
              <w:t>267,987</w:t>
            </w:r>
          </w:p>
        </w:tc>
        <w:tc>
          <w:tcPr>
            <w:tcW w:w="620" w:type="dxa"/>
            <w:vAlign w:val="bottom"/>
            <w:vMerge w:val="restart"/>
          </w:tcPr>
          <w:p>
            <w:pPr>
              <w:jc w:val="center"/>
              <w:ind w:left="199"/>
              <w:spacing w:after="0"/>
              <w:rPr>
                <w:sz w:val="20"/>
                <w:szCs w:val="20"/>
                <w:color w:val="auto"/>
              </w:rPr>
            </w:pPr>
            <w:r>
              <w:rPr>
                <w:rFonts w:ascii="Arial" w:cs="Arial" w:eastAsia="Arial" w:hAnsi="Arial"/>
                <w:sz w:val="8"/>
                <w:szCs w:val="8"/>
                <w:color w:val="auto"/>
                <w:w w:val="96"/>
              </w:rPr>
              <w:t>10.1%</w:t>
            </w:r>
          </w:p>
        </w:tc>
        <w:tc>
          <w:tcPr>
            <w:tcW w:w="1160" w:type="dxa"/>
            <w:vAlign w:val="bottom"/>
            <w:tcBorders>
              <w:right w:val="single" w:sz="8" w:color="auto"/>
            </w:tcBorders>
            <w:vMerge w:val="restart"/>
          </w:tcPr>
          <w:p>
            <w:pPr>
              <w:jc w:val="center"/>
              <w:ind w:left="199"/>
              <w:spacing w:after="0"/>
              <w:rPr>
                <w:sz w:val="20"/>
                <w:szCs w:val="20"/>
                <w:color w:val="auto"/>
              </w:rPr>
            </w:pPr>
            <w:r>
              <w:rPr>
                <w:rFonts w:ascii="Arial" w:cs="Arial" w:eastAsia="Arial" w:hAnsi="Arial"/>
                <w:sz w:val="8"/>
                <w:szCs w:val="8"/>
                <w:color w:val="auto"/>
              </w:rPr>
              <w:t>-2159.1%</w:t>
            </w:r>
          </w:p>
        </w:tc>
        <w:tc>
          <w:tcPr>
            <w:tcW w:w="0" w:type="dxa"/>
            <w:vAlign w:val="bottom"/>
          </w:tcPr>
          <w:p>
            <w:pPr>
              <w:spacing w:after="0"/>
              <w:rPr>
                <w:sz w:val="1"/>
                <w:szCs w:val="1"/>
                <w:color w:val="auto"/>
              </w:rPr>
            </w:pPr>
          </w:p>
        </w:tc>
      </w:tr>
      <w:tr>
        <w:trPr>
          <w:trHeight w:val="57"/>
        </w:trPr>
        <w:tc>
          <w:tcPr>
            <w:tcW w:w="4240" w:type="dxa"/>
            <w:vAlign w:val="bottom"/>
            <w:tcBorders>
              <w:left w:val="single" w:sz="8" w:color="auto"/>
              <w:right w:val="single" w:sz="8" w:color="auto"/>
            </w:tcBorders>
            <w:gridSpan w:val="2"/>
            <w:vMerge w:val="restart"/>
          </w:tcPr>
          <w:p>
            <w:pPr>
              <w:ind w:left="40"/>
              <w:spacing w:after="0"/>
              <w:rPr>
                <w:sz w:val="20"/>
                <w:szCs w:val="20"/>
                <w:color w:val="auto"/>
              </w:rPr>
            </w:pPr>
            <w:r>
              <w:rPr>
                <w:rFonts w:ascii="Arial" w:cs="Arial" w:eastAsia="Arial" w:hAnsi="Arial"/>
                <w:sz w:val="8"/>
                <w:szCs w:val="8"/>
                <w:color w:val="auto"/>
              </w:rPr>
              <w:t>reserves</w:t>
            </w:r>
          </w:p>
        </w:tc>
        <w:tc>
          <w:tcPr>
            <w:tcW w:w="98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020" w:type="dxa"/>
            <w:vAlign w:val="bottom"/>
            <w:tcBorders>
              <w:right w:val="single" w:sz="8" w:color="auto"/>
            </w:tcBorders>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1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4240" w:type="dxa"/>
            <w:vAlign w:val="bottom"/>
            <w:tcBorders>
              <w:left w:val="single" w:sz="8" w:color="auto"/>
              <w:right w:val="single" w:sz="8" w:color="auto"/>
            </w:tcBorders>
            <w:gridSpan w:val="2"/>
            <w:vMerge w:val="continue"/>
          </w:tcPr>
          <w:p>
            <w:pPr>
              <w:spacing w:after="0"/>
              <w:rPr>
                <w:sz w:val="3"/>
                <w:szCs w:val="3"/>
                <w:color w:val="auto"/>
              </w:rPr>
            </w:pPr>
          </w:p>
        </w:tc>
        <w:tc>
          <w:tcPr>
            <w:tcW w:w="9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11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8"/>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Retained earnings</w:t>
            </w:r>
          </w:p>
        </w:tc>
        <w:tc>
          <w:tcPr>
            <w:tcW w:w="980" w:type="dxa"/>
            <w:vAlign w:val="bottom"/>
          </w:tcPr>
          <w:p>
            <w:pPr>
              <w:jc w:val="center"/>
              <w:spacing w:after="0"/>
              <w:rPr>
                <w:sz w:val="20"/>
                <w:szCs w:val="20"/>
                <w:color w:val="auto"/>
              </w:rPr>
            </w:pPr>
            <w:r>
              <w:rPr>
                <w:rFonts w:ascii="Arial" w:cs="Arial" w:eastAsia="Arial" w:hAnsi="Arial"/>
                <w:sz w:val="8"/>
                <w:szCs w:val="8"/>
                <w:color w:val="auto"/>
              </w:rPr>
              <w:t>2,476,497</w:t>
            </w:r>
          </w:p>
        </w:tc>
        <w:tc>
          <w:tcPr>
            <w:tcW w:w="1000" w:type="dxa"/>
            <w:vAlign w:val="bottom"/>
          </w:tcPr>
          <w:p>
            <w:pPr>
              <w:jc w:val="center"/>
              <w:spacing w:after="0"/>
              <w:rPr>
                <w:sz w:val="20"/>
                <w:szCs w:val="20"/>
                <w:color w:val="auto"/>
              </w:rPr>
            </w:pPr>
            <w:r>
              <w:rPr>
                <w:rFonts w:ascii="Arial" w:cs="Arial" w:eastAsia="Arial" w:hAnsi="Arial"/>
                <w:sz w:val="8"/>
                <w:szCs w:val="8"/>
                <w:color w:val="auto"/>
              </w:rPr>
              <w:t>6,084,008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2,855,364</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rPr>
              <w:t>-53.1%</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15.3%</w:t>
            </w:r>
          </w:p>
        </w:tc>
        <w:tc>
          <w:tcPr>
            <w:tcW w:w="0" w:type="dxa"/>
            <w:vAlign w:val="bottom"/>
          </w:tcPr>
          <w:p>
            <w:pPr>
              <w:spacing w:after="0"/>
              <w:rPr>
                <w:sz w:val="1"/>
                <w:szCs w:val="1"/>
                <w:color w:val="auto"/>
              </w:rPr>
            </w:pPr>
          </w:p>
        </w:tc>
      </w:tr>
      <w:tr>
        <w:trPr>
          <w:trHeight w:val="185"/>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Non-controlling interest</w:t>
            </w:r>
          </w:p>
        </w:tc>
        <w:tc>
          <w:tcPr>
            <w:tcW w:w="980" w:type="dxa"/>
            <w:vAlign w:val="bottom"/>
          </w:tcPr>
          <w:p>
            <w:pPr>
              <w:jc w:val="center"/>
              <w:spacing w:after="0"/>
              <w:rPr>
                <w:sz w:val="20"/>
                <w:szCs w:val="20"/>
                <w:color w:val="auto"/>
              </w:rPr>
            </w:pPr>
            <w:r>
              <w:rPr>
                <w:rFonts w:ascii="Arial" w:cs="Arial" w:eastAsia="Arial" w:hAnsi="Arial"/>
                <w:sz w:val="8"/>
                <w:szCs w:val="8"/>
                <w:color w:val="auto"/>
              </w:rPr>
              <w:t>611,617</w:t>
            </w:r>
          </w:p>
        </w:tc>
        <w:tc>
          <w:tcPr>
            <w:tcW w:w="1000" w:type="dxa"/>
            <w:vAlign w:val="bottom"/>
          </w:tcPr>
          <w:p>
            <w:pPr>
              <w:jc w:val="center"/>
              <w:spacing w:after="0"/>
              <w:rPr>
                <w:sz w:val="20"/>
                <w:szCs w:val="20"/>
                <w:color w:val="auto"/>
              </w:rPr>
            </w:pPr>
            <w:r>
              <w:rPr>
                <w:rFonts w:ascii="Arial" w:cs="Arial" w:eastAsia="Arial" w:hAnsi="Arial"/>
                <w:sz w:val="8"/>
                <w:szCs w:val="8"/>
                <w:color w:val="auto"/>
              </w:rPr>
              <w:t>582,750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611,305</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8"/>
              </w:rPr>
              <w:t>4.9%</w:t>
            </w:r>
          </w:p>
        </w:tc>
        <w:tc>
          <w:tcPr>
            <w:tcW w:w="1160" w:type="dxa"/>
            <w:vAlign w:val="bottom"/>
            <w:tcBorders>
              <w:right w:val="single" w:sz="8" w:color="auto"/>
            </w:tcBorders>
          </w:tcPr>
          <w:p>
            <w:pPr>
              <w:jc w:val="center"/>
              <w:ind w:left="179"/>
              <w:spacing w:after="0"/>
              <w:rPr>
                <w:sz w:val="20"/>
                <w:szCs w:val="20"/>
                <w:color w:val="auto"/>
              </w:rPr>
            </w:pPr>
            <w:r>
              <w:rPr>
                <w:rFonts w:ascii="Arial" w:cs="Arial" w:eastAsia="Arial" w:hAnsi="Arial"/>
                <w:sz w:val="8"/>
                <w:szCs w:val="8"/>
                <w:color w:val="auto"/>
              </w:rPr>
              <w:t>-0.1%</w:t>
            </w:r>
          </w:p>
        </w:tc>
        <w:tc>
          <w:tcPr>
            <w:tcW w:w="0" w:type="dxa"/>
            <w:vAlign w:val="bottom"/>
          </w:tcPr>
          <w:p>
            <w:pPr>
              <w:spacing w:after="0"/>
              <w:rPr>
                <w:sz w:val="1"/>
                <w:szCs w:val="1"/>
                <w:color w:val="auto"/>
              </w:rPr>
            </w:pPr>
          </w:p>
        </w:tc>
      </w:tr>
      <w:tr>
        <w:trPr>
          <w:trHeight w:val="189"/>
        </w:trPr>
        <w:tc>
          <w:tcPr>
            <w:tcW w:w="440" w:type="dxa"/>
            <w:vAlign w:val="bottom"/>
            <w:tcBorders>
              <w:left w:val="single" w:sz="8" w:color="auto"/>
            </w:tcBorders>
          </w:tcPr>
          <w:p>
            <w:pPr>
              <w:spacing w:after="0"/>
              <w:rPr>
                <w:sz w:val="16"/>
                <w:szCs w:val="16"/>
                <w:color w:val="auto"/>
              </w:rPr>
            </w:pPr>
          </w:p>
        </w:tc>
        <w:tc>
          <w:tcPr>
            <w:tcW w:w="3800" w:type="dxa"/>
            <w:vAlign w:val="bottom"/>
            <w:tcBorders>
              <w:right w:val="single" w:sz="8" w:color="auto"/>
            </w:tcBorders>
          </w:tcPr>
          <w:p>
            <w:pPr>
              <w:jc w:val="center"/>
              <w:ind w:right="419"/>
              <w:spacing w:after="0"/>
              <w:rPr>
                <w:sz w:val="20"/>
                <w:szCs w:val="20"/>
                <w:color w:val="auto"/>
              </w:rPr>
            </w:pPr>
            <w:r>
              <w:rPr>
                <w:rFonts w:ascii="Arial" w:cs="Arial" w:eastAsia="Arial" w:hAnsi="Arial"/>
                <w:sz w:val="8"/>
                <w:szCs w:val="8"/>
                <w:b w:val="1"/>
                <w:bCs w:val="1"/>
                <w:color w:val="auto"/>
              </w:rPr>
              <w:t>Total Net Equity</w:t>
            </w:r>
          </w:p>
        </w:tc>
        <w:tc>
          <w:tcPr>
            <w:tcW w:w="980" w:type="dxa"/>
            <w:vAlign w:val="bottom"/>
          </w:tcPr>
          <w:p>
            <w:pPr>
              <w:jc w:val="center"/>
              <w:spacing w:after="0"/>
              <w:rPr>
                <w:sz w:val="20"/>
                <w:szCs w:val="20"/>
                <w:color w:val="auto"/>
              </w:rPr>
            </w:pPr>
            <w:r>
              <w:rPr>
                <w:rFonts w:ascii="Arial" w:cs="Arial" w:eastAsia="Arial" w:hAnsi="Arial"/>
                <w:sz w:val="8"/>
                <w:szCs w:val="8"/>
                <w:b w:val="1"/>
                <w:bCs w:val="1"/>
                <w:color w:val="auto"/>
              </w:rPr>
              <w:t>30,638,653</w:t>
            </w:r>
          </w:p>
        </w:tc>
        <w:tc>
          <w:tcPr>
            <w:tcW w:w="1000" w:type="dxa"/>
            <w:vAlign w:val="bottom"/>
          </w:tcPr>
          <w:p>
            <w:pPr>
              <w:jc w:val="center"/>
              <w:spacing w:after="0"/>
              <w:rPr>
                <w:sz w:val="20"/>
                <w:szCs w:val="20"/>
                <w:color w:val="auto"/>
              </w:rPr>
            </w:pPr>
            <w:r>
              <w:rPr>
                <w:rFonts w:ascii="Arial" w:cs="Arial" w:eastAsia="Arial" w:hAnsi="Arial"/>
                <w:sz w:val="8"/>
                <w:szCs w:val="8"/>
                <w:b w:val="1"/>
                <w:bCs w:val="1"/>
                <w:color w:val="auto"/>
                <w:w w:val="99"/>
              </w:rPr>
              <w:t>34,436,210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33,025,072</w:t>
            </w:r>
          </w:p>
        </w:tc>
        <w:tc>
          <w:tcPr>
            <w:tcW w:w="620" w:type="dxa"/>
            <w:vAlign w:val="bottom"/>
          </w:tcPr>
          <w:p>
            <w:pPr>
              <w:jc w:val="center"/>
              <w:ind w:left="199"/>
              <w:spacing w:after="0"/>
              <w:rPr>
                <w:sz w:val="20"/>
                <w:szCs w:val="20"/>
                <w:color w:val="auto"/>
              </w:rPr>
            </w:pPr>
            <w:r>
              <w:rPr>
                <w:rFonts w:ascii="Arial" w:cs="Arial" w:eastAsia="Arial" w:hAnsi="Arial"/>
                <w:sz w:val="8"/>
                <w:szCs w:val="8"/>
                <w:b w:val="1"/>
                <w:bCs w:val="1"/>
                <w:color w:val="auto"/>
              </w:rPr>
              <w:t>-4.1%</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b w:val="1"/>
                <w:bCs w:val="1"/>
                <w:color w:val="auto"/>
              </w:rPr>
              <w:t>7.8%</w:t>
            </w:r>
          </w:p>
        </w:tc>
        <w:tc>
          <w:tcPr>
            <w:tcW w:w="0" w:type="dxa"/>
            <w:vAlign w:val="bottom"/>
          </w:tcPr>
          <w:p>
            <w:pPr>
              <w:spacing w:after="0"/>
              <w:rPr>
                <w:sz w:val="1"/>
                <w:szCs w:val="1"/>
                <w:color w:val="auto"/>
              </w:rPr>
            </w:pPr>
          </w:p>
        </w:tc>
      </w:tr>
      <w:tr>
        <w:trPr>
          <w:trHeight w:val="185"/>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b w:val="1"/>
                <w:bCs w:val="1"/>
                <w:color w:val="auto"/>
              </w:rPr>
              <w:t>Total liabilities and equity</w:t>
            </w:r>
          </w:p>
        </w:tc>
        <w:tc>
          <w:tcPr>
            <w:tcW w:w="980" w:type="dxa"/>
            <w:vAlign w:val="bottom"/>
          </w:tcPr>
          <w:p>
            <w:pPr>
              <w:jc w:val="center"/>
              <w:spacing w:after="0"/>
              <w:rPr>
                <w:sz w:val="20"/>
                <w:szCs w:val="20"/>
                <w:color w:val="auto"/>
              </w:rPr>
            </w:pPr>
            <w:r>
              <w:rPr>
                <w:rFonts w:ascii="Arial" w:cs="Arial" w:eastAsia="Arial" w:hAnsi="Arial"/>
                <w:sz w:val="8"/>
                <w:szCs w:val="8"/>
                <w:b w:val="1"/>
                <w:bCs w:val="1"/>
                <w:color w:val="auto"/>
              </w:rPr>
              <w:t>233,310,290</w:t>
            </w:r>
          </w:p>
        </w:tc>
        <w:tc>
          <w:tcPr>
            <w:tcW w:w="1000" w:type="dxa"/>
            <w:vAlign w:val="bottom"/>
          </w:tcPr>
          <w:p>
            <w:pPr>
              <w:jc w:val="center"/>
              <w:spacing w:after="0"/>
              <w:rPr>
                <w:sz w:val="20"/>
                <w:szCs w:val="20"/>
                <w:color w:val="auto"/>
              </w:rPr>
            </w:pPr>
            <w:r>
              <w:rPr>
                <w:rFonts w:ascii="Arial" w:cs="Arial" w:eastAsia="Arial" w:hAnsi="Arial"/>
                <w:sz w:val="8"/>
                <w:szCs w:val="8"/>
                <w:b w:val="1"/>
                <w:bCs w:val="1"/>
                <w:color w:val="auto"/>
              </w:rPr>
              <w:t>241,171,741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248,067,159</w:t>
            </w:r>
          </w:p>
        </w:tc>
        <w:tc>
          <w:tcPr>
            <w:tcW w:w="620" w:type="dxa"/>
            <w:vAlign w:val="bottom"/>
          </w:tcPr>
          <w:p>
            <w:pPr>
              <w:jc w:val="center"/>
              <w:ind w:left="199"/>
              <w:spacing w:after="0"/>
              <w:rPr>
                <w:sz w:val="20"/>
                <w:szCs w:val="20"/>
                <w:color w:val="auto"/>
              </w:rPr>
            </w:pPr>
            <w:r>
              <w:rPr>
                <w:rFonts w:ascii="Arial" w:cs="Arial" w:eastAsia="Arial" w:hAnsi="Arial"/>
                <w:sz w:val="8"/>
                <w:szCs w:val="8"/>
                <w:b w:val="1"/>
                <w:bCs w:val="1"/>
                <w:color w:val="auto"/>
                <w:w w:val="98"/>
              </w:rPr>
              <w:t>2.9%</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b w:val="1"/>
                <w:bCs w:val="1"/>
                <w:color w:val="auto"/>
              </w:rPr>
              <w:t>6.3%</w:t>
            </w:r>
          </w:p>
        </w:tc>
        <w:tc>
          <w:tcPr>
            <w:tcW w:w="0" w:type="dxa"/>
            <w:vAlign w:val="bottom"/>
          </w:tcPr>
          <w:p>
            <w:pPr>
              <w:spacing w:after="0"/>
              <w:rPr>
                <w:sz w:val="1"/>
                <w:szCs w:val="1"/>
                <w:color w:val="auto"/>
              </w:rPr>
            </w:pPr>
          </w:p>
        </w:tc>
      </w:tr>
      <w:tr>
        <w:trPr>
          <w:trHeight w:val="165"/>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b w:val="1"/>
                <w:bCs w:val="1"/>
                <w:color w:val="auto"/>
              </w:rPr>
              <w:t>Off-balance sheet</w:t>
            </w:r>
          </w:p>
        </w:tc>
        <w:tc>
          <w:tcPr>
            <w:tcW w:w="980" w:type="dxa"/>
            <w:vAlign w:val="bottom"/>
          </w:tcPr>
          <w:p>
            <w:pPr>
              <w:jc w:val="center"/>
              <w:spacing w:after="0"/>
              <w:rPr>
                <w:sz w:val="20"/>
                <w:szCs w:val="20"/>
                <w:color w:val="auto"/>
              </w:rPr>
            </w:pPr>
            <w:r>
              <w:rPr>
                <w:rFonts w:ascii="Arial" w:cs="Arial" w:eastAsia="Arial" w:hAnsi="Arial"/>
                <w:sz w:val="8"/>
                <w:szCs w:val="8"/>
                <w:b w:val="1"/>
                <w:bCs w:val="1"/>
                <w:color w:val="auto"/>
              </w:rPr>
              <w:t>144,709,112</w:t>
            </w:r>
          </w:p>
        </w:tc>
        <w:tc>
          <w:tcPr>
            <w:tcW w:w="1000" w:type="dxa"/>
            <w:vAlign w:val="bottom"/>
          </w:tcPr>
          <w:p>
            <w:pPr>
              <w:jc w:val="center"/>
              <w:spacing w:after="0"/>
              <w:rPr>
                <w:sz w:val="20"/>
                <w:szCs w:val="20"/>
                <w:color w:val="auto"/>
              </w:rPr>
            </w:pPr>
            <w:r>
              <w:rPr>
                <w:rFonts w:ascii="Arial" w:cs="Arial" w:eastAsia="Arial" w:hAnsi="Arial"/>
                <w:sz w:val="8"/>
                <w:szCs w:val="8"/>
                <w:b w:val="1"/>
                <w:bCs w:val="1"/>
                <w:color w:val="auto"/>
              </w:rPr>
              <w:t>162,365,717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164,970,468</w:t>
            </w:r>
          </w:p>
        </w:tc>
        <w:tc>
          <w:tcPr>
            <w:tcW w:w="620" w:type="dxa"/>
            <w:vAlign w:val="bottom"/>
          </w:tcPr>
          <w:p>
            <w:pPr>
              <w:jc w:val="center"/>
              <w:ind w:left="199"/>
              <w:spacing w:after="0"/>
              <w:rPr>
                <w:sz w:val="20"/>
                <w:szCs w:val="20"/>
                <w:color w:val="auto"/>
              </w:rPr>
            </w:pPr>
            <w:r>
              <w:rPr>
                <w:rFonts w:ascii="Arial" w:cs="Arial" w:eastAsia="Arial" w:hAnsi="Arial"/>
                <w:sz w:val="8"/>
                <w:szCs w:val="8"/>
                <w:b w:val="1"/>
                <w:bCs w:val="1"/>
                <w:color w:val="auto"/>
                <w:w w:val="98"/>
              </w:rPr>
              <w:t>1.6%</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b w:val="1"/>
                <w:bCs w:val="1"/>
                <w:color w:val="auto"/>
              </w:rPr>
              <w:t>14.0%</w:t>
            </w:r>
          </w:p>
        </w:tc>
        <w:tc>
          <w:tcPr>
            <w:tcW w:w="0" w:type="dxa"/>
            <w:vAlign w:val="bottom"/>
          </w:tcPr>
          <w:p>
            <w:pPr>
              <w:spacing w:after="0"/>
              <w:rPr>
                <w:sz w:val="1"/>
                <w:szCs w:val="1"/>
                <w:color w:val="auto"/>
              </w:rPr>
            </w:pPr>
          </w:p>
        </w:tc>
      </w:tr>
      <w:tr>
        <w:trPr>
          <w:trHeight w:val="93"/>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Total performance bonds, stand-by and L/Cs.</w:t>
            </w:r>
          </w:p>
        </w:tc>
        <w:tc>
          <w:tcPr>
            <w:tcW w:w="980" w:type="dxa"/>
            <w:vAlign w:val="bottom"/>
          </w:tcPr>
          <w:p>
            <w:pPr>
              <w:jc w:val="center"/>
              <w:spacing w:after="0"/>
              <w:rPr>
                <w:sz w:val="20"/>
                <w:szCs w:val="20"/>
                <w:color w:val="auto"/>
              </w:rPr>
            </w:pPr>
            <w:r>
              <w:rPr>
                <w:rFonts w:ascii="Arial" w:cs="Arial" w:eastAsia="Arial" w:hAnsi="Arial"/>
                <w:sz w:val="8"/>
                <w:szCs w:val="8"/>
                <w:color w:val="auto"/>
              </w:rPr>
              <w:t>18,654,864</w:t>
            </w:r>
          </w:p>
        </w:tc>
        <w:tc>
          <w:tcPr>
            <w:tcW w:w="1000" w:type="dxa"/>
            <w:vAlign w:val="bottom"/>
          </w:tcPr>
          <w:p>
            <w:pPr>
              <w:jc w:val="center"/>
              <w:spacing w:after="0"/>
              <w:rPr>
                <w:sz w:val="20"/>
                <w:szCs w:val="20"/>
                <w:color w:val="auto"/>
              </w:rPr>
            </w:pPr>
            <w:r>
              <w:rPr>
                <w:rFonts w:ascii="Arial" w:cs="Arial" w:eastAsia="Arial" w:hAnsi="Arial"/>
                <w:sz w:val="8"/>
                <w:szCs w:val="8"/>
                <w:color w:val="auto"/>
                <w:w w:val="99"/>
              </w:rPr>
              <w:t>20,466,103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20,671,941</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8"/>
              </w:rPr>
              <w:t>1.0%</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10.8%</w:t>
            </w:r>
          </w:p>
        </w:tc>
        <w:tc>
          <w:tcPr>
            <w:tcW w:w="0" w:type="dxa"/>
            <w:vAlign w:val="bottom"/>
          </w:tcPr>
          <w:p>
            <w:pPr>
              <w:spacing w:after="0"/>
              <w:rPr>
                <w:sz w:val="1"/>
                <w:szCs w:val="1"/>
                <w:color w:val="auto"/>
              </w:rPr>
            </w:pPr>
          </w:p>
        </w:tc>
      </w:tr>
      <w:tr>
        <w:trPr>
          <w:trHeight w:val="93"/>
        </w:trPr>
        <w:tc>
          <w:tcPr>
            <w:tcW w:w="42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Undrawn credit lines, advised but not committed</w:t>
            </w:r>
          </w:p>
        </w:tc>
        <w:tc>
          <w:tcPr>
            <w:tcW w:w="980" w:type="dxa"/>
            <w:vAlign w:val="bottom"/>
          </w:tcPr>
          <w:p>
            <w:pPr>
              <w:jc w:val="center"/>
              <w:spacing w:after="0"/>
              <w:rPr>
                <w:sz w:val="20"/>
                <w:szCs w:val="20"/>
                <w:color w:val="auto"/>
              </w:rPr>
            </w:pPr>
            <w:r>
              <w:rPr>
                <w:rFonts w:ascii="Arial" w:cs="Arial" w:eastAsia="Arial" w:hAnsi="Arial"/>
                <w:sz w:val="8"/>
                <w:szCs w:val="8"/>
                <w:color w:val="auto"/>
              </w:rPr>
              <w:t>85,762,478</w:t>
            </w:r>
          </w:p>
        </w:tc>
        <w:tc>
          <w:tcPr>
            <w:tcW w:w="1000" w:type="dxa"/>
            <w:vAlign w:val="bottom"/>
          </w:tcPr>
          <w:p>
            <w:pPr>
              <w:jc w:val="center"/>
              <w:spacing w:after="0"/>
              <w:rPr>
                <w:sz w:val="20"/>
                <w:szCs w:val="20"/>
                <w:color w:val="auto"/>
              </w:rPr>
            </w:pPr>
            <w:r>
              <w:rPr>
                <w:rFonts w:ascii="Arial" w:cs="Arial" w:eastAsia="Arial" w:hAnsi="Arial"/>
                <w:sz w:val="8"/>
                <w:szCs w:val="8"/>
                <w:color w:val="auto"/>
                <w:w w:val="99"/>
              </w:rPr>
              <w:t>88,546,531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90,965,846</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8"/>
              </w:rPr>
              <w:t>2.7%</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6.1%</w:t>
            </w:r>
          </w:p>
        </w:tc>
        <w:tc>
          <w:tcPr>
            <w:tcW w:w="0" w:type="dxa"/>
            <w:vAlign w:val="bottom"/>
          </w:tcPr>
          <w:p>
            <w:pPr>
              <w:spacing w:after="0"/>
              <w:rPr>
                <w:sz w:val="1"/>
                <w:szCs w:val="1"/>
                <w:color w:val="auto"/>
              </w:rPr>
            </w:pPr>
          </w:p>
        </w:tc>
      </w:tr>
      <w:tr>
        <w:trPr>
          <w:trHeight w:val="103"/>
        </w:trPr>
        <w:tc>
          <w:tcPr>
            <w:tcW w:w="42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8"/>
                <w:szCs w:val="8"/>
                <w:color w:val="auto"/>
              </w:rPr>
              <w:t>Total derivatives (notional) and others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40,291,770</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w w:val="99"/>
              </w:rPr>
              <w:t>53,353,083</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53,332,681</w:t>
            </w:r>
          </w:p>
        </w:tc>
        <w:tc>
          <w:tcPr>
            <w:tcW w:w="620" w:type="dxa"/>
            <w:vAlign w:val="bottom"/>
            <w:tcBorders>
              <w:bottom w:val="single" w:sz="8" w:color="auto"/>
            </w:tcBorders>
          </w:tcPr>
          <w:p>
            <w:pPr>
              <w:jc w:val="center"/>
              <w:ind w:left="199"/>
              <w:spacing w:after="0"/>
              <w:rPr>
                <w:sz w:val="20"/>
                <w:szCs w:val="20"/>
                <w:color w:val="auto"/>
              </w:rPr>
            </w:pPr>
            <w:r>
              <w:rPr>
                <w:rFonts w:ascii="Arial" w:cs="Arial" w:eastAsia="Arial" w:hAnsi="Arial"/>
                <w:sz w:val="8"/>
                <w:szCs w:val="8"/>
                <w:color w:val="auto"/>
                <w:w w:val="98"/>
              </w:rPr>
              <w:t>0.0%</w:t>
            </w:r>
          </w:p>
        </w:tc>
        <w:tc>
          <w:tcPr>
            <w:tcW w:w="1160" w:type="dxa"/>
            <w:vAlign w:val="bottom"/>
            <w:tcBorders>
              <w:bottom w:val="single" w:sz="8" w:color="auto"/>
              <w:right w:val="single" w:sz="8" w:color="auto"/>
            </w:tcBorders>
          </w:tcPr>
          <w:p>
            <w:pPr>
              <w:jc w:val="center"/>
              <w:ind w:left="199"/>
              <w:spacing w:after="0"/>
              <w:rPr>
                <w:sz w:val="20"/>
                <w:szCs w:val="20"/>
                <w:color w:val="auto"/>
              </w:rPr>
            </w:pPr>
            <w:r>
              <w:rPr>
                <w:rFonts w:ascii="Arial" w:cs="Arial" w:eastAsia="Arial" w:hAnsi="Arial"/>
                <w:sz w:val="8"/>
                <w:szCs w:val="8"/>
                <w:color w:val="auto"/>
              </w:rPr>
              <w:t>32.4%</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020"/>
        <w:spacing w:after="0"/>
        <w:rPr>
          <w:sz w:val="20"/>
          <w:szCs w:val="20"/>
          <w:color w:val="auto"/>
        </w:rPr>
      </w:pPr>
      <w:r>
        <w:rPr>
          <w:rFonts w:ascii="Arial" w:cs="Arial" w:eastAsia="Arial" w:hAnsi="Arial"/>
          <w:sz w:val="10"/>
          <w:szCs w:val="10"/>
          <w:color w:val="auto"/>
        </w:rPr>
        <w:t>(1) Includes mainly accounts receivables from brokerage and others.</w:t>
      </w:r>
    </w:p>
    <w:p>
      <w:pPr>
        <w:ind w:left="1020"/>
        <w:spacing w:after="0"/>
        <w:rPr>
          <w:sz w:val="20"/>
          <w:szCs w:val="20"/>
          <w:color w:val="auto"/>
        </w:rPr>
      </w:pPr>
      <w:r>
        <w:rPr>
          <w:rFonts w:ascii="Arial" w:cs="Arial" w:eastAsia="Arial" w:hAnsi="Arial"/>
          <w:sz w:val="10"/>
          <w:szCs w:val="10"/>
          <w:color w:val="auto"/>
        </w:rPr>
        <w:t>* Due to reclassifications, the Balance Sheet may differ from those reported in previous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582930</wp:posOffset>
            </wp:positionV>
            <wp:extent cx="7164705" cy="133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-86995</wp:posOffset>
            </wp:positionH>
            <wp:positionV relativeFrom="paragraph">
              <wp:posOffset>53975</wp:posOffset>
            </wp:positionV>
            <wp:extent cx="1502410" cy="4438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171450</wp:posOffset>
            </wp:positionV>
            <wp:extent cx="1750695" cy="3263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750695" cy="326390"/>
                    </a:xfrm>
                    <a:prstGeom prst="rect">
                      <a:avLst/>
                    </a:prstGeom>
                    <a:noFill/>
                  </pic:spPr>
                </pic:pic>
              </a:graphicData>
            </a:graphic>
          </wp:anchor>
        </w:drawing>
      </w:r>
    </w:p>
    <w:p>
      <w:pPr>
        <w:sectPr>
          <w:pgSz w:w="11900" w:h="16838" w:orient="portrait"/>
          <w:cols w:equalWidth="0" w:num="1">
            <w:col w:w="10340"/>
          </w:cols>
          <w:pgMar w:left="440" w:top="300" w:right="1119" w:bottom="1440" w:gutter="0" w:footer="0" w:header="0"/>
        </w:sectPr>
      </w:pPr>
    </w:p>
    <w:bookmarkStart w:id="59" w:name="page60"/>
    <w:bookmarkEnd w:id="59"/>
    <w:p>
      <w:pPr>
        <w:ind w:left="2720"/>
        <w:spacing w:after="0"/>
        <w:tabs>
          <w:tab w:leader="none" w:pos="2920" w:val="left"/>
          <w:tab w:leader="none" w:pos="7920"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102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64705" cy="581025"/>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FFFFFF"/>
        </w:rPr>
        <w:t>12. Appendix</w:t>
      </w: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 of Income</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 Thousands, IFRS)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580" w:type="dxa"/>
            <w:vAlign w:val="bottom"/>
            <w:tcBorders>
              <w:right w:val="single" w:sz="8" w:color="auto"/>
            </w:tcBorders>
          </w:tcPr>
          <w:p>
            <w:pPr>
              <w:spacing w:after="0"/>
              <w:rPr>
                <w:sz w:val="8"/>
                <w:szCs w:val="8"/>
                <w:color w:val="auto"/>
              </w:rPr>
            </w:pPr>
          </w:p>
        </w:tc>
        <w:tc>
          <w:tcPr>
            <w:tcW w:w="3040" w:type="dxa"/>
            <w:vAlign w:val="bottom"/>
            <w:tcBorders>
              <w:top w:val="single" w:sz="8" w:color="auto"/>
              <w:right w:val="single" w:sz="8" w:color="auto"/>
            </w:tcBorders>
            <w:shd w:val="clear" w:color="auto" w:fill="1DD5CC"/>
          </w:tcPr>
          <w:p>
            <w:pPr>
              <w:spacing w:after="0"/>
              <w:rPr>
                <w:sz w:val="8"/>
                <w:szCs w:val="8"/>
                <w:color w:val="auto"/>
              </w:rPr>
            </w:pPr>
          </w:p>
        </w:tc>
        <w:tc>
          <w:tcPr>
            <w:tcW w:w="1000" w:type="dxa"/>
            <w:vAlign w:val="bottom"/>
            <w:tcBorders>
              <w:top w:val="single" w:sz="8" w:color="auto"/>
            </w:tcBorders>
            <w:shd w:val="clear" w:color="auto" w:fill="1DD5CC"/>
          </w:tcPr>
          <w:p>
            <w:pPr>
              <w:spacing w:after="0"/>
              <w:rPr>
                <w:sz w:val="8"/>
                <w:szCs w:val="8"/>
                <w:color w:val="auto"/>
              </w:rPr>
            </w:pPr>
          </w:p>
        </w:tc>
        <w:tc>
          <w:tcPr>
            <w:tcW w:w="900" w:type="dxa"/>
            <w:vAlign w:val="bottom"/>
            <w:tcBorders>
              <w:top w:val="single" w:sz="8" w:color="auto"/>
            </w:tcBorders>
            <w:shd w:val="clear" w:color="auto" w:fill="1DD5CC"/>
          </w:tcPr>
          <w:p>
            <w:pPr>
              <w:jc w:val="right"/>
              <w:ind w:right="399"/>
              <w:spacing w:after="0"/>
              <w:rPr>
                <w:sz w:val="20"/>
                <w:szCs w:val="20"/>
                <w:color w:val="auto"/>
              </w:rPr>
            </w:pPr>
            <w:r>
              <w:rPr>
                <w:rFonts w:ascii="Arial" w:cs="Arial" w:eastAsia="Arial" w:hAnsi="Arial"/>
                <w:sz w:val="8"/>
                <w:szCs w:val="8"/>
                <w:b w:val="1"/>
                <w:bCs w:val="1"/>
                <w:color w:val="FFFFFF"/>
              </w:rPr>
              <w:t>Quarter</w:t>
            </w:r>
          </w:p>
        </w:tc>
        <w:tc>
          <w:tcPr>
            <w:tcW w:w="740" w:type="dxa"/>
            <w:vAlign w:val="bottom"/>
            <w:tcBorders>
              <w:top w:val="single" w:sz="8" w:color="auto"/>
              <w:right w:val="single" w:sz="8" w:color="auto"/>
            </w:tcBorders>
            <w:shd w:val="clear" w:color="auto" w:fill="1DD5CC"/>
          </w:tcPr>
          <w:p>
            <w:pPr>
              <w:spacing w:after="0"/>
              <w:rPr>
                <w:sz w:val="8"/>
                <w:szCs w:val="8"/>
                <w:color w:val="auto"/>
              </w:rPr>
            </w:pPr>
          </w:p>
        </w:tc>
        <w:tc>
          <w:tcPr>
            <w:tcW w:w="620" w:type="dxa"/>
            <w:vAlign w:val="bottom"/>
            <w:tcBorders>
              <w:top w:val="single" w:sz="8" w:color="auto"/>
            </w:tcBorders>
            <w:shd w:val="clear" w:color="auto" w:fill="1DD5CC"/>
          </w:tcPr>
          <w:p>
            <w:pPr>
              <w:spacing w:after="0"/>
              <w:rPr>
                <w:sz w:val="8"/>
                <w:szCs w:val="8"/>
                <w:color w:val="auto"/>
              </w:rPr>
            </w:pPr>
          </w:p>
        </w:tc>
        <w:tc>
          <w:tcPr>
            <w:tcW w:w="1160" w:type="dxa"/>
            <w:vAlign w:val="bottom"/>
            <w:tcBorders>
              <w:top w:val="single" w:sz="8" w:color="auto"/>
              <w:right w:val="single" w:sz="8" w:color="auto"/>
            </w:tcBorders>
            <w:shd w:val="clear" w:color="auto" w:fill="1DD5CC"/>
          </w:tcPr>
          <w:p>
            <w:pPr>
              <w:ind w:left="60"/>
              <w:spacing w:after="0"/>
              <w:rPr>
                <w:sz w:val="20"/>
                <w:szCs w:val="20"/>
                <w:color w:val="auto"/>
              </w:rPr>
            </w:pPr>
            <w:r>
              <w:rPr>
                <w:rFonts w:ascii="Arial" w:cs="Arial" w:eastAsia="Arial" w:hAnsi="Arial"/>
                <w:sz w:val="8"/>
                <w:szCs w:val="8"/>
                <w:b w:val="1"/>
                <w:bCs w:val="1"/>
                <w:color w:val="FFFFFF"/>
              </w:rPr>
              <w:t>% change</w:t>
            </w:r>
          </w:p>
        </w:tc>
        <w:tc>
          <w:tcPr>
            <w:tcW w:w="1100" w:type="dxa"/>
            <w:vAlign w:val="bottom"/>
            <w:tcBorders>
              <w:top w:val="single" w:sz="8" w:color="auto"/>
            </w:tcBorders>
            <w:shd w:val="clear" w:color="auto" w:fill="1DD5CC"/>
          </w:tcPr>
          <w:p>
            <w:pPr>
              <w:jc w:val="right"/>
              <w:ind w:right="59"/>
              <w:spacing w:after="0"/>
              <w:rPr>
                <w:sz w:val="20"/>
                <w:szCs w:val="20"/>
                <w:color w:val="auto"/>
              </w:rPr>
            </w:pPr>
            <w:r>
              <w:rPr>
                <w:rFonts w:ascii="Arial" w:cs="Arial" w:eastAsia="Arial" w:hAnsi="Arial"/>
                <w:sz w:val="8"/>
                <w:szCs w:val="8"/>
                <w:b w:val="1"/>
                <w:bCs w:val="1"/>
                <w:color w:val="FFFFFF"/>
              </w:rPr>
              <w:t>Up to</w:t>
            </w:r>
          </w:p>
        </w:tc>
        <w:tc>
          <w:tcPr>
            <w:tcW w:w="700" w:type="dxa"/>
            <w:vAlign w:val="bottom"/>
            <w:tcBorders>
              <w:top w:val="single" w:sz="8" w:color="auto"/>
              <w:right w:val="single" w:sz="8" w:color="auto"/>
            </w:tcBorders>
            <w:shd w:val="clear" w:color="auto" w:fill="1DD5CC"/>
          </w:tcPr>
          <w:p>
            <w:pPr>
              <w:spacing w:after="0"/>
              <w:rPr>
                <w:sz w:val="8"/>
                <w:szCs w:val="8"/>
                <w:color w:val="auto"/>
              </w:rPr>
            </w:pPr>
          </w:p>
        </w:tc>
        <w:tc>
          <w:tcPr>
            <w:tcW w:w="880" w:type="dxa"/>
            <w:vAlign w:val="bottom"/>
            <w:tcBorders>
              <w:top w:val="single" w:sz="8" w:color="auto"/>
              <w:right w:val="single" w:sz="8" w:color="auto"/>
            </w:tcBorders>
            <w:shd w:val="clear" w:color="auto" w:fill="1DD5CC"/>
          </w:tcPr>
          <w:p>
            <w:pPr>
              <w:ind w:left="240"/>
              <w:spacing w:after="0"/>
              <w:rPr>
                <w:sz w:val="20"/>
                <w:szCs w:val="20"/>
                <w:color w:val="auto"/>
              </w:rPr>
            </w:pPr>
            <w:r>
              <w:rPr>
                <w:rFonts w:ascii="Arial" w:cs="Arial" w:eastAsia="Arial" w:hAnsi="Arial"/>
                <w:sz w:val="8"/>
                <w:szCs w:val="8"/>
                <w:b w:val="1"/>
                <w:bCs w:val="1"/>
                <w:color w:val="FFFFFF"/>
              </w:rPr>
              <w:t>% change</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80" w:type="dxa"/>
            <w:vAlign w:val="bottom"/>
            <w:tcBorders>
              <w:right w:val="single" w:sz="8" w:color="auto"/>
            </w:tcBorders>
          </w:tcPr>
          <w:p>
            <w:pPr>
              <w:spacing w:after="0"/>
              <w:rPr>
                <w:sz w:val="8"/>
                <w:szCs w:val="8"/>
                <w:color w:val="auto"/>
              </w:rPr>
            </w:pPr>
          </w:p>
        </w:tc>
        <w:tc>
          <w:tcPr>
            <w:tcW w:w="3040" w:type="dxa"/>
            <w:vAlign w:val="bottom"/>
            <w:tcBorders>
              <w:bottom w:val="single" w:sz="8" w:color="auto"/>
              <w:right w:val="single" w:sz="8" w:color="auto"/>
            </w:tcBorders>
            <w:shd w:val="clear" w:color="auto" w:fill="1DD5CC"/>
          </w:tcPr>
          <w:p>
            <w:pPr>
              <w:spacing w:after="0"/>
              <w:rPr>
                <w:sz w:val="8"/>
                <w:szCs w:val="8"/>
                <w:color w:val="auto"/>
              </w:rPr>
            </w:pPr>
          </w:p>
        </w:tc>
        <w:tc>
          <w:tcPr>
            <w:tcW w:w="1000" w:type="dxa"/>
            <w:vAlign w:val="bottom"/>
            <w:tcBorders>
              <w:bottom w:val="single" w:sz="8" w:color="auto"/>
            </w:tcBorders>
            <w:shd w:val="clear" w:color="auto" w:fill="2AD2C9"/>
          </w:tcPr>
          <w:p>
            <w:pPr>
              <w:jc w:val="right"/>
              <w:ind w:right="439"/>
              <w:spacing w:after="0"/>
              <w:rPr>
                <w:sz w:val="20"/>
                <w:szCs w:val="20"/>
                <w:color w:val="auto"/>
              </w:rPr>
            </w:pPr>
            <w:r>
              <w:rPr>
                <w:rFonts w:ascii="Arial" w:cs="Arial" w:eastAsia="Arial" w:hAnsi="Arial"/>
                <w:sz w:val="8"/>
                <w:szCs w:val="8"/>
                <w:b w:val="1"/>
                <w:bCs w:val="1"/>
                <w:color w:val="FFFFFF"/>
              </w:rPr>
              <w:t>2Q23</w:t>
            </w:r>
          </w:p>
        </w:tc>
        <w:tc>
          <w:tcPr>
            <w:tcW w:w="900" w:type="dxa"/>
            <w:vAlign w:val="bottom"/>
            <w:tcBorders>
              <w:bottom w:val="single" w:sz="8" w:color="auto"/>
            </w:tcBorders>
            <w:shd w:val="clear" w:color="auto" w:fill="2AD2C9"/>
          </w:tcPr>
          <w:p>
            <w:pPr>
              <w:jc w:val="right"/>
              <w:ind w:right="459"/>
              <w:spacing w:after="0"/>
              <w:rPr>
                <w:sz w:val="20"/>
                <w:szCs w:val="20"/>
                <w:color w:val="auto"/>
              </w:rPr>
            </w:pPr>
            <w:r>
              <w:rPr>
                <w:rFonts w:ascii="Arial" w:cs="Arial" w:eastAsia="Arial" w:hAnsi="Arial"/>
                <w:sz w:val="8"/>
                <w:szCs w:val="8"/>
                <w:b w:val="1"/>
                <w:bCs w:val="1"/>
                <w:color w:val="FFFFFF"/>
              </w:rPr>
              <w:t>1Q24</w:t>
            </w:r>
          </w:p>
        </w:tc>
        <w:tc>
          <w:tcPr>
            <w:tcW w:w="740" w:type="dxa"/>
            <w:vAlign w:val="bottom"/>
            <w:tcBorders>
              <w:bottom w:val="single" w:sz="8" w:color="auto"/>
              <w:right w:val="single" w:sz="8" w:color="auto"/>
            </w:tcBorders>
            <w:shd w:val="clear" w:color="auto" w:fill="2AD2C9"/>
          </w:tcPr>
          <w:p>
            <w:pPr>
              <w:jc w:val="right"/>
              <w:ind w:right="319"/>
              <w:spacing w:after="0"/>
              <w:rPr>
                <w:sz w:val="20"/>
                <w:szCs w:val="20"/>
                <w:color w:val="auto"/>
              </w:rPr>
            </w:pPr>
            <w:r>
              <w:rPr>
                <w:rFonts w:ascii="Arial" w:cs="Arial" w:eastAsia="Arial" w:hAnsi="Arial"/>
                <w:sz w:val="8"/>
                <w:szCs w:val="8"/>
                <w:b w:val="1"/>
                <w:bCs w:val="1"/>
                <w:color w:val="FFFFFF"/>
              </w:rPr>
              <w:t>2Q24</w:t>
            </w:r>
          </w:p>
        </w:tc>
        <w:tc>
          <w:tcPr>
            <w:tcW w:w="620" w:type="dxa"/>
            <w:vAlign w:val="bottom"/>
            <w:tcBorders>
              <w:bottom w:val="single" w:sz="8" w:color="auto"/>
            </w:tcBorders>
            <w:shd w:val="clear" w:color="auto" w:fill="1DD5CC"/>
          </w:tcPr>
          <w:p>
            <w:pPr>
              <w:ind w:left="340"/>
              <w:spacing w:after="0"/>
              <w:rPr>
                <w:sz w:val="20"/>
                <w:szCs w:val="20"/>
                <w:color w:val="auto"/>
              </w:rPr>
            </w:pPr>
            <w:r>
              <w:rPr>
                <w:rFonts w:ascii="Arial" w:cs="Arial" w:eastAsia="Arial" w:hAnsi="Arial"/>
                <w:sz w:val="8"/>
                <w:szCs w:val="8"/>
                <w:b w:val="1"/>
                <w:bCs w:val="1"/>
                <w:color w:val="FFFFFF"/>
              </w:rPr>
              <w:t>QoQ</w:t>
            </w:r>
          </w:p>
        </w:tc>
        <w:tc>
          <w:tcPr>
            <w:tcW w:w="1160" w:type="dxa"/>
            <w:vAlign w:val="bottom"/>
            <w:tcBorders>
              <w:bottom w:val="single" w:sz="8" w:color="auto"/>
              <w:right w:val="single" w:sz="8" w:color="auto"/>
            </w:tcBorders>
            <w:shd w:val="clear" w:color="auto" w:fill="1DD5CC"/>
          </w:tcPr>
          <w:p>
            <w:pPr>
              <w:ind w:left="620"/>
              <w:spacing w:after="0"/>
              <w:rPr>
                <w:sz w:val="20"/>
                <w:szCs w:val="20"/>
                <w:color w:val="auto"/>
              </w:rPr>
            </w:pPr>
            <w:r>
              <w:rPr>
                <w:rFonts w:ascii="Arial" w:cs="Arial" w:eastAsia="Arial" w:hAnsi="Arial"/>
                <w:sz w:val="8"/>
                <w:szCs w:val="8"/>
                <w:b w:val="1"/>
                <w:bCs w:val="1"/>
                <w:color w:val="FFFFFF"/>
              </w:rPr>
              <w:t>YoY</w:t>
            </w:r>
          </w:p>
        </w:tc>
        <w:tc>
          <w:tcPr>
            <w:tcW w:w="1100" w:type="dxa"/>
            <w:vAlign w:val="bottom"/>
            <w:tcBorders>
              <w:bottom w:val="single" w:sz="8" w:color="auto"/>
            </w:tcBorders>
            <w:shd w:val="clear" w:color="auto" w:fill="1DD5CC"/>
          </w:tcPr>
          <w:p>
            <w:pPr>
              <w:jc w:val="right"/>
              <w:ind w:right="519"/>
              <w:spacing w:after="0"/>
              <w:rPr>
                <w:sz w:val="20"/>
                <w:szCs w:val="20"/>
                <w:color w:val="auto"/>
              </w:rPr>
            </w:pPr>
            <w:r>
              <w:rPr>
                <w:rFonts w:ascii="Arial" w:cs="Arial" w:eastAsia="Arial" w:hAnsi="Arial"/>
                <w:sz w:val="8"/>
                <w:szCs w:val="8"/>
                <w:b w:val="1"/>
                <w:bCs w:val="1"/>
                <w:color w:val="FFFFFF"/>
              </w:rPr>
              <w:t>1H23</w:t>
            </w:r>
          </w:p>
        </w:tc>
        <w:tc>
          <w:tcPr>
            <w:tcW w:w="700" w:type="dxa"/>
            <w:vAlign w:val="bottom"/>
            <w:tcBorders>
              <w:bottom w:val="single" w:sz="8" w:color="auto"/>
              <w:right w:val="single" w:sz="8" w:color="auto"/>
            </w:tcBorders>
            <w:shd w:val="clear" w:color="auto" w:fill="1DD5CC"/>
          </w:tcPr>
          <w:p>
            <w:pPr>
              <w:jc w:val="right"/>
              <w:ind w:right="339"/>
              <w:spacing w:after="0"/>
              <w:rPr>
                <w:sz w:val="20"/>
                <w:szCs w:val="20"/>
                <w:color w:val="auto"/>
              </w:rPr>
            </w:pPr>
            <w:r>
              <w:rPr>
                <w:rFonts w:ascii="Arial" w:cs="Arial" w:eastAsia="Arial" w:hAnsi="Arial"/>
                <w:sz w:val="8"/>
                <w:szCs w:val="8"/>
                <w:b w:val="1"/>
                <w:bCs w:val="1"/>
                <w:color w:val="FFFFFF"/>
              </w:rPr>
              <w:t>1H24</w:t>
            </w:r>
          </w:p>
        </w:tc>
        <w:tc>
          <w:tcPr>
            <w:tcW w:w="880" w:type="dxa"/>
            <w:vAlign w:val="bottom"/>
            <w:tcBorders>
              <w:bottom w:val="single" w:sz="8" w:color="auto"/>
              <w:right w:val="single" w:sz="8" w:color="auto"/>
            </w:tcBorders>
            <w:shd w:val="clear" w:color="auto" w:fill="1DD5CC"/>
          </w:tcPr>
          <w:p>
            <w:pPr>
              <w:jc w:val="center"/>
              <w:spacing w:after="0"/>
              <w:rPr>
                <w:sz w:val="20"/>
                <w:szCs w:val="20"/>
                <w:color w:val="auto"/>
              </w:rPr>
            </w:pPr>
            <w:r>
              <w:rPr>
                <w:rFonts w:ascii="Arial" w:cs="Arial" w:eastAsia="Arial" w:hAnsi="Arial"/>
                <w:sz w:val="8"/>
                <w:szCs w:val="8"/>
                <w:b w:val="1"/>
                <w:bCs w:val="1"/>
                <w:color w:val="FFFFFF"/>
              </w:rPr>
              <w:t>1H24 / 1H23</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580" w:type="dxa"/>
            <w:vAlign w:val="bottom"/>
            <w:tcBorders>
              <w:right w:val="single" w:sz="8" w:color="auto"/>
            </w:tcBorders>
          </w:tcPr>
          <w:p>
            <w:pPr>
              <w:spacing w:after="0"/>
              <w:rPr>
                <w:sz w:val="6"/>
                <w:szCs w:val="6"/>
                <w:color w:val="auto"/>
              </w:rPr>
            </w:pPr>
          </w:p>
        </w:tc>
        <w:tc>
          <w:tcPr>
            <w:tcW w:w="3040" w:type="dxa"/>
            <w:vAlign w:val="bottom"/>
            <w:tcBorders>
              <w:right w:val="single" w:sz="8" w:color="auto"/>
            </w:tcBorders>
          </w:tcPr>
          <w:p>
            <w:pPr>
              <w:ind w:left="20"/>
              <w:spacing w:after="0" w:line="73" w:lineRule="exact"/>
              <w:rPr>
                <w:sz w:val="20"/>
                <w:szCs w:val="20"/>
                <w:color w:val="auto"/>
              </w:rPr>
            </w:pPr>
            <w:r>
              <w:rPr>
                <w:rFonts w:ascii="Arial" w:cs="Arial" w:eastAsia="Arial" w:hAnsi="Arial"/>
                <w:sz w:val="8"/>
                <w:szCs w:val="8"/>
                <w:b w:val="1"/>
                <w:bCs w:val="1"/>
                <w:color w:val="auto"/>
              </w:rPr>
              <w:t>Interest income and expense</w:t>
            </w:r>
          </w:p>
        </w:tc>
        <w:tc>
          <w:tcPr>
            <w:tcW w:w="100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580" w:type="dxa"/>
            <w:vAlign w:val="bottom"/>
            <w:tcBorders>
              <w:right w:val="single" w:sz="8" w:color="auto"/>
            </w:tcBorders>
          </w:tcPr>
          <w:p>
            <w:pPr>
              <w:spacing w:after="0"/>
              <w:rPr>
                <w:sz w:val="8"/>
                <w:szCs w:val="8"/>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b w:val="1"/>
                <w:bCs w:val="1"/>
                <w:color w:val="auto"/>
              </w:rPr>
              <w:t>Interest and similar income</w:t>
            </w:r>
          </w:p>
        </w:tc>
        <w:tc>
          <w:tcPr>
            <w:tcW w:w="1000" w:type="dxa"/>
            <w:vAlign w:val="bottom"/>
          </w:tcPr>
          <w:p>
            <w:pPr>
              <w:jc w:val="right"/>
              <w:ind w:right="159"/>
              <w:spacing w:after="0"/>
              <w:rPr>
                <w:sz w:val="20"/>
                <w:szCs w:val="20"/>
                <w:color w:val="auto"/>
              </w:rPr>
            </w:pPr>
            <w:r>
              <w:rPr>
                <w:rFonts w:ascii="Arial" w:cs="Arial" w:eastAsia="Arial" w:hAnsi="Arial"/>
                <w:sz w:val="8"/>
                <w:szCs w:val="8"/>
                <w:color w:val="auto"/>
              </w:rPr>
              <w:t>4,653,246</w:t>
            </w:r>
          </w:p>
        </w:tc>
        <w:tc>
          <w:tcPr>
            <w:tcW w:w="900" w:type="dxa"/>
            <w:vAlign w:val="bottom"/>
          </w:tcPr>
          <w:p>
            <w:pPr>
              <w:jc w:val="right"/>
              <w:ind w:right="159"/>
              <w:spacing w:after="0"/>
              <w:rPr>
                <w:sz w:val="20"/>
                <w:szCs w:val="20"/>
                <w:color w:val="auto"/>
              </w:rPr>
            </w:pPr>
            <w:r>
              <w:rPr>
                <w:rFonts w:ascii="Arial" w:cs="Arial" w:eastAsia="Arial" w:hAnsi="Arial"/>
                <w:sz w:val="8"/>
                <w:szCs w:val="8"/>
                <w:color w:val="auto"/>
              </w:rPr>
              <w:t>4,925,926</w:t>
            </w:r>
          </w:p>
        </w:tc>
        <w:tc>
          <w:tcPr>
            <w:tcW w:w="74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color w:val="auto"/>
              </w:rPr>
              <w:t>4,935,238</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8"/>
              </w:rPr>
              <w:t>0.2%</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6.1%</w:t>
            </w:r>
          </w:p>
        </w:tc>
        <w:tc>
          <w:tcPr>
            <w:tcW w:w="1100" w:type="dxa"/>
            <w:vAlign w:val="bottom"/>
          </w:tcPr>
          <w:p>
            <w:pPr>
              <w:jc w:val="right"/>
              <w:ind w:right="239"/>
              <w:spacing w:after="0"/>
              <w:rPr>
                <w:sz w:val="20"/>
                <w:szCs w:val="20"/>
                <w:color w:val="auto"/>
              </w:rPr>
            </w:pPr>
            <w:r>
              <w:rPr>
                <w:rFonts w:ascii="Arial" w:cs="Arial" w:eastAsia="Arial" w:hAnsi="Arial"/>
                <w:sz w:val="8"/>
                <w:szCs w:val="8"/>
                <w:color w:val="auto"/>
              </w:rPr>
              <w:t>9,109,352</w:t>
            </w:r>
          </w:p>
        </w:tc>
        <w:tc>
          <w:tcPr>
            <w:tcW w:w="70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9,861,164</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8.3%</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80" w:type="dxa"/>
            <w:vAlign w:val="bottom"/>
            <w:tcBorders>
              <w:right w:val="single" w:sz="8" w:color="auto"/>
            </w:tcBorders>
          </w:tcPr>
          <w:p>
            <w:pPr>
              <w:spacing w:after="0"/>
              <w:rPr>
                <w:sz w:val="8"/>
                <w:szCs w:val="8"/>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Interest and similar expenses</w:t>
            </w:r>
          </w:p>
        </w:tc>
        <w:tc>
          <w:tcPr>
            <w:tcW w:w="1000" w:type="dxa"/>
            <w:vAlign w:val="bottom"/>
          </w:tcPr>
          <w:p>
            <w:pPr>
              <w:jc w:val="right"/>
              <w:ind w:right="139"/>
              <w:spacing w:after="0"/>
              <w:rPr>
                <w:sz w:val="20"/>
                <w:szCs w:val="20"/>
                <w:color w:val="auto"/>
              </w:rPr>
            </w:pPr>
            <w:r>
              <w:rPr>
                <w:rFonts w:ascii="Arial" w:cs="Arial" w:eastAsia="Arial" w:hAnsi="Arial"/>
                <w:sz w:val="8"/>
                <w:szCs w:val="8"/>
                <w:color w:val="auto"/>
              </w:rPr>
              <w:t>(1,449,090)</w:t>
            </w:r>
          </w:p>
        </w:tc>
        <w:tc>
          <w:tcPr>
            <w:tcW w:w="900" w:type="dxa"/>
            <w:vAlign w:val="bottom"/>
          </w:tcPr>
          <w:p>
            <w:pPr>
              <w:jc w:val="right"/>
              <w:ind w:right="139"/>
              <w:spacing w:after="0"/>
              <w:rPr>
                <w:sz w:val="20"/>
                <w:szCs w:val="20"/>
                <w:color w:val="auto"/>
              </w:rPr>
            </w:pPr>
            <w:r>
              <w:rPr>
                <w:rFonts w:ascii="Arial" w:cs="Arial" w:eastAsia="Arial" w:hAnsi="Arial"/>
                <w:sz w:val="8"/>
                <w:szCs w:val="8"/>
                <w:color w:val="auto"/>
              </w:rPr>
              <w:t>(1,499,803)</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(1,466,774)</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rPr>
              <w:t>-2.2%</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1.2%</w:t>
            </w:r>
          </w:p>
        </w:tc>
        <w:tc>
          <w:tcPr>
            <w:tcW w:w="1100" w:type="dxa"/>
            <w:vAlign w:val="bottom"/>
          </w:tcPr>
          <w:p>
            <w:pPr>
              <w:jc w:val="right"/>
              <w:ind w:right="199"/>
              <w:spacing w:after="0"/>
              <w:rPr>
                <w:sz w:val="20"/>
                <w:szCs w:val="20"/>
                <w:color w:val="auto"/>
              </w:rPr>
            </w:pPr>
            <w:r>
              <w:rPr>
                <w:rFonts w:ascii="Arial" w:cs="Arial" w:eastAsia="Arial" w:hAnsi="Arial"/>
                <w:sz w:val="8"/>
                <w:szCs w:val="8"/>
                <w:color w:val="auto"/>
              </w:rPr>
              <w:t>(2,773,107)</w:t>
            </w:r>
          </w:p>
        </w:tc>
        <w:tc>
          <w:tcPr>
            <w:tcW w:w="70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color w:val="auto"/>
              </w:rPr>
              <w:t>(2,966,577)</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7.0%</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580" w:type="dxa"/>
            <w:vAlign w:val="bottom"/>
            <w:tcBorders>
              <w:right w:val="single" w:sz="8" w:color="auto"/>
            </w:tcBorders>
          </w:tcPr>
          <w:p>
            <w:pPr>
              <w:spacing w:after="0"/>
              <w:rPr>
                <w:sz w:val="9"/>
                <w:szCs w:val="9"/>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b w:val="1"/>
                <w:bCs w:val="1"/>
                <w:color w:val="auto"/>
              </w:rPr>
              <w:t>Net interest, similar income and expenses</w:t>
            </w:r>
          </w:p>
        </w:tc>
        <w:tc>
          <w:tcPr>
            <w:tcW w:w="1000" w:type="dxa"/>
            <w:vAlign w:val="bottom"/>
          </w:tcPr>
          <w:p>
            <w:pPr>
              <w:jc w:val="right"/>
              <w:ind w:right="159"/>
              <w:spacing w:after="0"/>
              <w:rPr>
                <w:sz w:val="20"/>
                <w:szCs w:val="20"/>
                <w:color w:val="auto"/>
              </w:rPr>
            </w:pPr>
            <w:r>
              <w:rPr>
                <w:rFonts w:ascii="Arial" w:cs="Arial" w:eastAsia="Arial" w:hAnsi="Arial"/>
                <w:sz w:val="8"/>
                <w:szCs w:val="8"/>
                <w:b w:val="1"/>
                <w:bCs w:val="1"/>
                <w:color w:val="auto"/>
              </w:rPr>
              <w:t>3,204,156</w:t>
            </w:r>
          </w:p>
        </w:tc>
        <w:tc>
          <w:tcPr>
            <w:tcW w:w="900" w:type="dxa"/>
            <w:vAlign w:val="bottom"/>
          </w:tcPr>
          <w:p>
            <w:pPr>
              <w:jc w:val="right"/>
              <w:ind w:right="159"/>
              <w:spacing w:after="0"/>
              <w:rPr>
                <w:sz w:val="20"/>
                <w:szCs w:val="20"/>
                <w:color w:val="auto"/>
              </w:rPr>
            </w:pPr>
            <w:r>
              <w:rPr>
                <w:rFonts w:ascii="Arial" w:cs="Arial" w:eastAsia="Arial" w:hAnsi="Arial"/>
                <w:sz w:val="8"/>
                <w:szCs w:val="8"/>
                <w:b w:val="1"/>
                <w:bCs w:val="1"/>
                <w:color w:val="auto"/>
              </w:rPr>
              <w:t>3,426,123</w:t>
            </w:r>
          </w:p>
        </w:tc>
        <w:tc>
          <w:tcPr>
            <w:tcW w:w="74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b w:val="1"/>
                <w:bCs w:val="1"/>
                <w:color w:val="auto"/>
              </w:rPr>
              <w:t>3,468,464</w:t>
            </w:r>
          </w:p>
        </w:tc>
        <w:tc>
          <w:tcPr>
            <w:tcW w:w="620" w:type="dxa"/>
            <w:vAlign w:val="bottom"/>
          </w:tcPr>
          <w:p>
            <w:pPr>
              <w:jc w:val="center"/>
              <w:ind w:left="199"/>
              <w:spacing w:after="0"/>
              <w:rPr>
                <w:sz w:val="20"/>
                <w:szCs w:val="20"/>
                <w:color w:val="auto"/>
              </w:rPr>
            </w:pPr>
            <w:r>
              <w:rPr>
                <w:rFonts w:ascii="Arial" w:cs="Arial" w:eastAsia="Arial" w:hAnsi="Arial"/>
                <w:sz w:val="8"/>
                <w:szCs w:val="8"/>
                <w:b w:val="1"/>
                <w:bCs w:val="1"/>
                <w:color w:val="auto"/>
                <w:w w:val="98"/>
              </w:rPr>
              <w:t>1.2%</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b w:val="1"/>
                <w:bCs w:val="1"/>
                <w:color w:val="auto"/>
              </w:rPr>
              <w:t>8.2%</w:t>
            </w:r>
          </w:p>
        </w:tc>
        <w:tc>
          <w:tcPr>
            <w:tcW w:w="1100" w:type="dxa"/>
            <w:vAlign w:val="bottom"/>
          </w:tcPr>
          <w:p>
            <w:pPr>
              <w:jc w:val="right"/>
              <w:ind w:right="239"/>
              <w:spacing w:after="0"/>
              <w:rPr>
                <w:sz w:val="20"/>
                <w:szCs w:val="20"/>
                <w:color w:val="auto"/>
              </w:rPr>
            </w:pPr>
            <w:r>
              <w:rPr>
                <w:rFonts w:ascii="Arial" w:cs="Arial" w:eastAsia="Arial" w:hAnsi="Arial"/>
                <w:sz w:val="8"/>
                <w:szCs w:val="8"/>
                <w:b w:val="1"/>
                <w:bCs w:val="1"/>
                <w:color w:val="auto"/>
              </w:rPr>
              <w:t>6,336,245</w:t>
            </w:r>
          </w:p>
        </w:tc>
        <w:tc>
          <w:tcPr>
            <w:tcW w:w="70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b w:val="1"/>
                <w:bCs w:val="1"/>
                <w:color w:val="auto"/>
              </w:rPr>
              <w:t>6,894,587</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8.8%</w:t>
            </w: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580" w:type="dxa"/>
            <w:vAlign w:val="bottom"/>
            <w:tcBorders>
              <w:right w:val="single" w:sz="8" w:color="auto"/>
            </w:tcBorders>
          </w:tcPr>
          <w:p>
            <w:pPr>
              <w:spacing w:after="0"/>
              <w:rPr>
                <w:sz w:val="14"/>
                <w:szCs w:val="14"/>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Gross provision for credit losses on loan portfolio</w:t>
            </w:r>
          </w:p>
        </w:tc>
        <w:tc>
          <w:tcPr>
            <w:tcW w:w="1000" w:type="dxa"/>
            <w:vAlign w:val="bottom"/>
          </w:tcPr>
          <w:p>
            <w:pPr>
              <w:jc w:val="right"/>
              <w:ind w:right="139"/>
              <w:spacing w:after="0"/>
              <w:rPr>
                <w:sz w:val="20"/>
                <w:szCs w:val="20"/>
                <w:color w:val="auto"/>
              </w:rPr>
            </w:pPr>
            <w:r>
              <w:rPr>
                <w:rFonts w:ascii="Arial" w:cs="Arial" w:eastAsia="Arial" w:hAnsi="Arial"/>
                <w:sz w:val="8"/>
                <w:szCs w:val="8"/>
                <w:color w:val="auto"/>
              </w:rPr>
              <w:t>(886,123)</w:t>
            </w:r>
          </w:p>
        </w:tc>
        <w:tc>
          <w:tcPr>
            <w:tcW w:w="900" w:type="dxa"/>
            <w:vAlign w:val="bottom"/>
          </w:tcPr>
          <w:p>
            <w:pPr>
              <w:jc w:val="right"/>
              <w:ind w:right="139"/>
              <w:spacing w:after="0"/>
              <w:rPr>
                <w:sz w:val="20"/>
                <w:szCs w:val="20"/>
                <w:color w:val="auto"/>
              </w:rPr>
            </w:pPr>
            <w:r>
              <w:rPr>
                <w:rFonts w:ascii="Arial" w:cs="Arial" w:eastAsia="Arial" w:hAnsi="Arial"/>
                <w:sz w:val="8"/>
                <w:szCs w:val="8"/>
                <w:color w:val="auto"/>
              </w:rPr>
              <w:t>(910,189)</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(1,193,548)</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6"/>
              </w:rPr>
              <w:t>31.1%</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34.7%</w:t>
            </w:r>
          </w:p>
        </w:tc>
        <w:tc>
          <w:tcPr>
            <w:tcW w:w="1100" w:type="dxa"/>
            <w:vAlign w:val="bottom"/>
          </w:tcPr>
          <w:p>
            <w:pPr>
              <w:jc w:val="right"/>
              <w:ind w:right="199"/>
              <w:spacing w:after="0"/>
              <w:rPr>
                <w:sz w:val="20"/>
                <w:szCs w:val="20"/>
                <w:color w:val="auto"/>
              </w:rPr>
            </w:pPr>
            <w:r>
              <w:rPr>
                <w:rFonts w:ascii="Arial" w:cs="Arial" w:eastAsia="Arial" w:hAnsi="Arial"/>
                <w:sz w:val="8"/>
                <w:szCs w:val="8"/>
                <w:color w:val="auto"/>
              </w:rPr>
              <w:t>(1,688,230)</w:t>
            </w:r>
          </w:p>
        </w:tc>
        <w:tc>
          <w:tcPr>
            <w:tcW w:w="70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color w:val="auto"/>
              </w:rPr>
              <w:t>(2,103,737)</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24.6%</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580" w:type="dxa"/>
            <w:vAlign w:val="bottom"/>
            <w:tcBorders>
              <w:right w:val="single" w:sz="8" w:color="auto"/>
            </w:tcBorders>
          </w:tcPr>
          <w:p>
            <w:pPr>
              <w:spacing w:after="0"/>
              <w:rPr>
                <w:sz w:val="8"/>
                <w:szCs w:val="8"/>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Recoveries of written-off loans</w:t>
            </w:r>
          </w:p>
        </w:tc>
        <w:tc>
          <w:tcPr>
            <w:tcW w:w="1000" w:type="dxa"/>
            <w:vAlign w:val="bottom"/>
          </w:tcPr>
          <w:p>
            <w:pPr>
              <w:jc w:val="right"/>
              <w:ind w:right="159"/>
              <w:spacing w:after="0"/>
              <w:rPr>
                <w:sz w:val="20"/>
                <w:szCs w:val="20"/>
                <w:color w:val="auto"/>
              </w:rPr>
            </w:pPr>
            <w:r>
              <w:rPr>
                <w:rFonts w:ascii="Arial" w:cs="Arial" w:eastAsia="Arial" w:hAnsi="Arial"/>
                <w:sz w:val="8"/>
                <w:szCs w:val="8"/>
                <w:color w:val="auto"/>
              </w:rPr>
              <w:t>81,872</w:t>
            </w:r>
          </w:p>
        </w:tc>
        <w:tc>
          <w:tcPr>
            <w:tcW w:w="900" w:type="dxa"/>
            <w:vAlign w:val="bottom"/>
          </w:tcPr>
          <w:p>
            <w:pPr>
              <w:jc w:val="right"/>
              <w:ind w:right="159"/>
              <w:spacing w:after="0"/>
              <w:rPr>
                <w:sz w:val="20"/>
                <w:szCs w:val="20"/>
                <w:color w:val="auto"/>
              </w:rPr>
            </w:pPr>
            <w:r>
              <w:rPr>
                <w:rFonts w:ascii="Arial" w:cs="Arial" w:eastAsia="Arial" w:hAnsi="Arial"/>
                <w:sz w:val="8"/>
                <w:szCs w:val="8"/>
                <w:color w:val="auto"/>
              </w:rPr>
              <w:t>95,490</w:t>
            </w:r>
          </w:p>
        </w:tc>
        <w:tc>
          <w:tcPr>
            <w:tcW w:w="74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color w:val="auto"/>
              </w:rPr>
              <w:t>100,177</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8"/>
              </w:rPr>
              <w:t>4.9%</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22.4%</w:t>
            </w:r>
          </w:p>
        </w:tc>
        <w:tc>
          <w:tcPr>
            <w:tcW w:w="1100" w:type="dxa"/>
            <w:vAlign w:val="bottom"/>
          </w:tcPr>
          <w:p>
            <w:pPr>
              <w:jc w:val="right"/>
              <w:ind w:right="239"/>
              <w:spacing w:after="0"/>
              <w:rPr>
                <w:sz w:val="20"/>
                <w:szCs w:val="20"/>
                <w:color w:val="auto"/>
              </w:rPr>
            </w:pPr>
            <w:r>
              <w:rPr>
                <w:rFonts w:ascii="Arial" w:cs="Arial" w:eastAsia="Arial" w:hAnsi="Arial"/>
                <w:sz w:val="8"/>
                <w:szCs w:val="8"/>
                <w:color w:val="auto"/>
              </w:rPr>
              <w:t>156,981</w:t>
            </w:r>
          </w:p>
        </w:tc>
        <w:tc>
          <w:tcPr>
            <w:tcW w:w="70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195,667</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24.6%</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580" w:type="dxa"/>
            <w:vAlign w:val="bottom"/>
            <w:tcBorders>
              <w:right w:val="single" w:sz="8" w:color="auto"/>
            </w:tcBorders>
          </w:tcPr>
          <w:p>
            <w:pPr>
              <w:spacing w:after="0"/>
              <w:rPr>
                <w:sz w:val="9"/>
                <w:szCs w:val="9"/>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b w:val="1"/>
                <w:bCs w:val="1"/>
                <w:color w:val="auto"/>
              </w:rPr>
              <w:t>Provision for credit losses on loan portfolio, net of recoveries</w:t>
            </w:r>
          </w:p>
        </w:tc>
        <w:tc>
          <w:tcPr>
            <w:tcW w:w="1000" w:type="dxa"/>
            <w:vAlign w:val="bottom"/>
          </w:tcPr>
          <w:p>
            <w:pPr>
              <w:jc w:val="right"/>
              <w:ind w:right="139"/>
              <w:spacing w:after="0"/>
              <w:rPr>
                <w:sz w:val="20"/>
                <w:szCs w:val="20"/>
                <w:color w:val="auto"/>
              </w:rPr>
            </w:pPr>
            <w:r>
              <w:rPr>
                <w:rFonts w:ascii="Arial" w:cs="Arial" w:eastAsia="Arial" w:hAnsi="Arial"/>
                <w:sz w:val="8"/>
                <w:szCs w:val="8"/>
                <w:b w:val="1"/>
                <w:bCs w:val="1"/>
                <w:color w:val="auto"/>
              </w:rPr>
              <w:t>(804,251)</w:t>
            </w:r>
          </w:p>
        </w:tc>
        <w:tc>
          <w:tcPr>
            <w:tcW w:w="900" w:type="dxa"/>
            <w:vAlign w:val="bottom"/>
          </w:tcPr>
          <w:p>
            <w:pPr>
              <w:jc w:val="right"/>
              <w:ind w:right="139"/>
              <w:spacing w:after="0"/>
              <w:rPr>
                <w:sz w:val="20"/>
                <w:szCs w:val="20"/>
                <w:color w:val="auto"/>
              </w:rPr>
            </w:pPr>
            <w:r>
              <w:rPr>
                <w:rFonts w:ascii="Arial" w:cs="Arial" w:eastAsia="Arial" w:hAnsi="Arial"/>
                <w:sz w:val="8"/>
                <w:szCs w:val="8"/>
                <w:b w:val="1"/>
                <w:bCs w:val="1"/>
                <w:color w:val="auto"/>
              </w:rPr>
              <w:t>(814,699)</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8"/>
                <w:szCs w:val="8"/>
                <w:b w:val="1"/>
                <w:bCs w:val="1"/>
                <w:color w:val="auto"/>
              </w:rPr>
              <w:t>(1,093,371)</w:t>
            </w:r>
          </w:p>
        </w:tc>
        <w:tc>
          <w:tcPr>
            <w:tcW w:w="620" w:type="dxa"/>
            <w:vAlign w:val="bottom"/>
          </w:tcPr>
          <w:p>
            <w:pPr>
              <w:jc w:val="center"/>
              <w:ind w:left="199"/>
              <w:spacing w:after="0"/>
              <w:rPr>
                <w:sz w:val="20"/>
                <w:szCs w:val="20"/>
                <w:color w:val="auto"/>
              </w:rPr>
            </w:pPr>
            <w:r>
              <w:rPr>
                <w:rFonts w:ascii="Arial" w:cs="Arial" w:eastAsia="Arial" w:hAnsi="Arial"/>
                <w:sz w:val="8"/>
                <w:szCs w:val="8"/>
                <w:b w:val="1"/>
                <w:bCs w:val="1"/>
                <w:color w:val="auto"/>
                <w:w w:val="96"/>
              </w:rPr>
              <w:t>34.2%</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b w:val="1"/>
                <w:bCs w:val="1"/>
                <w:color w:val="auto"/>
              </w:rPr>
              <w:t>35.9%</w:t>
            </w:r>
          </w:p>
        </w:tc>
        <w:tc>
          <w:tcPr>
            <w:tcW w:w="1100" w:type="dxa"/>
            <w:vAlign w:val="bottom"/>
          </w:tcPr>
          <w:p>
            <w:pPr>
              <w:jc w:val="right"/>
              <w:ind w:right="199"/>
              <w:spacing w:after="0"/>
              <w:rPr>
                <w:sz w:val="20"/>
                <w:szCs w:val="20"/>
                <w:color w:val="auto"/>
              </w:rPr>
            </w:pPr>
            <w:r>
              <w:rPr>
                <w:rFonts w:ascii="Arial" w:cs="Arial" w:eastAsia="Arial" w:hAnsi="Arial"/>
                <w:sz w:val="8"/>
                <w:szCs w:val="8"/>
                <w:b w:val="1"/>
                <w:bCs w:val="1"/>
                <w:color w:val="auto"/>
              </w:rPr>
              <w:t>(1,531,249)</w:t>
            </w:r>
          </w:p>
        </w:tc>
        <w:tc>
          <w:tcPr>
            <w:tcW w:w="70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b w:val="1"/>
                <w:bCs w:val="1"/>
                <w:color w:val="auto"/>
              </w:rPr>
              <w:t>(1,908,070)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6"/>
              </w:rPr>
              <w:t>24.6%</w:t>
            </w: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580" w:type="dxa"/>
            <w:vAlign w:val="bottom"/>
            <w:tcBorders>
              <w:right w:val="single" w:sz="8" w:color="auto"/>
            </w:tcBorders>
          </w:tcPr>
          <w:p>
            <w:pPr>
              <w:spacing w:after="0"/>
              <w:rPr>
                <w:sz w:val="14"/>
                <w:szCs w:val="14"/>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b w:val="1"/>
                <w:bCs w:val="1"/>
                <w:color w:val="auto"/>
              </w:rPr>
              <w:t>Net interest, similar income and expenses, after provision for credit losses</w:t>
            </w:r>
          </w:p>
        </w:tc>
        <w:tc>
          <w:tcPr>
            <w:tcW w:w="1000" w:type="dxa"/>
            <w:vAlign w:val="bottom"/>
            <w:vMerge w:val="restart"/>
          </w:tcPr>
          <w:p>
            <w:pPr>
              <w:jc w:val="right"/>
              <w:ind w:right="159"/>
              <w:spacing w:after="0"/>
              <w:rPr>
                <w:sz w:val="20"/>
                <w:szCs w:val="20"/>
                <w:color w:val="auto"/>
              </w:rPr>
            </w:pPr>
            <w:r>
              <w:rPr>
                <w:rFonts w:ascii="Arial" w:cs="Arial" w:eastAsia="Arial" w:hAnsi="Arial"/>
                <w:sz w:val="8"/>
                <w:szCs w:val="8"/>
                <w:b w:val="1"/>
                <w:bCs w:val="1"/>
                <w:color w:val="auto"/>
              </w:rPr>
              <w:t>2,399,905</w:t>
            </w:r>
          </w:p>
        </w:tc>
        <w:tc>
          <w:tcPr>
            <w:tcW w:w="900" w:type="dxa"/>
            <w:vAlign w:val="bottom"/>
            <w:vMerge w:val="restart"/>
          </w:tcPr>
          <w:p>
            <w:pPr>
              <w:jc w:val="right"/>
              <w:ind w:right="159"/>
              <w:spacing w:after="0"/>
              <w:rPr>
                <w:sz w:val="20"/>
                <w:szCs w:val="20"/>
                <w:color w:val="auto"/>
              </w:rPr>
            </w:pPr>
            <w:r>
              <w:rPr>
                <w:rFonts w:ascii="Arial" w:cs="Arial" w:eastAsia="Arial" w:hAnsi="Arial"/>
                <w:sz w:val="8"/>
                <w:szCs w:val="8"/>
                <w:b w:val="1"/>
                <w:bCs w:val="1"/>
                <w:color w:val="auto"/>
              </w:rPr>
              <w:t>2,611,424</w:t>
            </w:r>
          </w:p>
        </w:tc>
        <w:tc>
          <w:tcPr>
            <w:tcW w:w="740" w:type="dxa"/>
            <w:vAlign w:val="bottom"/>
            <w:tcBorders>
              <w:right w:val="single" w:sz="8" w:color="auto"/>
            </w:tcBorders>
            <w:vMerge w:val="restart"/>
          </w:tcPr>
          <w:p>
            <w:pPr>
              <w:jc w:val="right"/>
              <w:ind w:right="19"/>
              <w:spacing w:after="0"/>
              <w:rPr>
                <w:sz w:val="20"/>
                <w:szCs w:val="20"/>
                <w:color w:val="auto"/>
              </w:rPr>
            </w:pPr>
            <w:r>
              <w:rPr>
                <w:rFonts w:ascii="Arial" w:cs="Arial" w:eastAsia="Arial" w:hAnsi="Arial"/>
                <w:sz w:val="8"/>
                <w:szCs w:val="8"/>
                <w:b w:val="1"/>
                <w:bCs w:val="1"/>
                <w:color w:val="auto"/>
              </w:rPr>
              <w:t>2,375,093</w:t>
            </w:r>
          </w:p>
        </w:tc>
        <w:tc>
          <w:tcPr>
            <w:tcW w:w="620" w:type="dxa"/>
            <w:vAlign w:val="bottom"/>
            <w:vMerge w:val="restart"/>
          </w:tcPr>
          <w:p>
            <w:pPr>
              <w:jc w:val="center"/>
              <w:ind w:left="199"/>
              <w:spacing w:after="0"/>
              <w:rPr>
                <w:sz w:val="20"/>
                <w:szCs w:val="20"/>
                <w:color w:val="auto"/>
              </w:rPr>
            </w:pPr>
            <w:r>
              <w:rPr>
                <w:rFonts w:ascii="Arial" w:cs="Arial" w:eastAsia="Arial" w:hAnsi="Arial"/>
                <w:sz w:val="8"/>
                <w:szCs w:val="8"/>
                <w:b w:val="1"/>
                <w:bCs w:val="1"/>
                <w:color w:val="auto"/>
              </w:rPr>
              <w:t>-9.0%</w:t>
            </w:r>
          </w:p>
        </w:tc>
        <w:tc>
          <w:tcPr>
            <w:tcW w:w="1160" w:type="dxa"/>
            <w:vAlign w:val="bottom"/>
            <w:tcBorders>
              <w:right w:val="single" w:sz="8" w:color="auto"/>
            </w:tcBorders>
            <w:vMerge w:val="restart"/>
          </w:tcPr>
          <w:p>
            <w:pPr>
              <w:jc w:val="center"/>
              <w:ind w:left="199"/>
              <w:spacing w:after="0"/>
              <w:rPr>
                <w:sz w:val="20"/>
                <w:szCs w:val="20"/>
                <w:color w:val="auto"/>
              </w:rPr>
            </w:pPr>
            <w:r>
              <w:rPr>
                <w:rFonts w:ascii="Arial" w:cs="Arial" w:eastAsia="Arial" w:hAnsi="Arial"/>
                <w:sz w:val="8"/>
                <w:szCs w:val="8"/>
                <w:b w:val="1"/>
                <w:bCs w:val="1"/>
                <w:color w:val="auto"/>
                <w:w w:val="95"/>
              </w:rPr>
              <w:t>-1.0%</w:t>
            </w:r>
          </w:p>
        </w:tc>
        <w:tc>
          <w:tcPr>
            <w:tcW w:w="1100" w:type="dxa"/>
            <w:vAlign w:val="bottom"/>
            <w:vMerge w:val="restart"/>
          </w:tcPr>
          <w:p>
            <w:pPr>
              <w:jc w:val="right"/>
              <w:ind w:right="239"/>
              <w:spacing w:after="0"/>
              <w:rPr>
                <w:sz w:val="20"/>
                <w:szCs w:val="20"/>
                <w:color w:val="auto"/>
              </w:rPr>
            </w:pPr>
            <w:r>
              <w:rPr>
                <w:rFonts w:ascii="Arial" w:cs="Arial" w:eastAsia="Arial" w:hAnsi="Arial"/>
                <w:sz w:val="8"/>
                <w:szCs w:val="8"/>
                <w:b w:val="1"/>
                <w:bCs w:val="1"/>
                <w:color w:val="auto"/>
              </w:rPr>
              <w:t>4,804,996</w:t>
            </w:r>
          </w:p>
        </w:tc>
        <w:tc>
          <w:tcPr>
            <w:tcW w:w="700" w:type="dxa"/>
            <w:vAlign w:val="bottom"/>
            <w:tcBorders>
              <w:right w:val="single" w:sz="8" w:color="auto"/>
            </w:tcBorders>
            <w:vMerge w:val="restart"/>
          </w:tcPr>
          <w:p>
            <w:pPr>
              <w:jc w:val="right"/>
              <w:ind w:right="39"/>
              <w:spacing w:after="0"/>
              <w:rPr>
                <w:sz w:val="20"/>
                <w:szCs w:val="20"/>
                <w:color w:val="auto"/>
              </w:rPr>
            </w:pPr>
            <w:r>
              <w:rPr>
                <w:rFonts w:ascii="Arial" w:cs="Arial" w:eastAsia="Arial" w:hAnsi="Arial"/>
                <w:sz w:val="8"/>
                <w:szCs w:val="8"/>
                <w:b w:val="1"/>
                <w:bCs w:val="1"/>
                <w:color w:val="auto"/>
              </w:rPr>
              <w:t>4,986,517</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8"/>
                <w:szCs w:val="8"/>
                <w:b w:val="1"/>
                <w:bCs w:val="1"/>
                <w:color w:val="auto"/>
                <w:w w:val="98"/>
              </w:rPr>
              <w:t>3.8%</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580" w:type="dxa"/>
            <w:vAlign w:val="bottom"/>
            <w:tcBorders>
              <w:right w:val="single" w:sz="8" w:color="auto"/>
            </w:tcBorders>
          </w:tcPr>
          <w:p>
            <w:pPr>
              <w:spacing w:after="0"/>
              <w:rPr>
                <w:sz w:val="5"/>
                <w:szCs w:val="5"/>
                <w:color w:val="auto"/>
              </w:rPr>
            </w:pPr>
          </w:p>
        </w:tc>
        <w:tc>
          <w:tcPr>
            <w:tcW w:w="3040" w:type="dxa"/>
            <w:vAlign w:val="bottom"/>
            <w:tcBorders>
              <w:right w:val="single" w:sz="8" w:color="auto"/>
            </w:tcBorders>
            <w:vMerge w:val="restart"/>
          </w:tcPr>
          <w:p>
            <w:pPr>
              <w:ind w:left="20"/>
              <w:spacing w:after="0"/>
              <w:rPr>
                <w:sz w:val="20"/>
                <w:szCs w:val="20"/>
                <w:color w:val="auto"/>
              </w:rPr>
            </w:pPr>
            <w:r>
              <w:rPr>
                <w:rFonts w:ascii="Arial" w:cs="Arial" w:eastAsia="Arial" w:hAnsi="Arial"/>
                <w:sz w:val="8"/>
                <w:szCs w:val="8"/>
                <w:b w:val="1"/>
                <w:bCs w:val="1"/>
                <w:color w:val="auto"/>
              </w:rPr>
              <w:t>on loan portfolio</w:t>
            </w:r>
          </w:p>
        </w:tc>
        <w:tc>
          <w:tcPr>
            <w:tcW w:w="10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40" w:type="dxa"/>
            <w:vAlign w:val="bottom"/>
            <w:tcBorders>
              <w:right w:val="single" w:sz="8" w:color="auto"/>
            </w:tcBorders>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160" w:type="dxa"/>
            <w:vAlign w:val="bottom"/>
            <w:tcBorders>
              <w:right w:val="single" w:sz="8" w:color="auto"/>
            </w:tcBorders>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880" w:type="dxa"/>
            <w:vAlign w:val="bottom"/>
            <w:tcBorders>
              <w:right w:val="single" w:sz="8" w:color="auto"/>
            </w:tcBorders>
            <w:vMerge w:val="continue"/>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580" w:type="dxa"/>
            <w:vAlign w:val="bottom"/>
            <w:tcBorders>
              <w:right w:val="single" w:sz="8" w:color="auto"/>
            </w:tcBorders>
          </w:tcPr>
          <w:p>
            <w:pPr>
              <w:spacing w:after="0"/>
              <w:rPr>
                <w:sz w:val="4"/>
                <w:szCs w:val="4"/>
                <w:color w:val="auto"/>
              </w:rPr>
            </w:pPr>
          </w:p>
        </w:tc>
        <w:tc>
          <w:tcPr>
            <w:tcW w:w="3040" w:type="dxa"/>
            <w:vAlign w:val="bottom"/>
            <w:tcBorders>
              <w:right w:val="single" w:sz="8" w:color="auto"/>
            </w:tcBorders>
            <w:vMerge w:val="continue"/>
          </w:tcPr>
          <w:p>
            <w:pPr>
              <w:spacing w:after="0"/>
              <w:rPr>
                <w:sz w:val="4"/>
                <w:szCs w:val="4"/>
                <w:color w:val="auto"/>
              </w:rPr>
            </w:pPr>
          </w:p>
        </w:tc>
        <w:tc>
          <w:tcPr>
            <w:tcW w:w="10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580" w:type="dxa"/>
            <w:vAlign w:val="bottom"/>
            <w:tcBorders>
              <w:right w:val="single" w:sz="8" w:color="auto"/>
            </w:tcBorders>
          </w:tcPr>
          <w:p>
            <w:pPr>
              <w:spacing w:after="0"/>
              <w:rPr>
                <w:sz w:val="14"/>
                <w:szCs w:val="14"/>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b w:val="1"/>
                <w:bCs w:val="1"/>
                <w:color w:val="auto"/>
              </w:rPr>
              <w:t>Other income</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580" w:type="dxa"/>
            <w:vAlign w:val="bottom"/>
            <w:tcBorders>
              <w:right w:val="single" w:sz="8" w:color="auto"/>
            </w:tcBorders>
          </w:tcPr>
          <w:p>
            <w:pPr>
              <w:spacing w:after="0"/>
              <w:rPr>
                <w:sz w:val="8"/>
                <w:szCs w:val="8"/>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Fee income</w:t>
            </w:r>
          </w:p>
        </w:tc>
        <w:tc>
          <w:tcPr>
            <w:tcW w:w="1000" w:type="dxa"/>
            <w:vAlign w:val="bottom"/>
          </w:tcPr>
          <w:p>
            <w:pPr>
              <w:jc w:val="right"/>
              <w:ind w:right="159"/>
              <w:spacing w:after="0"/>
              <w:rPr>
                <w:sz w:val="20"/>
                <w:szCs w:val="20"/>
                <w:color w:val="auto"/>
              </w:rPr>
            </w:pPr>
            <w:r>
              <w:rPr>
                <w:rFonts w:ascii="Arial" w:cs="Arial" w:eastAsia="Arial" w:hAnsi="Arial"/>
                <w:sz w:val="8"/>
                <w:szCs w:val="8"/>
                <w:color w:val="auto"/>
              </w:rPr>
              <w:t>960,550</w:t>
            </w:r>
          </w:p>
        </w:tc>
        <w:tc>
          <w:tcPr>
            <w:tcW w:w="900" w:type="dxa"/>
            <w:vAlign w:val="bottom"/>
          </w:tcPr>
          <w:p>
            <w:pPr>
              <w:jc w:val="right"/>
              <w:ind w:right="159"/>
              <w:spacing w:after="0"/>
              <w:rPr>
                <w:sz w:val="20"/>
                <w:szCs w:val="20"/>
                <w:color w:val="auto"/>
              </w:rPr>
            </w:pPr>
            <w:r>
              <w:rPr>
                <w:rFonts w:ascii="Arial" w:cs="Arial" w:eastAsia="Arial" w:hAnsi="Arial"/>
                <w:sz w:val="8"/>
                <w:szCs w:val="8"/>
                <w:color w:val="auto"/>
              </w:rPr>
              <w:t>1,062,501</w:t>
            </w:r>
          </w:p>
        </w:tc>
        <w:tc>
          <w:tcPr>
            <w:tcW w:w="74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color w:val="auto"/>
              </w:rPr>
              <w:t>1,148,830</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8"/>
              </w:rPr>
              <w:t>8.1%</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19.6%</w:t>
            </w:r>
          </w:p>
        </w:tc>
        <w:tc>
          <w:tcPr>
            <w:tcW w:w="1100" w:type="dxa"/>
            <w:vAlign w:val="bottom"/>
          </w:tcPr>
          <w:p>
            <w:pPr>
              <w:jc w:val="right"/>
              <w:ind w:right="239"/>
              <w:spacing w:after="0"/>
              <w:rPr>
                <w:sz w:val="20"/>
                <w:szCs w:val="20"/>
                <w:color w:val="auto"/>
              </w:rPr>
            </w:pPr>
            <w:r>
              <w:rPr>
                <w:rFonts w:ascii="Arial" w:cs="Arial" w:eastAsia="Arial" w:hAnsi="Arial"/>
                <w:sz w:val="8"/>
                <w:szCs w:val="8"/>
                <w:color w:val="auto"/>
              </w:rPr>
              <w:t>1,842,331</w:t>
            </w:r>
          </w:p>
        </w:tc>
        <w:tc>
          <w:tcPr>
            <w:tcW w:w="70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2,211,331</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20.0%</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80" w:type="dxa"/>
            <w:vAlign w:val="bottom"/>
            <w:tcBorders>
              <w:right w:val="single" w:sz="8" w:color="auto"/>
            </w:tcBorders>
          </w:tcPr>
          <w:p>
            <w:pPr>
              <w:spacing w:after="0"/>
              <w:rPr>
                <w:sz w:val="8"/>
                <w:szCs w:val="8"/>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Net gain on foreign exchange transactions</w:t>
            </w:r>
          </w:p>
        </w:tc>
        <w:tc>
          <w:tcPr>
            <w:tcW w:w="1000" w:type="dxa"/>
            <w:vAlign w:val="bottom"/>
          </w:tcPr>
          <w:p>
            <w:pPr>
              <w:jc w:val="right"/>
              <w:ind w:right="159"/>
              <w:spacing w:after="0"/>
              <w:rPr>
                <w:sz w:val="20"/>
                <w:szCs w:val="20"/>
                <w:color w:val="auto"/>
              </w:rPr>
            </w:pPr>
            <w:r>
              <w:rPr>
                <w:rFonts w:ascii="Arial" w:cs="Arial" w:eastAsia="Arial" w:hAnsi="Arial"/>
                <w:sz w:val="8"/>
                <w:szCs w:val="8"/>
                <w:color w:val="auto"/>
              </w:rPr>
              <w:t>210,944</w:t>
            </w:r>
          </w:p>
        </w:tc>
        <w:tc>
          <w:tcPr>
            <w:tcW w:w="900" w:type="dxa"/>
            <w:vAlign w:val="bottom"/>
          </w:tcPr>
          <w:p>
            <w:pPr>
              <w:jc w:val="right"/>
              <w:ind w:right="159"/>
              <w:spacing w:after="0"/>
              <w:rPr>
                <w:sz w:val="20"/>
                <w:szCs w:val="20"/>
                <w:color w:val="auto"/>
              </w:rPr>
            </w:pPr>
            <w:r>
              <w:rPr>
                <w:rFonts w:ascii="Arial" w:cs="Arial" w:eastAsia="Arial" w:hAnsi="Arial"/>
                <w:sz w:val="8"/>
                <w:szCs w:val="8"/>
                <w:color w:val="auto"/>
              </w:rPr>
              <w:t>166,269</w:t>
            </w:r>
          </w:p>
        </w:tc>
        <w:tc>
          <w:tcPr>
            <w:tcW w:w="74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color w:val="auto"/>
              </w:rPr>
              <w:t>217,896</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6"/>
              </w:rPr>
              <w:t>31.1%</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3.3%</w:t>
            </w:r>
          </w:p>
        </w:tc>
        <w:tc>
          <w:tcPr>
            <w:tcW w:w="1100" w:type="dxa"/>
            <w:vAlign w:val="bottom"/>
          </w:tcPr>
          <w:p>
            <w:pPr>
              <w:jc w:val="right"/>
              <w:ind w:right="239"/>
              <w:spacing w:after="0"/>
              <w:rPr>
                <w:sz w:val="20"/>
                <w:szCs w:val="20"/>
                <w:color w:val="auto"/>
              </w:rPr>
            </w:pPr>
            <w:r>
              <w:rPr>
                <w:rFonts w:ascii="Arial" w:cs="Arial" w:eastAsia="Arial" w:hAnsi="Arial"/>
                <w:sz w:val="8"/>
                <w:szCs w:val="8"/>
                <w:color w:val="auto"/>
              </w:rPr>
              <w:t>459,459</w:t>
            </w:r>
          </w:p>
        </w:tc>
        <w:tc>
          <w:tcPr>
            <w:tcW w:w="70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384,165</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-16.4%</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80" w:type="dxa"/>
            <w:vAlign w:val="bottom"/>
            <w:tcBorders>
              <w:right w:val="single" w:sz="8" w:color="auto"/>
            </w:tcBorders>
          </w:tcPr>
          <w:p>
            <w:pPr>
              <w:spacing w:after="0"/>
              <w:rPr>
                <w:sz w:val="8"/>
                <w:szCs w:val="8"/>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Net loss on securities</w:t>
            </w:r>
          </w:p>
        </w:tc>
        <w:tc>
          <w:tcPr>
            <w:tcW w:w="1000" w:type="dxa"/>
            <w:vAlign w:val="bottom"/>
          </w:tcPr>
          <w:p>
            <w:pPr>
              <w:jc w:val="right"/>
              <w:ind w:right="159"/>
              <w:spacing w:after="0"/>
              <w:rPr>
                <w:sz w:val="20"/>
                <w:szCs w:val="20"/>
                <w:color w:val="auto"/>
              </w:rPr>
            </w:pPr>
            <w:r>
              <w:rPr>
                <w:rFonts w:ascii="Arial" w:cs="Arial" w:eastAsia="Arial" w:hAnsi="Arial"/>
                <w:sz w:val="8"/>
                <w:szCs w:val="8"/>
                <w:color w:val="auto"/>
              </w:rPr>
              <w:t>68,603</w:t>
            </w:r>
          </w:p>
        </w:tc>
        <w:tc>
          <w:tcPr>
            <w:tcW w:w="900" w:type="dxa"/>
            <w:vAlign w:val="bottom"/>
          </w:tcPr>
          <w:p>
            <w:pPr>
              <w:jc w:val="right"/>
              <w:ind w:right="159"/>
              <w:spacing w:after="0"/>
              <w:rPr>
                <w:sz w:val="20"/>
                <w:szCs w:val="20"/>
                <w:color w:val="auto"/>
              </w:rPr>
            </w:pPr>
            <w:r>
              <w:rPr>
                <w:rFonts w:ascii="Arial" w:cs="Arial" w:eastAsia="Arial" w:hAnsi="Arial"/>
                <w:sz w:val="8"/>
                <w:szCs w:val="8"/>
                <w:color w:val="auto"/>
              </w:rPr>
              <w:t>61,745</w:t>
            </w:r>
          </w:p>
        </w:tc>
        <w:tc>
          <w:tcPr>
            <w:tcW w:w="74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color w:val="auto"/>
              </w:rPr>
              <w:t>92,711</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6"/>
              </w:rPr>
              <w:t>50.2%</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35.1%</w:t>
            </w:r>
          </w:p>
        </w:tc>
        <w:tc>
          <w:tcPr>
            <w:tcW w:w="1100" w:type="dxa"/>
            <w:vAlign w:val="bottom"/>
          </w:tcPr>
          <w:p>
            <w:pPr>
              <w:jc w:val="right"/>
              <w:ind w:right="239"/>
              <w:spacing w:after="0"/>
              <w:rPr>
                <w:sz w:val="20"/>
                <w:szCs w:val="20"/>
                <w:color w:val="auto"/>
              </w:rPr>
            </w:pPr>
            <w:r>
              <w:rPr>
                <w:rFonts w:ascii="Arial" w:cs="Arial" w:eastAsia="Arial" w:hAnsi="Arial"/>
                <w:sz w:val="8"/>
                <w:szCs w:val="8"/>
                <w:color w:val="auto"/>
              </w:rPr>
              <w:t>138,639</w:t>
            </w:r>
          </w:p>
        </w:tc>
        <w:tc>
          <w:tcPr>
            <w:tcW w:w="70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154,456</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11.4%</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80" w:type="dxa"/>
            <w:vAlign w:val="bottom"/>
            <w:tcBorders>
              <w:right w:val="single" w:sz="8" w:color="auto"/>
            </w:tcBorders>
          </w:tcPr>
          <w:p>
            <w:pPr>
              <w:spacing w:after="0"/>
              <w:rPr>
                <w:sz w:val="8"/>
                <w:szCs w:val="8"/>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Net gain from associates</w:t>
            </w:r>
          </w:p>
        </w:tc>
        <w:tc>
          <w:tcPr>
            <w:tcW w:w="1000" w:type="dxa"/>
            <w:vAlign w:val="bottom"/>
          </w:tcPr>
          <w:p>
            <w:pPr>
              <w:jc w:val="right"/>
              <w:ind w:right="159"/>
              <w:spacing w:after="0"/>
              <w:rPr>
                <w:sz w:val="20"/>
                <w:szCs w:val="20"/>
                <w:color w:val="auto"/>
              </w:rPr>
            </w:pPr>
            <w:r>
              <w:rPr>
                <w:rFonts w:ascii="Arial" w:cs="Arial" w:eastAsia="Arial" w:hAnsi="Arial"/>
                <w:sz w:val="8"/>
                <w:szCs w:val="8"/>
                <w:color w:val="auto"/>
              </w:rPr>
              <w:t>23,689</w:t>
            </w:r>
          </w:p>
        </w:tc>
        <w:tc>
          <w:tcPr>
            <w:tcW w:w="900" w:type="dxa"/>
            <w:vAlign w:val="bottom"/>
          </w:tcPr>
          <w:p>
            <w:pPr>
              <w:jc w:val="right"/>
              <w:ind w:right="159"/>
              <w:spacing w:after="0"/>
              <w:rPr>
                <w:sz w:val="20"/>
                <w:szCs w:val="20"/>
                <w:color w:val="auto"/>
              </w:rPr>
            </w:pPr>
            <w:r>
              <w:rPr>
                <w:rFonts w:ascii="Arial" w:cs="Arial" w:eastAsia="Arial" w:hAnsi="Arial"/>
                <w:sz w:val="8"/>
                <w:szCs w:val="8"/>
                <w:color w:val="auto"/>
              </w:rPr>
              <w:t>32,295</w:t>
            </w:r>
          </w:p>
        </w:tc>
        <w:tc>
          <w:tcPr>
            <w:tcW w:w="74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color w:val="auto"/>
              </w:rPr>
              <w:t>28,728</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rPr>
              <w:t>-11.0%</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21.3%</w:t>
            </w:r>
          </w:p>
        </w:tc>
        <w:tc>
          <w:tcPr>
            <w:tcW w:w="1100" w:type="dxa"/>
            <w:vAlign w:val="bottom"/>
          </w:tcPr>
          <w:p>
            <w:pPr>
              <w:jc w:val="right"/>
              <w:ind w:right="239"/>
              <w:spacing w:after="0"/>
              <w:rPr>
                <w:sz w:val="20"/>
                <w:szCs w:val="20"/>
                <w:color w:val="auto"/>
              </w:rPr>
            </w:pPr>
            <w:r>
              <w:rPr>
                <w:rFonts w:ascii="Arial" w:cs="Arial" w:eastAsia="Arial" w:hAnsi="Arial"/>
                <w:sz w:val="8"/>
                <w:szCs w:val="8"/>
                <w:color w:val="auto"/>
              </w:rPr>
              <w:t>50,901</w:t>
            </w:r>
          </w:p>
        </w:tc>
        <w:tc>
          <w:tcPr>
            <w:tcW w:w="70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61,023</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19.9%</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80" w:type="dxa"/>
            <w:vAlign w:val="bottom"/>
            <w:tcBorders>
              <w:right w:val="single" w:sz="8" w:color="auto"/>
            </w:tcBorders>
          </w:tcPr>
          <w:p>
            <w:pPr>
              <w:spacing w:after="0"/>
              <w:rPr>
                <w:sz w:val="8"/>
                <w:szCs w:val="8"/>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Net gain (loss) on derivatives held for trading</w:t>
            </w:r>
          </w:p>
        </w:tc>
        <w:tc>
          <w:tcPr>
            <w:tcW w:w="1000" w:type="dxa"/>
            <w:vAlign w:val="bottom"/>
          </w:tcPr>
          <w:p>
            <w:pPr>
              <w:jc w:val="right"/>
              <w:ind w:right="159"/>
              <w:spacing w:after="0"/>
              <w:rPr>
                <w:sz w:val="20"/>
                <w:szCs w:val="20"/>
                <w:color w:val="auto"/>
              </w:rPr>
            </w:pPr>
            <w:r>
              <w:rPr>
                <w:rFonts w:ascii="Arial" w:cs="Arial" w:eastAsia="Arial" w:hAnsi="Arial"/>
                <w:sz w:val="8"/>
                <w:szCs w:val="8"/>
                <w:color w:val="auto"/>
              </w:rPr>
              <w:t>16,671</w:t>
            </w:r>
          </w:p>
        </w:tc>
        <w:tc>
          <w:tcPr>
            <w:tcW w:w="900" w:type="dxa"/>
            <w:vAlign w:val="bottom"/>
          </w:tcPr>
          <w:p>
            <w:pPr>
              <w:jc w:val="right"/>
              <w:ind w:right="159"/>
              <w:spacing w:after="0"/>
              <w:rPr>
                <w:sz w:val="20"/>
                <w:szCs w:val="20"/>
                <w:color w:val="auto"/>
              </w:rPr>
            </w:pPr>
            <w:r>
              <w:rPr>
                <w:rFonts w:ascii="Arial" w:cs="Arial" w:eastAsia="Arial" w:hAnsi="Arial"/>
                <w:sz w:val="8"/>
                <w:szCs w:val="8"/>
                <w:color w:val="auto"/>
              </w:rPr>
              <w:t>39,984</w:t>
            </w:r>
          </w:p>
        </w:tc>
        <w:tc>
          <w:tcPr>
            <w:tcW w:w="74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color w:val="auto"/>
              </w:rPr>
              <w:t>41,748</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8"/>
              </w:rPr>
              <w:t>4.4%</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150.4%</w:t>
            </w:r>
          </w:p>
        </w:tc>
        <w:tc>
          <w:tcPr>
            <w:tcW w:w="1100" w:type="dxa"/>
            <w:vAlign w:val="bottom"/>
          </w:tcPr>
          <w:p>
            <w:pPr>
              <w:jc w:val="right"/>
              <w:ind w:right="239"/>
              <w:spacing w:after="0"/>
              <w:rPr>
                <w:sz w:val="20"/>
                <w:szCs w:val="20"/>
                <w:color w:val="auto"/>
              </w:rPr>
            </w:pPr>
            <w:r>
              <w:rPr>
                <w:rFonts w:ascii="Arial" w:cs="Arial" w:eastAsia="Arial" w:hAnsi="Arial"/>
                <w:sz w:val="8"/>
                <w:szCs w:val="8"/>
                <w:color w:val="auto"/>
              </w:rPr>
              <w:t>10,101</w:t>
            </w:r>
          </w:p>
        </w:tc>
        <w:tc>
          <w:tcPr>
            <w:tcW w:w="70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81,732</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709.1%</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80" w:type="dxa"/>
            <w:vAlign w:val="bottom"/>
            <w:tcBorders>
              <w:right w:val="single" w:sz="8" w:color="auto"/>
            </w:tcBorders>
          </w:tcPr>
          <w:p>
            <w:pPr>
              <w:spacing w:after="0"/>
              <w:rPr>
                <w:sz w:val="8"/>
                <w:szCs w:val="8"/>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Net gain (loss) from exchange differences</w:t>
            </w:r>
          </w:p>
        </w:tc>
        <w:tc>
          <w:tcPr>
            <w:tcW w:w="1000" w:type="dxa"/>
            <w:vAlign w:val="bottom"/>
          </w:tcPr>
          <w:p>
            <w:pPr>
              <w:jc w:val="right"/>
              <w:ind w:right="159"/>
              <w:spacing w:after="0"/>
              <w:rPr>
                <w:sz w:val="20"/>
                <w:szCs w:val="20"/>
                <w:color w:val="auto"/>
              </w:rPr>
            </w:pPr>
            <w:r>
              <w:rPr>
                <w:rFonts w:ascii="Arial" w:cs="Arial" w:eastAsia="Arial" w:hAnsi="Arial"/>
                <w:sz w:val="8"/>
                <w:szCs w:val="8"/>
                <w:color w:val="auto"/>
              </w:rPr>
              <w:t>2,996</w:t>
            </w:r>
          </w:p>
        </w:tc>
        <w:tc>
          <w:tcPr>
            <w:tcW w:w="900" w:type="dxa"/>
            <w:vAlign w:val="bottom"/>
          </w:tcPr>
          <w:p>
            <w:pPr>
              <w:jc w:val="right"/>
              <w:ind w:right="139"/>
              <w:spacing w:after="0"/>
              <w:rPr>
                <w:sz w:val="20"/>
                <w:szCs w:val="20"/>
                <w:color w:val="auto"/>
              </w:rPr>
            </w:pPr>
            <w:r>
              <w:rPr>
                <w:rFonts w:ascii="Arial" w:cs="Arial" w:eastAsia="Arial" w:hAnsi="Arial"/>
                <w:sz w:val="8"/>
                <w:szCs w:val="8"/>
                <w:color w:val="auto"/>
              </w:rPr>
              <w:t>(5,621)</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(7,933)</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6"/>
              </w:rPr>
              <w:t>41.1%</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-364.8%</w:t>
            </w:r>
          </w:p>
        </w:tc>
        <w:tc>
          <w:tcPr>
            <w:tcW w:w="1100" w:type="dxa"/>
            <w:vAlign w:val="bottom"/>
          </w:tcPr>
          <w:p>
            <w:pPr>
              <w:jc w:val="right"/>
              <w:ind w:right="239"/>
              <w:spacing w:after="0"/>
              <w:rPr>
                <w:sz w:val="20"/>
                <w:szCs w:val="20"/>
                <w:color w:val="auto"/>
              </w:rPr>
            </w:pPr>
            <w:r>
              <w:rPr>
                <w:rFonts w:ascii="Arial" w:cs="Arial" w:eastAsia="Arial" w:hAnsi="Arial"/>
                <w:sz w:val="8"/>
                <w:szCs w:val="8"/>
                <w:color w:val="auto"/>
              </w:rPr>
              <w:t>25,959</w:t>
            </w:r>
          </w:p>
        </w:tc>
        <w:tc>
          <w:tcPr>
            <w:tcW w:w="70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color w:val="auto"/>
              </w:rPr>
              <w:t>(13,554)</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-152.2%</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80" w:type="dxa"/>
            <w:vAlign w:val="bottom"/>
            <w:tcBorders>
              <w:right w:val="single" w:sz="8" w:color="auto"/>
            </w:tcBorders>
          </w:tcPr>
          <w:p>
            <w:pPr>
              <w:spacing w:after="0"/>
              <w:rPr>
                <w:sz w:val="8"/>
                <w:szCs w:val="8"/>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Others</w:t>
            </w:r>
          </w:p>
        </w:tc>
        <w:tc>
          <w:tcPr>
            <w:tcW w:w="1000" w:type="dxa"/>
            <w:vAlign w:val="bottom"/>
          </w:tcPr>
          <w:p>
            <w:pPr>
              <w:jc w:val="right"/>
              <w:ind w:right="159"/>
              <w:spacing w:after="0"/>
              <w:rPr>
                <w:sz w:val="20"/>
                <w:szCs w:val="20"/>
                <w:color w:val="auto"/>
              </w:rPr>
            </w:pPr>
            <w:r>
              <w:rPr>
                <w:rFonts w:ascii="Arial" w:cs="Arial" w:eastAsia="Arial" w:hAnsi="Arial"/>
                <w:sz w:val="8"/>
                <w:szCs w:val="8"/>
                <w:color w:val="auto"/>
              </w:rPr>
              <w:t>149,671</w:t>
            </w:r>
          </w:p>
        </w:tc>
        <w:tc>
          <w:tcPr>
            <w:tcW w:w="900" w:type="dxa"/>
            <w:vAlign w:val="bottom"/>
          </w:tcPr>
          <w:p>
            <w:pPr>
              <w:jc w:val="right"/>
              <w:ind w:right="159"/>
              <w:spacing w:after="0"/>
              <w:rPr>
                <w:sz w:val="20"/>
                <w:szCs w:val="20"/>
                <w:color w:val="auto"/>
              </w:rPr>
            </w:pPr>
            <w:r>
              <w:rPr>
                <w:rFonts w:ascii="Arial" w:cs="Arial" w:eastAsia="Arial" w:hAnsi="Arial"/>
                <w:sz w:val="8"/>
                <w:szCs w:val="8"/>
                <w:color w:val="auto"/>
              </w:rPr>
              <w:t>102,221</w:t>
            </w:r>
          </w:p>
        </w:tc>
        <w:tc>
          <w:tcPr>
            <w:tcW w:w="74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color w:val="auto"/>
              </w:rPr>
              <w:t>139,499</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6"/>
              </w:rPr>
              <w:t>36.5%</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w w:val="95"/>
              </w:rPr>
              <w:t>-6.8%</w:t>
            </w:r>
          </w:p>
        </w:tc>
        <w:tc>
          <w:tcPr>
            <w:tcW w:w="1100" w:type="dxa"/>
            <w:vAlign w:val="bottom"/>
          </w:tcPr>
          <w:p>
            <w:pPr>
              <w:jc w:val="right"/>
              <w:ind w:right="239"/>
              <w:spacing w:after="0"/>
              <w:rPr>
                <w:sz w:val="20"/>
                <w:szCs w:val="20"/>
                <w:color w:val="auto"/>
              </w:rPr>
            </w:pPr>
            <w:r>
              <w:rPr>
                <w:rFonts w:ascii="Arial" w:cs="Arial" w:eastAsia="Arial" w:hAnsi="Arial"/>
                <w:sz w:val="8"/>
                <w:szCs w:val="8"/>
                <w:color w:val="auto"/>
              </w:rPr>
              <w:t>239,009</w:t>
            </w:r>
          </w:p>
        </w:tc>
        <w:tc>
          <w:tcPr>
            <w:tcW w:w="70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241,720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1.1%</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580" w:type="dxa"/>
            <w:vAlign w:val="bottom"/>
            <w:tcBorders>
              <w:right w:val="single" w:sz="8" w:color="auto"/>
            </w:tcBorders>
          </w:tcPr>
          <w:p>
            <w:pPr>
              <w:spacing w:after="0"/>
              <w:rPr>
                <w:sz w:val="9"/>
                <w:szCs w:val="9"/>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b w:val="1"/>
                <w:bCs w:val="1"/>
                <w:color w:val="auto"/>
              </w:rPr>
              <w:t>Total other income</w:t>
            </w:r>
          </w:p>
        </w:tc>
        <w:tc>
          <w:tcPr>
            <w:tcW w:w="1000" w:type="dxa"/>
            <w:vAlign w:val="bottom"/>
          </w:tcPr>
          <w:p>
            <w:pPr>
              <w:jc w:val="right"/>
              <w:ind w:right="159"/>
              <w:spacing w:after="0"/>
              <w:rPr>
                <w:sz w:val="20"/>
                <w:szCs w:val="20"/>
                <w:color w:val="auto"/>
              </w:rPr>
            </w:pPr>
            <w:r>
              <w:rPr>
                <w:rFonts w:ascii="Arial" w:cs="Arial" w:eastAsia="Arial" w:hAnsi="Arial"/>
                <w:sz w:val="8"/>
                <w:szCs w:val="8"/>
                <w:b w:val="1"/>
                <w:bCs w:val="1"/>
                <w:color w:val="auto"/>
              </w:rPr>
              <w:t>1,433,124</w:t>
            </w:r>
          </w:p>
        </w:tc>
        <w:tc>
          <w:tcPr>
            <w:tcW w:w="900" w:type="dxa"/>
            <w:vAlign w:val="bottom"/>
          </w:tcPr>
          <w:p>
            <w:pPr>
              <w:jc w:val="right"/>
              <w:ind w:right="159"/>
              <w:spacing w:after="0"/>
              <w:rPr>
                <w:sz w:val="20"/>
                <w:szCs w:val="20"/>
                <w:color w:val="auto"/>
              </w:rPr>
            </w:pPr>
            <w:r>
              <w:rPr>
                <w:rFonts w:ascii="Arial" w:cs="Arial" w:eastAsia="Arial" w:hAnsi="Arial"/>
                <w:sz w:val="8"/>
                <w:szCs w:val="8"/>
                <w:b w:val="1"/>
                <w:bCs w:val="1"/>
                <w:color w:val="auto"/>
              </w:rPr>
              <w:t>1,459,394</w:t>
            </w:r>
          </w:p>
        </w:tc>
        <w:tc>
          <w:tcPr>
            <w:tcW w:w="74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b w:val="1"/>
                <w:bCs w:val="1"/>
                <w:color w:val="auto"/>
              </w:rPr>
              <w:t>1,661,479</w:t>
            </w:r>
          </w:p>
        </w:tc>
        <w:tc>
          <w:tcPr>
            <w:tcW w:w="620" w:type="dxa"/>
            <w:vAlign w:val="bottom"/>
          </w:tcPr>
          <w:p>
            <w:pPr>
              <w:jc w:val="center"/>
              <w:ind w:left="199"/>
              <w:spacing w:after="0"/>
              <w:rPr>
                <w:sz w:val="20"/>
                <w:szCs w:val="20"/>
                <w:color w:val="auto"/>
              </w:rPr>
            </w:pPr>
            <w:r>
              <w:rPr>
                <w:rFonts w:ascii="Arial" w:cs="Arial" w:eastAsia="Arial" w:hAnsi="Arial"/>
                <w:sz w:val="8"/>
                <w:szCs w:val="8"/>
                <w:b w:val="1"/>
                <w:bCs w:val="1"/>
                <w:color w:val="auto"/>
                <w:w w:val="96"/>
              </w:rPr>
              <w:t>13.8%</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b w:val="1"/>
                <w:bCs w:val="1"/>
                <w:color w:val="auto"/>
              </w:rPr>
              <w:t>15.9%</w:t>
            </w:r>
          </w:p>
        </w:tc>
        <w:tc>
          <w:tcPr>
            <w:tcW w:w="1100" w:type="dxa"/>
            <w:vAlign w:val="bottom"/>
          </w:tcPr>
          <w:p>
            <w:pPr>
              <w:jc w:val="right"/>
              <w:ind w:right="239"/>
              <w:spacing w:after="0"/>
              <w:rPr>
                <w:sz w:val="20"/>
                <w:szCs w:val="20"/>
                <w:color w:val="auto"/>
              </w:rPr>
            </w:pPr>
            <w:r>
              <w:rPr>
                <w:rFonts w:ascii="Arial" w:cs="Arial" w:eastAsia="Arial" w:hAnsi="Arial"/>
                <w:sz w:val="8"/>
                <w:szCs w:val="8"/>
                <w:b w:val="1"/>
                <w:bCs w:val="1"/>
                <w:color w:val="auto"/>
              </w:rPr>
              <w:t>2,766,399</w:t>
            </w:r>
          </w:p>
        </w:tc>
        <w:tc>
          <w:tcPr>
            <w:tcW w:w="70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b w:val="1"/>
                <w:bCs w:val="1"/>
                <w:color w:val="auto"/>
              </w:rPr>
              <w:t>3,120,873</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6"/>
              </w:rPr>
              <w:t>12.8%</w:t>
            </w: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580" w:type="dxa"/>
            <w:vAlign w:val="bottom"/>
            <w:tcBorders>
              <w:right w:val="single" w:sz="8" w:color="auto"/>
            </w:tcBorders>
          </w:tcPr>
          <w:p>
            <w:pPr>
              <w:spacing w:after="0"/>
              <w:rPr>
                <w:sz w:val="14"/>
                <w:szCs w:val="14"/>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b w:val="1"/>
                <w:bCs w:val="1"/>
                <w:color w:val="auto"/>
              </w:rPr>
              <w:t>Insurance underwriting result</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580" w:type="dxa"/>
            <w:vAlign w:val="bottom"/>
            <w:tcBorders>
              <w:right w:val="single" w:sz="8" w:color="auto"/>
            </w:tcBorders>
          </w:tcPr>
          <w:p>
            <w:pPr>
              <w:spacing w:after="0"/>
              <w:rPr>
                <w:sz w:val="8"/>
                <w:szCs w:val="8"/>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Insurance Service Result</w:t>
            </w:r>
          </w:p>
        </w:tc>
        <w:tc>
          <w:tcPr>
            <w:tcW w:w="1000" w:type="dxa"/>
            <w:vAlign w:val="bottom"/>
          </w:tcPr>
          <w:p>
            <w:pPr>
              <w:jc w:val="right"/>
              <w:ind w:right="159"/>
              <w:spacing w:after="0"/>
              <w:rPr>
                <w:sz w:val="20"/>
                <w:szCs w:val="20"/>
                <w:color w:val="auto"/>
              </w:rPr>
            </w:pPr>
            <w:r>
              <w:rPr>
                <w:rFonts w:ascii="Arial" w:cs="Arial" w:eastAsia="Arial" w:hAnsi="Arial"/>
                <w:sz w:val="8"/>
                <w:szCs w:val="8"/>
                <w:color w:val="auto"/>
              </w:rPr>
              <w:t>393,487</w:t>
            </w:r>
          </w:p>
        </w:tc>
        <w:tc>
          <w:tcPr>
            <w:tcW w:w="900" w:type="dxa"/>
            <w:vAlign w:val="bottom"/>
          </w:tcPr>
          <w:p>
            <w:pPr>
              <w:jc w:val="right"/>
              <w:ind w:right="159"/>
              <w:spacing w:after="0"/>
              <w:rPr>
                <w:sz w:val="20"/>
                <w:szCs w:val="20"/>
                <w:color w:val="auto"/>
              </w:rPr>
            </w:pPr>
            <w:r>
              <w:rPr>
                <w:rFonts w:ascii="Arial" w:cs="Arial" w:eastAsia="Arial" w:hAnsi="Arial"/>
                <w:sz w:val="8"/>
                <w:szCs w:val="8"/>
                <w:color w:val="auto"/>
              </w:rPr>
              <w:t>458,997</w:t>
            </w:r>
          </w:p>
        </w:tc>
        <w:tc>
          <w:tcPr>
            <w:tcW w:w="74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color w:val="auto"/>
              </w:rPr>
              <w:t>407,666</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rPr>
              <w:t>-11.2%</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3.6%</w:t>
            </w:r>
          </w:p>
        </w:tc>
        <w:tc>
          <w:tcPr>
            <w:tcW w:w="1100" w:type="dxa"/>
            <w:vAlign w:val="bottom"/>
          </w:tcPr>
          <w:p>
            <w:pPr>
              <w:jc w:val="right"/>
              <w:ind w:right="239"/>
              <w:spacing w:after="0"/>
              <w:rPr>
                <w:sz w:val="20"/>
                <w:szCs w:val="20"/>
                <w:color w:val="auto"/>
              </w:rPr>
            </w:pPr>
            <w:r>
              <w:rPr>
                <w:rFonts w:ascii="Arial" w:cs="Arial" w:eastAsia="Arial" w:hAnsi="Arial"/>
                <w:sz w:val="8"/>
                <w:szCs w:val="8"/>
                <w:color w:val="auto"/>
              </w:rPr>
              <w:t>800,364</w:t>
            </w:r>
          </w:p>
        </w:tc>
        <w:tc>
          <w:tcPr>
            <w:tcW w:w="70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866,663</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8.3%</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80" w:type="dxa"/>
            <w:vAlign w:val="bottom"/>
            <w:tcBorders>
              <w:right w:val="single" w:sz="8" w:color="auto"/>
            </w:tcBorders>
          </w:tcPr>
          <w:p>
            <w:pPr>
              <w:spacing w:after="0"/>
              <w:rPr>
                <w:sz w:val="8"/>
                <w:szCs w:val="8"/>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Reinsurance Result</w:t>
            </w:r>
          </w:p>
        </w:tc>
        <w:tc>
          <w:tcPr>
            <w:tcW w:w="1000" w:type="dxa"/>
            <w:vAlign w:val="bottom"/>
          </w:tcPr>
          <w:p>
            <w:pPr>
              <w:jc w:val="right"/>
              <w:ind w:right="139"/>
              <w:spacing w:after="0"/>
              <w:rPr>
                <w:sz w:val="20"/>
                <w:szCs w:val="20"/>
                <w:color w:val="auto"/>
              </w:rPr>
            </w:pPr>
            <w:r>
              <w:rPr>
                <w:rFonts w:ascii="Arial" w:cs="Arial" w:eastAsia="Arial" w:hAnsi="Arial"/>
                <w:sz w:val="8"/>
                <w:szCs w:val="8"/>
                <w:color w:val="auto"/>
              </w:rPr>
              <w:t>(96,923)</w:t>
            </w:r>
          </w:p>
        </w:tc>
        <w:tc>
          <w:tcPr>
            <w:tcW w:w="900" w:type="dxa"/>
            <w:vAlign w:val="bottom"/>
          </w:tcPr>
          <w:p>
            <w:pPr>
              <w:jc w:val="right"/>
              <w:ind w:right="139"/>
              <w:spacing w:after="0"/>
              <w:rPr>
                <w:sz w:val="20"/>
                <w:szCs w:val="20"/>
                <w:color w:val="auto"/>
              </w:rPr>
            </w:pPr>
            <w:r>
              <w:rPr>
                <w:rFonts w:ascii="Arial" w:cs="Arial" w:eastAsia="Arial" w:hAnsi="Arial"/>
                <w:sz w:val="8"/>
                <w:szCs w:val="8"/>
                <w:color w:val="auto"/>
              </w:rPr>
              <w:t>(179,935)</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(92,166)</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rPr>
              <w:t>-48.8%</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w w:val="95"/>
              </w:rPr>
              <w:t>-4.9%</w:t>
            </w:r>
          </w:p>
        </w:tc>
        <w:tc>
          <w:tcPr>
            <w:tcW w:w="1100" w:type="dxa"/>
            <w:vAlign w:val="bottom"/>
          </w:tcPr>
          <w:p>
            <w:pPr>
              <w:jc w:val="right"/>
              <w:ind w:right="199"/>
              <w:spacing w:after="0"/>
              <w:rPr>
                <w:sz w:val="20"/>
                <w:szCs w:val="20"/>
                <w:color w:val="auto"/>
              </w:rPr>
            </w:pPr>
            <w:r>
              <w:rPr>
                <w:rFonts w:ascii="Arial" w:cs="Arial" w:eastAsia="Arial" w:hAnsi="Arial"/>
                <w:sz w:val="8"/>
                <w:szCs w:val="8"/>
                <w:color w:val="auto"/>
              </w:rPr>
              <w:t>(207,459)</w:t>
            </w:r>
          </w:p>
        </w:tc>
        <w:tc>
          <w:tcPr>
            <w:tcW w:w="70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color w:val="auto"/>
              </w:rPr>
              <w:t>(272,101)</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31.2%</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580" w:type="dxa"/>
            <w:vAlign w:val="bottom"/>
            <w:tcBorders>
              <w:right w:val="single" w:sz="8" w:color="auto"/>
            </w:tcBorders>
          </w:tcPr>
          <w:p>
            <w:pPr>
              <w:spacing w:after="0"/>
              <w:rPr>
                <w:sz w:val="9"/>
                <w:szCs w:val="9"/>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b w:val="1"/>
                <w:bCs w:val="1"/>
                <w:color w:val="auto"/>
              </w:rPr>
              <w:t>Total insurance underwriting result</w:t>
            </w:r>
          </w:p>
        </w:tc>
        <w:tc>
          <w:tcPr>
            <w:tcW w:w="1000" w:type="dxa"/>
            <w:vAlign w:val="bottom"/>
          </w:tcPr>
          <w:p>
            <w:pPr>
              <w:jc w:val="right"/>
              <w:ind w:right="159"/>
              <w:spacing w:after="0"/>
              <w:rPr>
                <w:sz w:val="20"/>
                <w:szCs w:val="20"/>
                <w:color w:val="auto"/>
              </w:rPr>
            </w:pPr>
            <w:r>
              <w:rPr>
                <w:rFonts w:ascii="Arial" w:cs="Arial" w:eastAsia="Arial" w:hAnsi="Arial"/>
                <w:sz w:val="8"/>
                <w:szCs w:val="8"/>
                <w:b w:val="1"/>
                <w:bCs w:val="1"/>
                <w:color w:val="auto"/>
              </w:rPr>
              <w:t>296,564</w:t>
            </w:r>
          </w:p>
        </w:tc>
        <w:tc>
          <w:tcPr>
            <w:tcW w:w="900" w:type="dxa"/>
            <w:vAlign w:val="bottom"/>
          </w:tcPr>
          <w:p>
            <w:pPr>
              <w:jc w:val="right"/>
              <w:ind w:right="159"/>
              <w:spacing w:after="0"/>
              <w:rPr>
                <w:sz w:val="20"/>
                <w:szCs w:val="20"/>
                <w:color w:val="auto"/>
              </w:rPr>
            </w:pPr>
            <w:r>
              <w:rPr>
                <w:rFonts w:ascii="Arial" w:cs="Arial" w:eastAsia="Arial" w:hAnsi="Arial"/>
                <w:sz w:val="8"/>
                <w:szCs w:val="8"/>
                <w:b w:val="1"/>
                <w:bCs w:val="1"/>
                <w:color w:val="auto"/>
              </w:rPr>
              <w:t>279,062</w:t>
            </w:r>
          </w:p>
        </w:tc>
        <w:tc>
          <w:tcPr>
            <w:tcW w:w="74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b w:val="1"/>
                <w:bCs w:val="1"/>
                <w:color w:val="auto"/>
              </w:rPr>
              <w:t>315,500</w:t>
            </w:r>
          </w:p>
        </w:tc>
        <w:tc>
          <w:tcPr>
            <w:tcW w:w="620" w:type="dxa"/>
            <w:vAlign w:val="bottom"/>
          </w:tcPr>
          <w:p>
            <w:pPr>
              <w:jc w:val="center"/>
              <w:ind w:left="199"/>
              <w:spacing w:after="0"/>
              <w:rPr>
                <w:sz w:val="20"/>
                <w:szCs w:val="20"/>
                <w:color w:val="auto"/>
              </w:rPr>
            </w:pPr>
            <w:r>
              <w:rPr>
                <w:rFonts w:ascii="Arial" w:cs="Arial" w:eastAsia="Arial" w:hAnsi="Arial"/>
                <w:sz w:val="8"/>
                <w:szCs w:val="8"/>
                <w:b w:val="1"/>
                <w:bCs w:val="1"/>
                <w:color w:val="auto"/>
                <w:w w:val="96"/>
              </w:rPr>
              <w:t>13.1%</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b w:val="1"/>
                <w:bCs w:val="1"/>
                <w:color w:val="auto"/>
              </w:rPr>
              <w:t>6.4%</w:t>
            </w:r>
          </w:p>
        </w:tc>
        <w:tc>
          <w:tcPr>
            <w:tcW w:w="1100" w:type="dxa"/>
            <w:vAlign w:val="bottom"/>
          </w:tcPr>
          <w:p>
            <w:pPr>
              <w:jc w:val="right"/>
              <w:ind w:right="239"/>
              <w:spacing w:after="0"/>
              <w:rPr>
                <w:sz w:val="20"/>
                <w:szCs w:val="20"/>
                <w:color w:val="auto"/>
              </w:rPr>
            </w:pPr>
            <w:r>
              <w:rPr>
                <w:rFonts w:ascii="Arial" w:cs="Arial" w:eastAsia="Arial" w:hAnsi="Arial"/>
                <w:sz w:val="8"/>
                <w:szCs w:val="8"/>
                <w:b w:val="1"/>
                <w:bCs w:val="1"/>
                <w:color w:val="auto"/>
              </w:rPr>
              <w:t>592,905</w:t>
            </w:r>
          </w:p>
        </w:tc>
        <w:tc>
          <w:tcPr>
            <w:tcW w:w="70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b w:val="1"/>
                <w:bCs w:val="1"/>
                <w:color w:val="auto"/>
              </w:rPr>
              <w:t>594,562</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0.3%</w:t>
            </w: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580" w:type="dxa"/>
            <w:vAlign w:val="bottom"/>
            <w:tcBorders>
              <w:right w:val="single" w:sz="8" w:color="auto"/>
            </w:tcBorders>
          </w:tcPr>
          <w:p>
            <w:pPr>
              <w:spacing w:after="0"/>
              <w:rPr>
                <w:sz w:val="14"/>
                <w:szCs w:val="14"/>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b w:val="1"/>
                <w:bCs w:val="1"/>
                <w:color w:val="auto"/>
              </w:rPr>
              <w:t>Total Expenses</w:t>
            </w: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580" w:type="dxa"/>
            <w:vAlign w:val="bottom"/>
            <w:tcBorders>
              <w:right w:val="single" w:sz="8" w:color="auto"/>
            </w:tcBorders>
          </w:tcPr>
          <w:p>
            <w:pPr>
              <w:spacing w:after="0"/>
              <w:rPr>
                <w:sz w:val="8"/>
                <w:szCs w:val="8"/>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Salaries and employee benefits</w:t>
            </w:r>
          </w:p>
        </w:tc>
        <w:tc>
          <w:tcPr>
            <w:tcW w:w="1000" w:type="dxa"/>
            <w:vAlign w:val="bottom"/>
          </w:tcPr>
          <w:p>
            <w:pPr>
              <w:jc w:val="right"/>
              <w:ind w:right="139"/>
              <w:spacing w:after="0"/>
              <w:rPr>
                <w:sz w:val="20"/>
                <w:szCs w:val="20"/>
                <w:color w:val="auto"/>
              </w:rPr>
            </w:pPr>
            <w:r>
              <w:rPr>
                <w:rFonts w:ascii="Arial" w:cs="Arial" w:eastAsia="Arial" w:hAnsi="Arial"/>
                <w:sz w:val="8"/>
                <w:szCs w:val="8"/>
                <w:color w:val="auto"/>
              </w:rPr>
              <w:t>(1,054,735)</w:t>
            </w:r>
          </w:p>
        </w:tc>
        <w:tc>
          <w:tcPr>
            <w:tcW w:w="900" w:type="dxa"/>
            <w:vAlign w:val="bottom"/>
          </w:tcPr>
          <w:p>
            <w:pPr>
              <w:jc w:val="right"/>
              <w:ind w:right="139"/>
              <w:spacing w:after="0"/>
              <w:rPr>
                <w:sz w:val="20"/>
                <w:szCs w:val="20"/>
                <w:color w:val="auto"/>
              </w:rPr>
            </w:pPr>
            <w:r>
              <w:rPr>
                <w:rFonts w:ascii="Arial" w:cs="Arial" w:eastAsia="Arial" w:hAnsi="Arial"/>
                <w:sz w:val="8"/>
                <w:szCs w:val="8"/>
                <w:color w:val="auto"/>
              </w:rPr>
              <w:t>(1,107,069)</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(1,141,823)</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8"/>
              </w:rPr>
              <w:t>3.1%</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8.3%</w:t>
            </w:r>
          </w:p>
        </w:tc>
        <w:tc>
          <w:tcPr>
            <w:tcW w:w="1100" w:type="dxa"/>
            <w:vAlign w:val="bottom"/>
          </w:tcPr>
          <w:p>
            <w:pPr>
              <w:jc w:val="right"/>
              <w:ind w:right="199"/>
              <w:spacing w:after="0"/>
              <w:rPr>
                <w:sz w:val="20"/>
                <w:szCs w:val="20"/>
                <w:color w:val="auto"/>
              </w:rPr>
            </w:pPr>
            <w:r>
              <w:rPr>
                <w:rFonts w:ascii="Arial" w:cs="Arial" w:eastAsia="Arial" w:hAnsi="Arial"/>
                <w:sz w:val="8"/>
                <w:szCs w:val="8"/>
                <w:color w:val="auto"/>
              </w:rPr>
              <w:t>(2,084,293)</w:t>
            </w:r>
          </w:p>
        </w:tc>
        <w:tc>
          <w:tcPr>
            <w:tcW w:w="70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color w:val="auto"/>
              </w:rPr>
              <w:t>(2,248,892)</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7.9%</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80" w:type="dxa"/>
            <w:vAlign w:val="bottom"/>
            <w:tcBorders>
              <w:right w:val="single" w:sz="8" w:color="auto"/>
            </w:tcBorders>
          </w:tcPr>
          <w:p>
            <w:pPr>
              <w:spacing w:after="0"/>
              <w:rPr>
                <w:sz w:val="8"/>
                <w:szCs w:val="8"/>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Administrative, general and tax expenses</w:t>
            </w:r>
          </w:p>
        </w:tc>
        <w:tc>
          <w:tcPr>
            <w:tcW w:w="1000" w:type="dxa"/>
            <w:vAlign w:val="bottom"/>
          </w:tcPr>
          <w:p>
            <w:pPr>
              <w:jc w:val="right"/>
              <w:ind w:right="139"/>
              <w:spacing w:after="0"/>
              <w:rPr>
                <w:sz w:val="20"/>
                <w:szCs w:val="20"/>
                <w:color w:val="auto"/>
              </w:rPr>
            </w:pPr>
            <w:r>
              <w:rPr>
                <w:rFonts w:ascii="Arial" w:cs="Arial" w:eastAsia="Arial" w:hAnsi="Arial"/>
                <w:sz w:val="8"/>
                <w:szCs w:val="8"/>
                <w:color w:val="auto"/>
              </w:rPr>
              <w:t>(871,046)</w:t>
            </w:r>
          </w:p>
        </w:tc>
        <w:tc>
          <w:tcPr>
            <w:tcW w:w="900" w:type="dxa"/>
            <w:vAlign w:val="bottom"/>
          </w:tcPr>
          <w:p>
            <w:pPr>
              <w:jc w:val="right"/>
              <w:ind w:right="139"/>
              <w:spacing w:after="0"/>
              <w:rPr>
                <w:sz w:val="20"/>
                <w:szCs w:val="20"/>
                <w:color w:val="auto"/>
              </w:rPr>
            </w:pPr>
            <w:r>
              <w:rPr>
                <w:rFonts w:ascii="Arial" w:cs="Arial" w:eastAsia="Arial" w:hAnsi="Arial"/>
                <w:sz w:val="8"/>
                <w:szCs w:val="8"/>
                <w:color w:val="auto"/>
              </w:rPr>
              <w:t>(888,583)</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(1,017,707)</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6"/>
              </w:rPr>
              <w:t>14.5%</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16.8%</w:t>
            </w:r>
          </w:p>
        </w:tc>
        <w:tc>
          <w:tcPr>
            <w:tcW w:w="1100" w:type="dxa"/>
            <w:vAlign w:val="bottom"/>
          </w:tcPr>
          <w:p>
            <w:pPr>
              <w:jc w:val="right"/>
              <w:ind w:right="199"/>
              <w:spacing w:after="0"/>
              <w:rPr>
                <w:sz w:val="20"/>
                <w:szCs w:val="20"/>
                <w:color w:val="auto"/>
              </w:rPr>
            </w:pPr>
            <w:r>
              <w:rPr>
                <w:rFonts w:ascii="Arial" w:cs="Arial" w:eastAsia="Arial" w:hAnsi="Arial"/>
                <w:sz w:val="8"/>
                <w:szCs w:val="8"/>
                <w:color w:val="auto"/>
              </w:rPr>
              <w:t>(1,706,106)</w:t>
            </w:r>
          </w:p>
        </w:tc>
        <w:tc>
          <w:tcPr>
            <w:tcW w:w="70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color w:val="auto"/>
              </w:rPr>
              <w:t>(1,906,290)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11.7%</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80" w:type="dxa"/>
            <w:vAlign w:val="bottom"/>
            <w:tcBorders>
              <w:right w:val="single" w:sz="8" w:color="auto"/>
            </w:tcBorders>
          </w:tcPr>
          <w:p>
            <w:pPr>
              <w:spacing w:after="0"/>
              <w:rPr>
                <w:sz w:val="8"/>
                <w:szCs w:val="8"/>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Depreciation and amortization</w:t>
            </w:r>
          </w:p>
        </w:tc>
        <w:tc>
          <w:tcPr>
            <w:tcW w:w="1000" w:type="dxa"/>
            <w:vAlign w:val="bottom"/>
          </w:tcPr>
          <w:p>
            <w:pPr>
              <w:jc w:val="right"/>
              <w:ind w:right="139"/>
              <w:spacing w:after="0"/>
              <w:rPr>
                <w:sz w:val="20"/>
                <w:szCs w:val="20"/>
                <w:color w:val="auto"/>
              </w:rPr>
            </w:pPr>
            <w:r>
              <w:rPr>
                <w:rFonts w:ascii="Arial" w:cs="Arial" w:eastAsia="Arial" w:hAnsi="Arial"/>
                <w:sz w:val="8"/>
                <w:szCs w:val="8"/>
                <w:color w:val="auto"/>
              </w:rPr>
              <w:t>(160,549)</w:t>
            </w:r>
          </w:p>
        </w:tc>
        <w:tc>
          <w:tcPr>
            <w:tcW w:w="900" w:type="dxa"/>
            <w:vAlign w:val="bottom"/>
          </w:tcPr>
          <w:p>
            <w:pPr>
              <w:jc w:val="right"/>
              <w:ind w:right="139"/>
              <w:spacing w:after="0"/>
              <w:rPr>
                <w:sz w:val="20"/>
                <w:szCs w:val="20"/>
                <w:color w:val="auto"/>
              </w:rPr>
            </w:pPr>
            <w:r>
              <w:rPr>
                <w:rFonts w:ascii="Arial" w:cs="Arial" w:eastAsia="Arial" w:hAnsi="Arial"/>
                <w:sz w:val="8"/>
                <w:szCs w:val="8"/>
                <w:color w:val="auto"/>
              </w:rPr>
              <w:t>(175,146)</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(172,204)</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rPr>
              <w:t>-1.7%</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7.3%</w:t>
            </w:r>
          </w:p>
        </w:tc>
        <w:tc>
          <w:tcPr>
            <w:tcW w:w="1100" w:type="dxa"/>
            <w:vAlign w:val="bottom"/>
          </w:tcPr>
          <w:p>
            <w:pPr>
              <w:jc w:val="right"/>
              <w:ind w:right="199"/>
              <w:spacing w:after="0"/>
              <w:rPr>
                <w:sz w:val="20"/>
                <w:szCs w:val="20"/>
                <w:color w:val="auto"/>
              </w:rPr>
            </w:pPr>
            <w:r>
              <w:rPr>
                <w:rFonts w:ascii="Arial" w:cs="Arial" w:eastAsia="Arial" w:hAnsi="Arial"/>
                <w:sz w:val="8"/>
                <w:szCs w:val="8"/>
                <w:color w:val="auto"/>
              </w:rPr>
              <w:t>(321,628)</w:t>
            </w:r>
          </w:p>
        </w:tc>
        <w:tc>
          <w:tcPr>
            <w:tcW w:w="70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color w:val="auto"/>
              </w:rPr>
              <w:t>(347,350)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8.0%</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80" w:type="dxa"/>
            <w:vAlign w:val="bottom"/>
            <w:tcBorders>
              <w:right w:val="single" w:sz="8" w:color="auto"/>
            </w:tcBorders>
          </w:tcPr>
          <w:p>
            <w:pPr>
              <w:spacing w:after="0"/>
              <w:rPr>
                <w:sz w:val="8"/>
                <w:szCs w:val="8"/>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Association in participation</w:t>
            </w:r>
          </w:p>
        </w:tc>
        <w:tc>
          <w:tcPr>
            <w:tcW w:w="1000" w:type="dxa"/>
            <w:vAlign w:val="bottom"/>
          </w:tcPr>
          <w:p>
            <w:pPr>
              <w:jc w:val="right"/>
              <w:ind w:right="139"/>
              <w:spacing w:after="0"/>
              <w:rPr>
                <w:sz w:val="20"/>
                <w:szCs w:val="20"/>
                <w:color w:val="auto"/>
              </w:rPr>
            </w:pPr>
            <w:r>
              <w:rPr>
                <w:rFonts w:ascii="Arial" w:cs="Arial" w:eastAsia="Arial" w:hAnsi="Arial"/>
                <w:sz w:val="8"/>
                <w:szCs w:val="8"/>
                <w:color w:val="auto"/>
              </w:rPr>
              <w:t>(16,742)</w:t>
            </w:r>
          </w:p>
        </w:tc>
        <w:tc>
          <w:tcPr>
            <w:tcW w:w="900" w:type="dxa"/>
            <w:vAlign w:val="bottom"/>
          </w:tcPr>
          <w:p>
            <w:pPr>
              <w:jc w:val="right"/>
              <w:ind w:right="139"/>
              <w:spacing w:after="0"/>
              <w:rPr>
                <w:sz w:val="20"/>
                <w:szCs w:val="20"/>
                <w:color w:val="auto"/>
              </w:rPr>
            </w:pPr>
            <w:r>
              <w:rPr>
                <w:rFonts w:ascii="Arial" w:cs="Arial" w:eastAsia="Arial" w:hAnsi="Arial"/>
                <w:sz w:val="8"/>
                <w:szCs w:val="8"/>
                <w:color w:val="auto"/>
              </w:rPr>
              <w:t>(8,847)</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(9,200)</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8"/>
              </w:rPr>
              <w:t>4.0%</w:t>
            </w:r>
          </w:p>
        </w:tc>
        <w:tc>
          <w:tcPr>
            <w:tcW w:w="1160" w:type="dxa"/>
            <w:vAlign w:val="bottom"/>
            <w:tcBorders>
              <w:right w:val="single" w:sz="8" w:color="auto"/>
            </w:tcBorders>
          </w:tcPr>
          <w:p>
            <w:pPr>
              <w:jc w:val="center"/>
              <w:ind w:left="179"/>
              <w:spacing w:after="0"/>
              <w:rPr>
                <w:sz w:val="20"/>
                <w:szCs w:val="20"/>
                <w:color w:val="auto"/>
              </w:rPr>
            </w:pPr>
            <w:r>
              <w:rPr>
                <w:rFonts w:ascii="Arial" w:cs="Arial" w:eastAsia="Arial" w:hAnsi="Arial"/>
                <w:sz w:val="8"/>
                <w:szCs w:val="8"/>
                <w:color w:val="auto"/>
              </w:rPr>
              <w:t>-45.0%</w:t>
            </w:r>
          </w:p>
        </w:tc>
        <w:tc>
          <w:tcPr>
            <w:tcW w:w="1100" w:type="dxa"/>
            <w:vAlign w:val="bottom"/>
          </w:tcPr>
          <w:p>
            <w:pPr>
              <w:jc w:val="right"/>
              <w:ind w:right="199"/>
              <w:spacing w:after="0"/>
              <w:rPr>
                <w:sz w:val="20"/>
                <w:szCs w:val="20"/>
                <w:color w:val="auto"/>
              </w:rPr>
            </w:pPr>
            <w:r>
              <w:rPr>
                <w:rFonts w:ascii="Arial" w:cs="Arial" w:eastAsia="Arial" w:hAnsi="Arial"/>
                <w:sz w:val="8"/>
                <w:szCs w:val="8"/>
                <w:color w:val="auto"/>
              </w:rPr>
              <w:t>(29,354)</w:t>
            </w:r>
          </w:p>
        </w:tc>
        <w:tc>
          <w:tcPr>
            <w:tcW w:w="70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color w:val="auto"/>
              </w:rPr>
              <w:t>(18,047)</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-38.5%</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580" w:type="dxa"/>
            <w:vAlign w:val="bottom"/>
            <w:tcBorders>
              <w:right w:val="single" w:sz="8" w:color="auto"/>
            </w:tcBorders>
          </w:tcPr>
          <w:p>
            <w:pPr>
              <w:spacing w:after="0"/>
              <w:rPr>
                <w:sz w:val="8"/>
                <w:szCs w:val="8"/>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Other expenses</w:t>
            </w:r>
          </w:p>
        </w:tc>
        <w:tc>
          <w:tcPr>
            <w:tcW w:w="1000" w:type="dxa"/>
            <w:vAlign w:val="bottom"/>
          </w:tcPr>
          <w:p>
            <w:pPr>
              <w:jc w:val="right"/>
              <w:ind w:right="139"/>
              <w:spacing w:after="0"/>
              <w:rPr>
                <w:sz w:val="20"/>
                <w:szCs w:val="20"/>
                <w:color w:val="auto"/>
              </w:rPr>
            </w:pPr>
            <w:r>
              <w:rPr>
                <w:rFonts w:ascii="Arial" w:cs="Arial" w:eastAsia="Arial" w:hAnsi="Arial"/>
                <w:sz w:val="8"/>
                <w:szCs w:val="8"/>
                <w:color w:val="auto"/>
              </w:rPr>
              <w:t>(92,232)</w:t>
            </w:r>
          </w:p>
        </w:tc>
        <w:tc>
          <w:tcPr>
            <w:tcW w:w="900" w:type="dxa"/>
            <w:vAlign w:val="bottom"/>
          </w:tcPr>
          <w:p>
            <w:pPr>
              <w:jc w:val="right"/>
              <w:ind w:right="139"/>
              <w:spacing w:after="0"/>
              <w:rPr>
                <w:sz w:val="20"/>
                <w:szCs w:val="20"/>
                <w:color w:val="auto"/>
              </w:rPr>
            </w:pPr>
            <w:r>
              <w:rPr>
                <w:rFonts w:ascii="Arial" w:cs="Arial" w:eastAsia="Arial" w:hAnsi="Arial"/>
                <w:sz w:val="8"/>
                <w:szCs w:val="8"/>
                <w:color w:val="auto"/>
              </w:rPr>
              <w:t>(99,672)</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(124,420)</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6"/>
              </w:rPr>
              <w:t>24.8%</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34.9%</w:t>
            </w:r>
          </w:p>
        </w:tc>
        <w:tc>
          <w:tcPr>
            <w:tcW w:w="1100" w:type="dxa"/>
            <w:vAlign w:val="bottom"/>
          </w:tcPr>
          <w:p>
            <w:pPr>
              <w:jc w:val="right"/>
              <w:ind w:right="199"/>
              <w:spacing w:after="0"/>
              <w:rPr>
                <w:sz w:val="20"/>
                <w:szCs w:val="20"/>
                <w:color w:val="auto"/>
              </w:rPr>
            </w:pPr>
            <w:r>
              <w:rPr>
                <w:rFonts w:ascii="Arial" w:cs="Arial" w:eastAsia="Arial" w:hAnsi="Arial"/>
                <w:sz w:val="8"/>
                <w:szCs w:val="8"/>
                <w:color w:val="auto"/>
              </w:rPr>
              <w:t>(180,831)</w:t>
            </w:r>
          </w:p>
        </w:tc>
        <w:tc>
          <w:tcPr>
            <w:tcW w:w="70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color w:val="auto"/>
              </w:rPr>
              <w:t>(224,092)</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23.9%</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580" w:type="dxa"/>
            <w:vAlign w:val="bottom"/>
            <w:tcBorders>
              <w:right w:val="single" w:sz="8" w:color="auto"/>
            </w:tcBorders>
          </w:tcPr>
          <w:p>
            <w:pPr>
              <w:spacing w:after="0"/>
              <w:rPr>
                <w:sz w:val="9"/>
                <w:szCs w:val="9"/>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b w:val="1"/>
                <w:bCs w:val="1"/>
                <w:color w:val="auto"/>
              </w:rPr>
              <w:t>Total expenses</w:t>
            </w:r>
          </w:p>
        </w:tc>
        <w:tc>
          <w:tcPr>
            <w:tcW w:w="1000" w:type="dxa"/>
            <w:vAlign w:val="bottom"/>
          </w:tcPr>
          <w:p>
            <w:pPr>
              <w:jc w:val="right"/>
              <w:ind w:right="139"/>
              <w:spacing w:after="0"/>
              <w:rPr>
                <w:sz w:val="20"/>
                <w:szCs w:val="20"/>
                <w:color w:val="auto"/>
              </w:rPr>
            </w:pPr>
            <w:r>
              <w:rPr>
                <w:rFonts w:ascii="Arial" w:cs="Arial" w:eastAsia="Arial" w:hAnsi="Arial"/>
                <w:sz w:val="8"/>
                <w:szCs w:val="8"/>
                <w:color w:val="auto"/>
              </w:rPr>
              <w:t>(2,195,304)</w:t>
            </w:r>
          </w:p>
        </w:tc>
        <w:tc>
          <w:tcPr>
            <w:tcW w:w="900" w:type="dxa"/>
            <w:vAlign w:val="bottom"/>
          </w:tcPr>
          <w:p>
            <w:pPr>
              <w:jc w:val="right"/>
              <w:ind w:right="139"/>
              <w:spacing w:after="0"/>
              <w:rPr>
                <w:sz w:val="20"/>
                <w:szCs w:val="20"/>
                <w:color w:val="auto"/>
              </w:rPr>
            </w:pPr>
            <w:r>
              <w:rPr>
                <w:rFonts w:ascii="Arial" w:cs="Arial" w:eastAsia="Arial" w:hAnsi="Arial"/>
                <w:sz w:val="8"/>
                <w:szCs w:val="8"/>
                <w:color w:val="auto"/>
              </w:rPr>
              <w:t>(2,279,317)</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(2,465,354)</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w w:val="98"/>
              </w:rPr>
              <w:t>8.2%</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12.3%</w:t>
            </w:r>
          </w:p>
        </w:tc>
        <w:tc>
          <w:tcPr>
            <w:tcW w:w="1100" w:type="dxa"/>
            <w:vAlign w:val="bottom"/>
          </w:tcPr>
          <w:p>
            <w:pPr>
              <w:jc w:val="right"/>
              <w:ind w:right="199"/>
              <w:spacing w:after="0"/>
              <w:rPr>
                <w:sz w:val="20"/>
                <w:szCs w:val="20"/>
                <w:color w:val="auto"/>
              </w:rPr>
            </w:pPr>
            <w:r>
              <w:rPr>
                <w:rFonts w:ascii="Arial" w:cs="Arial" w:eastAsia="Arial" w:hAnsi="Arial"/>
                <w:sz w:val="8"/>
                <w:szCs w:val="8"/>
                <w:color w:val="auto"/>
              </w:rPr>
              <w:t>(4,322,212)</w:t>
            </w:r>
          </w:p>
        </w:tc>
        <w:tc>
          <w:tcPr>
            <w:tcW w:w="70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color w:val="auto"/>
              </w:rPr>
              <w:t>(4,744,671)</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9.8%</w:t>
            </w: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580" w:type="dxa"/>
            <w:vAlign w:val="bottom"/>
            <w:tcBorders>
              <w:right w:val="single" w:sz="8" w:color="auto"/>
            </w:tcBorders>
          </w:tcPr>
          <w:p>
            <w:pPr>
              <w:spacing w:after="0"/>
              <w:rPr>
                <w:sz w:val="16"/>
                <w:szCs w:val="16"/>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b w:val="1"/>
                <w:bCs w:val="1"/>
                <w:color w:val="auto"/>
              </w:rPr>
              <w:t>Profit before income tax</w:t>
            </w:r>
          </w:p>
        </w:tc>
        <w:tc>
          <w:tcPr>
            <w:tcW w:w="1000" w:type="dxa"/>
            <w:vAlign w:val="bottom"/>
          </w:tcPr>
          <w:p>
            <w:pPr>
              <w:jc w:val="right"/>
              <w:ind w:right="159"/>
              <w:spacing w:after="0"/>
              <w:rPr>
                <w:sz w:val="20"/>
                <w:szCs w:val="20"/>
                <w:color w:val="auto"/>
              </w:rPr>
            </w:pPr>
            <w:r>
              <w:rPr>
                <w:rFonts w:ascii="Arial" w:cs="Arial" w:eastAsia="Arial" w:hAnsi="Arial"/>
                <w:sz w:val="8"/>
                <w:szCs w:val="8"/>
                <w:b w:val="1"/>
                <w:bCs w:val="1"/>
                <w:color w:val="auto"/>
              </w:rPr>
              <w:t>1,934,289</w:t>
            </w:r>
          </w:p>
        </w:tc>
        <w:tc>
          <w:tcPr>
            <w:tcW w:w="900" w:type="dxa"/>
            <w:vAlign w:val="bottom"/>
          </w:tcPr>
          <w:p>
            <w:pPr>
              <w:jc w:val="right"/>
              <w:ind w:right="159"/>
              <w:spacing w:after="0"/>
              <w:rPr>
                <w:sz w:val="20"/>
                <w:szCs w:val="20"/>
                <w:color w:val="auto"/>
              </w:rPr>
            </w:pPr>
            <w:r>
              <w:rPr>
                <w:rFonts w:ascii="Arial" w:cs="Arial" w:eastAsia="Arial" w:hAnsi="Arial"/>
                <w:sz w:val="8"/>
                <w:szCs w:val="8"/>
                <w:b w:val="1"/>
                <w:bCs w:val="1"/>
                <w:color w:val="auto"/>
              </w:rPr>
              <w:t>2,070,563</w:t>
            </w:r>
          </w:p>
        </w:tc>
        <w:tc>
          <w:tcPr>
            <w:tcW w:w="74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b w:val="1"/>
                <w:bCs w:val="1"/>
                <w:color w:val="auto"/>
              </w:rPr>
              <w:t>1,886,718</w:t>
            </w:r>
          </w:p>
        </w:tc>
        <w:tc>
          <w:tcPr>
            <w:tcW w:w="620" w:type="dxa"/>
            <w:vAlign w:val="bottom"/>
          </w:tcPr>
          <w:p>
            <w:pPr>
              <w:jc w:val="center"/>
              <w:ind w:left="199"/>
              <w:spacing w:after="0"/>
              <w:rPr>
                <w:sz w:val="20"/>
                <w:szCs w:val="20"/>
                <w:color w:val="auto"/>
              </w:rPr>
            </w:pPr>
            <w:r>
              <w:rPr>
                <w:rFonts w:ascii="Arial" w:cs="Arial" w:eastAsia="Arial" w:hAnsi="Arial"/>
                <w:sz w:val="8"/>
                <w:szCs w:val="8"/>
                <w:b w:val="1"/>
                <w:bCs w:val="1"/>
                <w:color w:val="auto"/>
              </w:rPr>
              <w:t>-8.9%</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b w:val="1"/>
                <w:bCs w:val="1"/>
                <w:color w:val="auto"/>
                <w:w w:val="95"/>
              </w:rPr>
              <w:t>-2.5%</w:t>
            </w:r>
          </w:p>
        </w:tc>
        <w:tc>
          <w:tcPr>
            <w:tcW w:w="1100" w:type="dxa"/>
            <w:vAlign w:val="bottom"/>
          </w:tcPr>
          <w:p>
            <w:pPr>
              <w:jc w:val="right"/>
              <w:ind w:right="239"/>
              <w:spacing w:after="0"/>
              <w:rPr>
                <w:sz w:val="20"/>
                <w:szCs w:val="20"/>
                <w:color w:val="auto"/>
              </w:rPr>
            </w:pPr>
            <w:r>
              <w:rPr>
                <w:rFonts w:ascii="Arial" w:cs="Arial" w:eastAsia="Arial" w:hAnsi="Arial"/>
                <w:sz w:val="8"/>
                <w:szCs w:val="8"/>
                <w:b w:val="1"/>
                <w:bCs w:val="1"/>
                <w:color w:val="auto"/>
              </w:rPr>
              <w:t>3,842,088</w:t>
            </w:r>
          </w:p>
        </w:tc>
        <w:tc>
          <w:tcPr>
            <w:tcW w:w="70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b w:val="1"/>
                <w:bCs w:val="1"/>
                <w:color w:val="auto"/>
              </w:rPr>
              <w:t>3,957,281</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80" w:type="dxa"/>
            <w:vAlign w:val="bottom"/>
            <w:tcBorders>
              <w:right w:val="single" w:sz="8" w:color="auto"/>
            </w:tcBorders>
          </w:tcPr>
          <w:p>
            <w:pPr>
              <w:spacing w:after="0"/>
              <w:rPr>
                <w:sz w:val="15"/>
                <w:szCs w:val="15"/>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Income tax</w:t>
            </w:r>
          </w:p>
        </w:tc>
        <w:tc>
          <w:tcPr>
            <w:tcW w:w="1000" w:type="dxa"/>
            <w:vAlign w:val="bottom"/>
          </w:tcPr>
          <w:p>
            <w:pPr>
              <w:jc w:val="right"/>
              <w:ind w:right="139"/>
              <w:spacing w:after="0"/>
              <w:rPr>
                <w:sz w:val="20"/>
                <w:szCs w:val="20"/>
                <w:color w:val="auto"/>
              </w:rPr>
            </w:pPr>
            <w:r>
              <w:rPr>
                <w:rFonts w:ascii="Arial" w:cs="Arial" w:eastAsia="Arial" w:hAnsi="Arial"/>
                <w:sz w:val="8"/>
                <w:szCs w:val="8"/>
                <w:color w:val="auto"/>
              </w:rPr>
              <w:t>(504,472)</w:t>
            </w:r>
          </w:p>
        </w:tc>
        <w:tc>
          <w:tcPr>
            <w:tcW w:w="900" w:type="dxa"/>
            <w:vAlign w:val="bottom"/>
          </w:tcPr>
          <w:p>
            <w:pPr>
              <w:jc w:val="right"/>
              <w:ind w:right="139"/>
              <w:spacing w:after="0"/>
              <w:rPr>
                <w:sz w:val="20"/>
                <w:szCs w:val="20"/>
                <w:color w:val="auto"/>
              </w:rPr>
            </w:pPr>
            <w:r>
              <w:rPr>
                <w:rFonts w:ascii="Arial" w:cs="Arial" w:eastAsia="Arial" w:hAnsi="Arial"/>
                <w:sz w:val="8"/>
                <w:szCs w:val="8"/>
                <w:color w:val="auto"/>
              </w:rPr>
              <w:t>(528,466)</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8"/>
                <w:szCs w:val="8"/>
                <w:color w:val="auto"/>
              </w:rPr>
              <w:t>(519,344)</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rPr>
              <w:t>-1.7%</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rPr>
              <w:t>2.9%</w:t>
            </w:r>
          </w:p>
        </w:tc>
        <w:tc>
          <w:tcPr>
            <w:tcW w:w="1100" w:type="dxa"/>
            <w:vAlign w:val="bottom"/>
          </w:tcPr>
          <w:p>
            <w:pPr>
              <w:jc w:val="right"/>
              <w:ind w:right="199"/>
              <w:spacing w:after="0"/>
              <w:rPr>
                <w:sz w:val="20"/>
                <w:szCs w:val="20"/>
                <w:color w:val="auto"/>
              </w:rPr>
            </w:pPr>
            <w:r>
              <w:rPr>
                <w:rFonts w:ascii="Arial" w:cs="Arial" w:eastAsia="Arial" w:hAnsi="Arial"/>
                <w:sz w:val="8"/>
                <w:szCs w:val="8"/>
                <w:color w:val="auto"/>
              </w:rPr>
              <w:t>(997,938)</w:t>
            </w:r>
          </w:p>
        </w:tc>
        <w:tc>
          <w:tcPr>
            <w:tcW w:w="70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color w:val="auto"/>
              </w:rPr>
              <w:t>(1,047,810)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5.0%</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 w:type="dxa"/>
            <w:vAlign w:val="bottom"/>
            <w:tcBorders>
              <w:right w:val="single" w:sz="8" w:color="auto"/>
            </w:tcBorders>
          </w:tcPr>
          <w:p>
            <w:pPr>
              <w:spacing w:after="0"/>
              <w:rPr>
                <w:sz w:val="14"/>
                <w:szCs w:val="14"/>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b w:val="1"/>
                <w:bCs w:val="1"/>
                <w:color w:val="auto"/>
              </w:rPr>
              <w:t>Net profit</w:t>
            </w:r>
          </w:p>
        </w:tc>
        <w:tc>
          <w:tcPr>
            <w:tcW w:w="1000" w:type="dxa"/>
            <w:vAlign w:val="bottom"/>
          </w:tcPr>
          <w:p>
            <w:pPr>
              <w:jc w:val="right"/>
              <w:ind w:right="159"/>
              <w:spacing w:after="0"/>
              <w:rPr>
                <w:sz w:val="20"/>
                <w:szCs w:val="20"/>
                <w:color w:val="auto"/>
              </w:rPr>
            </w:pPr>
            <w:r>
              <w:rPr>
                <w:rFonts w:ascii="Arial" w:cs="Arial" w:eastAsia="Arial" w:hAnsi="Arial"/>
                <w:sz w:val="8"/>
                <w:szCs w:val="8"/>
                <w:b w:val="1"/>
                <w:bCs w:val="1"/>
                <w:color w:val="auto"/>
              </w:rPr>
              <w:t>1,429,817</w:t>
            </w:r>
          </w:p>
        </w:tc>
        <w:tc>
          <w:tcPr>
            <w:tcW w:w="900" w:type="dxa"/>
            <w:vAlign w:val="bottom"/>
          </w:tcPr>
          <w:p>
            <w:pPr>
              <w:jc w:val="right"/>
              <w:ind w:right="159"/>
              <w:spacing w:after="0"/>
              <w:rPr>
                <w:sz w:val="20"/>
                <w:szCs w:val="20"/>
                <w:color w:val="auto"/>
              </w:rPr>
            </w:pPr>
            <w:r>
              <w:rPr>
                <w:rFonts w:ascii="Arial" w:cs="Arial" w:eastAsia="Arial" w:hAnsi="Arial"/>
                <w:sz w:val="8"/>
                <w:szCs w:val="8"/>
                <w:b w:val="1"/>
                <w:bCs w:val="1"/>
                <w:color w:val="auto"/>
              </w:rPr>
              <w:t>1,542,097</w:t>
            </w:r>
          </w:p>
        </w:tc>
        <w:tc>
          <w:tcPr>
            <w:tcW w:w="74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b w:val="1"/>
                <w:bCs w:val="1"/>
                <w:color w:val="auto"/>
              </w:rPr>
              <w:t>1,367,374</w:t>
            </w:r>
          </w:p>
        </w:tc>
        <w:tc>
          <w:tcPr>
            <w:tcW w:w="620" w:type="dxa"/>
            <w:vAlign w:val="bottom"/>
          </w:tcPr>
          <w:p>
            <w:pPr>
              <w:jc w:val="center"/>
              <w:ind w:left="199"/>
              <w:spacing w:after="0"/>
              <w:rPr>
                <w:sz w:val="20"/>
                <w:szCs w:val="20"/>
                <w:color w:val="auto"/>
              </w:rPr>
            </w:pPr>
            <w:r>
              <w:rPr>
                <w:rFonts w:ascii="Arial" w:cs="Arial" w:eastAsia="Arial" w:hAnsi="Arial"/>
                <w:sz w:val="8"/>
                <w:szCs w:val="8"/>
                <w:b w:val="1"/>
                <w:bCs w:val="1"/>
                <w:color w:val="auto"/>
              </w:rPr>
              <w:t>-11.3%</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b w:val="1"/>
                <w:bCs w:val="1"/>
                <w:color w:val="auto"/>
                <w:w w:val="95"/>
              </w:rPr>
              <w:t>-4.4%</w:t>
            </w:r>
          </w:p>
        </w:tc>
        <w:tc>
          <w:tcPr>
            <w:tcW w:w="1100" w:type="dxa"/>
            <w:vAlign w:val="bottom"/>
          </w:tcPr>
          <w:p>
            <w:pPr>
              <w:jc w:val="right"/>
              <w:ind w:right="239"/>
              <w:spacing w:after="0"/>
              <w:rPr>
                <w:sz w:val="20"/>
                <w:szCs w:val="20"/>
                <w:color w:val="auto"/>
              </w:rPr>
            </w:pPr>
            <w:r>
              <w:rPr>
                <w:rFonts w:ascii="Arial" w:cs="Arial" w:eastAsia="Arial" w:hAnsi="Arial"/>
                <w:sz w:val="8"/>
                <w:szCs w:val="8"/>
                <w:b w:val="1"/>
                <w:bCs w:val="1"/>
                <w:color w:val="auto"/>
              </w:rPr>
              <w:t>2,844,150</w:t>
            </w:r>
          </w:p>
        </w:tc>
        <w:tc>
          <w:tcPr>
            <w:tcW w:w="70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b w:val="1"/>
                <w:bCs w:val="1"/>
                <w:color w:val="auto"/>
              </w:rPr>
              <w:t>2,909,471</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2.3%</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580" w:type="dxa"/>
            <w:vAlign w:val="bottom"/>
            <w:tcBorders>
              <w:right w:val="single" w:sz="8" w:color="auto"/>
            </w:tcBorders>
          </w:tcPr>
          <w:p>
            <w:pPr>
              <w:spacing w:after="0"/>
              <w:rPr>
                <w:sz w:val="8"/>
                <w:szCs w:val="8"/>
                <w:color w:val="auto"/>
              </w:rPr>
            </w:pPr>
          </w:p>
        </w:tc>
        <w:tc>
          <w:tcPr>
            <w:tcW w:w="304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Non-controlling interest</w:t>
            </w:r>
          </w:p>
        </w:tc>
        <w:tc>
          <w:tcPr>
            <w:tcW w:w="1000" w:type="dxa"/>
            <w:vAlign w:val="bottom"/>
          </w:tcPr>
          <w:p>
            <w:pPr>
              <w:jc w:val="right"/>
              <w:ind w:right="159"/>
              <w:spacing w:after="0"/>
              <w:rPr>
                <w:sz w:val="20"/>
                <w:szCs w:val="20"/>
                <w:color w:val="auto"/>
              </w:rPr>
            </w:pPr>
            <w:r>
              <w:rPr>
                <w:rFonts w:ascii="Arial" w:cs="Arial" w:eastAsia="Arial" w:hAnsi="Arial"/>
                <w:sz w:val="8"/>
                <w:szCs w:val="8"/>
                <w:color w:val="auto"/>
              </w:rPr>
              <w:t>28,550</w:t>
            </w:r>
          </w:p>
        </w:tc>
        <w:tc>
          <w:tcPr>
            <w:tcW w:w="900" w:type="dxa"/>
            <w:vAlign w:val="bottom"/>
          </w:tcPr>
          <w:p>
            <w:pPr>
              <w:jc w:val="right"/>
              <w:ind w:right="159"/>
              <w:spacing w:after="0"/>
              <w:rPr>
                <w:sz w:val="20"/>
                <w:szCs w:val="20"/>
                <w:color w:val="auto"/>
              </w:rPr>
            </w:pPr>
            <w:r>
              <w:rPr>
                <w:rFonts w:ascii="Arial" w:cs="Arial" w:eastAsia="Arial" w:hAnsi="Arial"/>
                <w:sz w:val="8"/>
                <w:szCs w:val="8"/>
                <w:color w:val="auto"/>
              </w:rPr>
              <w:t>30,440</w:t>
            </w:r>
          </w:p>
        </w:tc>
        <w:tc>
          <w:tcPr>
            <w:tcW w:w="740" w:type="dxa"/>
            <w:vAlign w:val="bottom"/>
            <w:tcBorders>
              <w:right w:val="single" w:sz="8" w:color="auto"/>
            </w:tcBorders>
          </w:tcPr>
          <w:p>
            <w:pPr>
              <w:jc w:val="right"/>
              <w:ind w:right="19"/>
              <w:spacing w:after="0"/>
              <w:rPr>
                <w:sz w:val="20"/>
                <w:szCs w:val="20"/>
                <w:color w:val="auto"/>
              </w:rPr>
            </w:pPr>
            <w:r>
              <w:rPr>
                <w:rFonts w:ascii="Arial" w:cs="Arial" w:eastAsia="Arial" w:hAnsi="Arial"/>
                <w:sz w:val="8"/>
                <w:szCs w:val="8"/>
                <w:color w:val="auto"/>
              </w:rPr>
              <w:t>28,278</w:t>
            </w:r>
          </w:p>
        </w:tc>
        <w:tc>
          <w:tcPr>
            <w:tcW w:w="620" w:type="dxa"/>
            <w:vAlign w:val="bottom"/>
          </w:tcPr>
          <w:p>
            <w:pPr>
              <w:jc w:val="center"/>
              <w:ind w:left="199"/>
              <w:spacing w:after="0"/>
              <w:rPr>
                <w:sz w:val="20"/>
                <w:szCs w:val="20"/>
                <w:color w:val="auto"/>
              </w:rPr>
            </w:pPr>
            <w:r>
              <w:rPr>
                <w:rFonts w:ascii="Arial" w:cs="Arial" w:eastAsia="Arial" w:hAnsi="Arial"/>
                <w:sz w:val="8"/>
                <w:szCs w:val="8"/>
                <w:color w:val="auto"/>
              </w:rPr>
              <w:t>-7.1%</w:t>
            </w:r>
          </w:p>
        </w:tc>
        <w:tc>
          <w:tcPr>
            <w:tcW w:w="1160" w:type="dxa"/>
            <w:vAlign w:val="bottom"/>
            <w:tcBorders>
              <w:right w:val="single" w:sz="8" w:color="auto"/>
            </w:tcBorders>
          </w:tcPr>
          <w:p>
            <w:pPr>
              <w:jc w:val="center"/>
              <w:ind w:left="199"/>
              <w:spacing w:after="0"/>
              <w:rPr>
                <w:sz w:val="20"/>
                <w:szCs w:val="20"/>
                <w:color w:val="auto"/>
              </w:rPr>
            </w:pPr>
            <w:r>
              <w:rPr>
                <w:rFonts w:ascii="Arial" w:cs="Arial" w:eastAsia="Arial" w:hAnsi="Arial"/>
                <w:sz w:val="8"/>
                <w:szCs w:val="8"/>
                <w:color w:val="auto"/>
                <w:w w:val="95"/>
              </w:rPr>
              <w:t>-1.0%</w:t>
            </w:r>
          </w:p>
        </w:tc>
        <w:tc>
          <w:tcPr>
            <w:tcW w:w="1100" w:type="dxa"/>
            <w:vAlign w:val="bottom"/>
          </w:tcPr>
          <w:p>
            <w:pPr>
              <w:jc w:val="right"/>
              <w:ind w:right="239"/>
              <w:spacing w:after="0"/>
              <w:rPr>
                <w:sz w:val="20"/>
                <w:szCs w:val="20"/>
                <w:color w:val="auto"/>
              </w:rPr>
            </w:pPr>
            <w:r>
              <w:rPr>
                <w:rFonts w:ascii="Arial" w:cs="Arial" w:eastAsia="Arial" w:hAnsi="Arial"/>
                <w:sz w:val="8"/>
                <w:szCs w:val="8"/>
                <w:color w:val="auto"/>
              </w:rPr>
              <w:t>58,610</w:t>
            </w:r>
          </w:p>
        </w:tc>
        <w:tc>
          <w:tcPr>
            <w:tcW w:w="700" w:type="dxa"/>
            <w:vAlign w:val="bottom"/>
            <w:tcBorders>
              <w:right w:val="single" w:sz="8" w:color="auto"/>
            </w:tcBorders>
          </w:tcPr>
          <w:p>
            <w:pPr>
              <w:jc w:val="right"/>
              <w:ind w:right="39"/>
              <w:spacing w:after="0"/>
              <w:rPr>
                <w:sz w:val="20"/>
                <w:szCs w:val="20"/>
                <w:color w:val="auto"/>
              </w:rPr>
            </w:pPr>
            <w:r>
              <w:rPr>
                <w:rFonts w:ascii="Arial" w:cs="Arial" w:eastAsia="Arial" w:hAnsi="Arial"/>
                <w:sz w:val="8"/>
                <w:szCs w:val="8"/>
                <w:color w:val="auto"/>
              </w:rPr>
              <w:t>58,718</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0.2%</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580" w:type="dxa"/>
            <w:vAlign w:val="bottom"/>
            <w:tcBorders>
              <w:right w:val="single" w:sz="8" w:color="auto"/>
            </w:tcBorders>
          </w:tcPr>
          <w:p>
            <w:pPr>
              <w:spacing w:after="0"/>
              <w:rPr>
                <w:sz w:val="8"/>
                <w:szCs w:val="8"/>
                <w:color w:val="auto"/>
              </w:rPr>
            </w:pPr>
          </w:p>
        </w:tc>
        <w:tc>
          <w:tcPr>
            <w:tcW w:w="3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Net profit attributable to Credicorp</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8"/>
                <w:szCs w:val="8"/>
                <w:b w:val="1"/>
                <w:bCs w:val="1"/>
                <w:color w:val="auto"/>
              </w:rPr>
              <w:t>1,401,267</w:t>
            </w: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8"/>
                <w:szCs w:val="8"/>
                <w:b w:val="1"/>
                <w:bCs w:val="1"/>
                <w:color w:val="auto"/>
              </w:rPr>
              <w:t>1,511,657</w:t>
            </w:r>
          </w:p>
        </w:tc>
        <w:tc>
          <w:tcPr>
            <w:tcW w:w="7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8"/>
                <w:szCs w:val="8"/>
                <w:b w:val="1"/>
                <w:bCs w:val="1"/>
                <w:color w:val="auto"/>
              </w:rPr>
              <w:t>1,339,096</w:t>
            </w:r>
          </w:p>
        </w:tc>
        <w:tc>
          <w:tcPr>
            <w:tcW w:w="620" w:type="dxa"/>
            <w:vAlign w:val="bottom"/>
            <w:tcBorders>
              <w:bottom w:val="single" w:sz="8" w:color="auto"/>
            </w:tcBorders>
          </w:tcPr>
          <w:p>
            <w:pPr>
              <w:jc w:val="center"/>
              <w:ind w:left="199"/>
              <w:spacing w:after="0"/>
              <w:rPr>
                <w:sz w:val="20"/>
                <w:szCs w:val="20"/>
                <w:color w:val="auto"/>
              </w:rPr>
            </w:pPr>
            <w:r>
              <w:rPr>
                <w:rFonts w:ascii="Arial" w:cs="Arial" w:eastAsia="Arial" w:hAnsi="Arial"/>
                <w:sz w:val="8"/>
                <w:szCs w:val="8"/>
                <w:b w:val="1"/>
                <w:bCs w:val="1"/>
                <w:color w:val="auto"/>
              </w:rPr>
              <w:t>-11.4%</w:t>
            </w:r>
          </w:p>
        </w:tc>
        <w:tc>
          <w:tcPr>
            <w:tcW w:w="1160" w:type="dxa"/>
            <w:vAlign w:val="bottom"/>
            <w:tcBorders>
              <w:bottom w:val="single" w:sz="8" w:color="auto"/>
              <w:right w:val="single" w:sz="8" w:color="auto"/>
            </w:tcBorders>
          </w:tcPr>
          <w:p>
            <w:pPr>
              <w:jc w:val="center"/>
              <w:ind w:left="199"/>
              <w:spacing w:after="0"/>
              <w:rPr>
                <w:sz w:val="20"/>
                <w:szCs w:val="20"/>
                <w:color w:val="auto"/>
              </w:rPr>
            </w:pPr>
            <w:r>
              <w:rPr>
                <w:rFonts w:ascii="Arial" w:cs="Arial" w:eastAsia="Arial" w:hAnsi="Arial"/>
                <w:sz w:val="8"/>
                <w:szCs w:val="8"/>
                <w:b w:val="1"/>
                <w:bCs w:val="1"/>
                <w:color w:val="auto"/>
                <w:w w:val="95"/>
              </w:rPr>
              <w:t>-4.4%</w:t>
            </w:r>
          </w:p>
        </w:tc>
        <w:tc>
          <w:tcPr>
            <w:tcW w:w="1100" w:type="dxa"/>
            <w:vAlign w:val="bottom"/>
            <w:tcBorders>
              <w:bottom w:val="single" w:sz="8" w:color="auto"/>
            </w:tcBorders>
          </w:tcPr>
          <w:p>
            <w:pPr>
              <w:jc w:val="right"/>
              <w:ind w:right="239"/>
              <w:spacing w:after="0"/>
              <w:rPr>
                <w:sz w:val="20"/>
                <w:szCs w:val="20"/>
                <w:color w:val="auto"/>
              </w:rPr>
            </w:pPr>
            <w:r>
              <w:rPr>
                <w:rFonts w:ascii="Arial" w:cs="Arial" w:eastAsia="Arial" w:hAnsi="Arial"/>
                <w:sz w:val="8"/>
                <w:szCs w:val="8"/>
                <w:b w:val="1"/>
                <w:bCs w:val="1"/>
                <w:color w:val="auto"/>
              </w:rPr>
              <w:t>2,785,540</w:t>
            </w:r>
          </w:p>
        </w:tc>
        <w:tc>
          <w:tcPr>
            <w:tcW w:w="7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8"/>
                <w:szCs w:val="8"/>
                <w:b w:val="1"/>
                <w:bCs w:val="1"/>
                <w:color w:val="auto"/>
              </w:rPr>
              <w:t>2,850,753</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2.3%</w:t>
            </w: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9"/>
        </w:trPr>
        <w:tc>
          <w:tcPr>
            <w:tcW w:w="5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-541655</wp:posOffset>
            </wp:positionV>
            <wp:extent cx="1502410" cy="4438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5415915</wp:posOffset>
            </wp:positionH>
            <wp:positionV relativeFrom="paragraph">
              <wp:posOffset>-424180</wp:posOffset>
            </wp:positionV>
            <wp:extent cx="1750695" cy="3263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750695" cy="32639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60" w:name="page61"/>
    <w:bookmarkEnd w:id="60"/>
    <w:p>
      <w:pPr>
        <w:ind w:left="2720"/>
        <w:spacing w:after="0"/>
        <w:tabs>
          <w:tab w:leader="none" w:pos="2920" w:val="left"/>
          <w:tab w:leader="none" w:pos="7920"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10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64705" cy="581025"/>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FFFFFF"/>
        </w:rPr>
        <w:t>12. Appendix</w:t>
      </w:r>
    </w:p>
    <w:p>
      <w:pPr>
        <w:spacing w:after="0" w:line="25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12.6.2. Credicorp Stand-alone</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Statement of Financial Position</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(S/ Thousands, 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107315</wp:posOffset>
            </wp:positionV>
            <wp:extent cx="6446520" cy="1913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446520" cy="1913890"/>
                    </a:xfrm>
                    <a:prstGeom prst="rect">
                      <a:avLst/>
                    </a:prstGeom>
                    <a:noFill/>
                  </pic:spPr>
                </pic:pic>
              </a:graphicData>
            </a:graphic>
          </wp:anchor>
        </w:drawing>
      </w:r>
    </w:p>
    <w:p>
      <w:pPr>
        <w:spacing w:after="0" w:line="129" w:lineRule="exact"/>
        <w:rPr>
          <w:sz w:val="20"/>
          <w:szCs w:val="20"/>
          <w:color w:val="auto"/>
        </w:rPr>
      </w:pPr>
    </w:p>
    <w:tbl>
      <w:tblPr>
        <w:tblLayout w:type="fixed"/>
        <w:tblInd w:w="560" w:type="dxa"/>
        <w:tblCellMar>
          <w:top w:w="0" w:type="dxa"/>
          <w:left w:w="0" w:type="dxa"/>
          <w:bottom w:w="0" w:type="dxa"/>
          <w:right w:w="0" w:type="dxa"/>
        </w:tblCellMar>
      </w:tblPr>
      <w:tr>
        <w:trPr>
          <w:trHeight w:val="99"/>
        </w:trPr>
        <w:tc>
          <w:tcPr>
            <w:tcW w:w="5540" w:type="dxa"/>
            <w:vAlign w:val="bottom"/>
            <w:tcBorders>
              <w:top w:val="single" w:sz="8" w:color="auto"/>
            </w:tcBorders>
            <w:shd w:val="clear" w:color="auto" w:fill="2AD2C9"/>
          </w:tcPr>
          <w:p>
            <w:pPr>
              <w:spacing w:after="0"/>
              <w:rPr>
                <w:sz w:val="8"/>
                <w:szCs w:val="8"/>
                <w:color w:val="auto"/>
              </w:rPr>
            </w:pPr>
          </w:p>
        </w:tc>
        <w:tc>
          <w:tcPr>
            <w:tcW w:w="1000" w:type="dxa"/>
            <w:vAlign w:val="bottom"/>
            <w:tcBorders>
              <w:top w:val="single" w:sz="8" w:color="auto"/>
            </w:tcBorders>
            <w:shd w:val="clear" w:color="auto" w:fill="2AD2C9"/>
          </w:tcPr>
          <w:p>
            <w:pPr>
              <w:spacing w:after="0"/>
              <w:rPr>
                <w:sz w:val="8"/>
                <w:szCs w:val="8"/>
                <w:color w:val="auto"/>
              </w:rPr>
            </w:pPr>
          </w:p>
        </w:tc>
        <w:tc>
          <w:tcPr>
            <w:tcW w:w="1000" w:type="dxa"/>
            <w:vAlign w:val="bottom"/>
            <w:tcBorders>
              <w:top w:val="single" w:sz="8" w:color="auto"/>
            </w:tcBorders>
            <w:shd w:val="clear" w:color="auto" w:fill="2AD2C9"/>
          </w:tcPr>
          <w:p>
            <w:pPr>
              <w:jc w:val="center"/>
              <w:spacing w:after="0" w:line="99" w:lineRule="exact"/>
              <w:rPr>
                <w:sz w:val="20"/>
                <w:szCs w:val="20"/>
                <w:color w:val="auto"/>
              </w:rPr>
            </w:pPr>
            <w:r>
              <w:rPr>
                <w:rFonts w:ascii="Arial" w:cs="Arial" w:eastAsia="Arial" w:hAnsi="Arial"/>
                <w:sz w:val="10"/>
                <w:szCs w:val="10"/>
                <w:b w:val="1"/>
                <w:bCs w:val="1"/>
                <w:color w:val="FFFFFF"/>
                <w:w w:val="95"/>
              </w:rPr>
              <w:t>As of</w:t>
            </w:r>
          </w:p>
        </w:tc>
        <w:tc>
          <w:tcPr>
            <w:tcW w:w="1000" w:type="dxa"/>
            <w:vAlign w:val="bottom"/>
            <w:tcBorders>
              <w:top w:val="single" w:sz="8" w:color="auto"/>
            </w:tcBorders>
            <w:shd w:val="clear" w:color="auto" w:fill="2AD2C9"/>
          </w:tcPr>
          <w:p>
            <w:pPr>
              <w:spacing w:after="0"/>
              <w:rPr>
                <w:sz w:val="8"/>
                <w:szCs w:val="8"/>
                <w:color w:val="auto"/>
              </w:rPr>
            </w:pPr>
          </w:p>
        </w:tc>
        <w:tc>
          <w:tcPr>
            <w:tcW w:w="580" w:type="dxa"/>
            <w:vAlign w:val="bottom"/>
            <w:tcBorders>
              <w:top w:val="single" w:sz="8" w:color="auto"/>
            </w:tcBorders>
            <w:shd w:val="clear" w:color="auto" w:fill="2AD2C9"/>
          </w:tcPr>
          <w:p>
            <w:pPr>
              <w:spacing w:after="0"/>
              <w:rPr>
                <w:sz w:val="8"/>
                <w:szCs w:val="8"/>
                <w:color w:val="auto"/>
              </w:rPr>
            </w:pPr>
          </w:p>
        </w:tc>
        <w:tc>
          <w:tcPr>
            <w:tcW w:w="1020" w:type="dxa"/>
            <w:vAlign w:val="bottom"/>
            <w:tcBorders>
              <w:top w:val="single" w:sz="8" w:color="auto"/>
            </w:tcBorders>
            <w:shd w:val="clear" w:color="auto" w:fill="2AD2C9"/>
          </w:tcPr>
          <w:p>
            <w:pPr>
              <w:ind w:left="20"/>
              <w:spacing w:after="0" w:line="99" w:lineRule="exact"/>
              <w:rPr>
                <w:sz w:val="20"/>
                <w:szCs w:val="20"/>
                <w:color w:val="auto"/>
              </w:rPr>
            </w:pPr>
            <w:r>
              <w:rPr>
                <w:rFonts w:ascii="Arial" w:cs="Arial" w:eastAsia="Arial" w:hAnsi="Arial"/>
                <w:sz w:val="10"/>
                <w:szCs w:val="10"/>
                <w:b w:val="1"/>
                <w:bCs w:val="1"/>
                <w:color w:val="FFFFFF"/>
              </w:rPr>
              <w:t>% change</w:t>
            </w:r>
          </w:p>
        </w:tc>
        <w:tc>
          <w:tcPr>
            <w:tcW w:w="20" w:type="dxa"/>
            <w:vAlign w:val="bottom"/>
            <w:tcBorders>
              <w:top w:val="single" w:sz="8" w:color="auto"/>
            </w:tcBorders>
          </w:tcPr>
          <w:p>
            <w:pPr>
              <w:spacing w:after="0"/>
              <w:rPr>
                <w:sz w:val="8"/>
                <w:szCs w:val="8"/>
                <w:color w:val="auto"/>
              </w:rPr>
            </w:pPr>
          </w:p>
        </w:tc>
      </w:tr>
      <w:tr>
        <w:trPr>
          <w:trHeight w:val="117"/>
        </w:trPr>
        <w:tc>
          <w:tcPr>
            <w:tcW w:w="5540" w:type="dxa"/>
            <w:vAlign w:val="bottom"/>
            <w:tcBorders>
              <w:bottom w:val="single" w:sz="8" w:color="auto"/>
            </w:tcBorders>
            <w:shd w:val="clear" w:color="auto" w:fill="2AD2C9"/>
          </w:tcPr>
          <w:p>
            <w:pPr>
              <w:spacing w:after="0"/>
              <w:rPr>
                <w:sz w:val="10"/>
                <w:szCs w:val="10"/>
                <w:color w:val="auto"/>
              </w:rPr>
            </w:pPr>
          </w:p>
        </w:tc>
        <w:tc>
          <w:tcPr>
            <w:tcW w:w="1000" w:type="dxa"/>
            <w:vAlign w:val="bottom"/>
            <w:tcBorders>
              <w:bottom w:val="single" w:sz="8" w:color="auto"/>
            </w:tcBorders>
            <w:shd w:val="clear" w:color="auto" w:fill="2AD2C9"/>
          </w:tcPr>
          <w:p>
            <w:pPr>
              <w:ind w:left="340"/>
              <w:spacing w:after="0"/>
              <w:rPr>
                <w:sz w:val="20"/>
                <w:szCs w:val="20"/>
                <w:color w:val="auto"/>
              </w:rPr>
            </w:pPr>
            <w:r>
              <w:rPr>
                <w:rFonts w:ascii="Arial" w:cs="Arial" w:eastAsia="Arial" w:hAnsi="Arial"/>
                <w:sz w:val="10"/>
                <w:szCs w:val="10"/>
                <w:b w:val="1"/>
                <w:bCs w:val="1"/>
                <w:color w:val="FFFFFF"/>
              </w:rPr>
              <w:t>Jun 23</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4"/>
              </w:rPr>
              <w:t>Mar 24</w:t>
            </w:r>
          </w:p>
        </w:tc>
        <w:tc>
          <w:tcPr>
            <w:tcW w:w="1000" w:type="dxa"/>
            <w:vAlign w:val="bottom"/>
            <w:tcBorders>
              <w:bottom w:val="single" w:sz="8" w:color="auto"/>
            </w:tcBorders>
            <w:shd w:val="clear" w:color="auto" w:fill="2AD2C9"/>
          </w:tcPr>
          <w:p>
            <w:pPr>
              <w:jc w:val="right"/>
              <w:ind w:right="292"/>
              <w:spacing w:after="0"/>
              <w:rPr>
                <w:sz w:val="20"/>
                <w:szCs w:val="20"/>
                <w:color w:val="auto"/>
              </w:rPr>
            </w:pPr>
            <w:r>
              <w:rPr>
                <w:rFonts w:ascii="Arial" w:cs="Arial" w:eastAsia="Arial" w:hAnsi="Arial"/>
                <w:sz w:val="10"/>
                <w:szCs w:val="10"/>
                <w:b w:val="1"/>
                <w:bCs w:val="1"/>
                <w:color w:val="FFFFFF"/>
              </w:rPr>
              <w:t>Jun 24</w:t>
            </w:r>
          </w:p>
        </w:tc>
        <w:tc>
          <w:tcPr>
            <w:tcW w:w="580" w:type="dxa"/>
            <w:vAlign w:val="bottom"/>
            <w:tcBorders>
              <w:bottom w:val="single" w:sz="8" w:color="auto"/>
            </w:tcBorders>
            <w:shd w:val="clear" w:color="auto" w:fill="2AD2C9"/>
          </w:tcPr>
          <w:p>
            <w:pPr>
              <w:jc w:val="center"/>
              <w:ind w:left="212"/>
              <w:spacing w:after="0"/>
              <w:rPr>
                <w:sz w:val="20"/>
                <w:szCs w:val="20"/>
                <w:color w:val="auto"/>
              </w:rPr>
            </w:pPr>
            <w:r>
              <w:rPr>
                <w:rFonts w:ascii="Arial" w:cs="Arial" w:eastAsia="Arial" w:hAnsi="Arial"/>
                <w:sz w:val="10"/>
                <w:szCs w:val="10"/>
                <w:b w:val="1"/>
                <w:bCs w:val="1"/>
                <w:color w:val="FFFFFF"/>
                <w:w w:val="92"/>
              </w:rPr>
              <w:t>QoQ</w:t>
            </w:r>
          </w:p>
        </w:tc>
        <w:tc>
          <w:tcPr>
            <w:tcW w:w="1020" w:type="dxa"/>
            <w:vAlign w:val="bottom"/>
            <w:tcBorders>
              <w:bottom w:val="single" w:sz="8" w:color="auto"/>
            </w:tcBorders>
            <w:shd w:val="clear" w:color="auto" w:fill="2AD2C9"/>
          </w:tcPr>
          <w:p>
            <w:pPr>
              <w:jc w:val="center"/>
              <w:ind w:left="192"/>
              <w:spacing w:after="0"/>
              <w:rPr>
                <w:sz w:val="20"/>
                <w:szCs w:val="20"/>
                <w:color w:val="auto"/>
              </w:rPr>
            </w:pPr>
            <w:r>
              <w:rPr>
                <w:rFonts w:ascii="Arial" w:cs="Arial" w:eastAsia="Arial" w:hAnsi="Arial"/>
                <w:sz w:val="10"/>
                <w:szCs w:val="10"/>
                <w:b w:val="1"/>
                <w:bCs w:val="1"/>
                <w:color w:val="FFFFFF"/>
                <w:w w:val="92"/>
              </w:rPr>
              <w:t>YoY</w:t>
            </w:r>
          </w:p>
        </w:tc>
        <w:tc>
          <w:tcPr>
            <w:tcW w:w="20" w:type="dxa"/>
            <w:vAlign w:val="bottom"/>
            <w:tcBorders>
              <w:bottom w:val="single" w:sz="8" w:color="auto"/>
            </w:tcBorders>
          </w:tcPr>
          <w:p>
            <w:pPr>
              <w:spacing w:after="0"/>
              <w:rPr>
                <w:sz w:val="10"/>
                <w:szCs w:val="10"/>
                <w:color w:val="auto"/>
              </w:rPr>
            </w:pPr>
          </w:p>
        </w:tc>
      </w:tr>
      <w:tr>
        <w:trPr>
          <w:trHeight w:val="81"/>
        </w:trPr>
        <w:tc>
          <w:tcPr>
            <w:tcW w:w="5540" w:type="dxa"/>
            <w:vAlign w:val="bottom"/>
          </w:tcPr>
          <w:p>
            <w:pPr>
              <w:ind w:left="40"/>
              <w:spacing w:after="0" w:line="81" w:lineRule="exact"/>
              <w:rPr>
                <w:sz w:val="20"/>
                <w:szCs w:val="20"/>
                <w:color w:val="auto"/>
              </w:rPr>
            </w:pPr>
            <w:r>
              <w:rPr>
                <w:rFonts w:ascii="Arial" w:cs="Arial" w:eastAsia="Arial" w:hAnsi="Arial"/>
                <w:sz w:val="8"/>
                <w:szCs w:val="8"/>
                <w:b w:val="1"/>
                <w:bCs w:val="1"/>
                <w:color w:val="auto"/>
              </w:rPr>
              <w:t>ASSETS</w:t>
            </w: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3"/>
        </w:trPr>
        <w:tc>
          <w:tcPr>
            <w:tcW w:w="5540" w:type="dxa"/>
            <w:vAlign w:val="bottom"/>
          </w:tcPr>
          <w:p>
            <w:pPr>
              <w:ind w:left="40"/>
              <w:spacing w:after="0" w:line="103" w:lineRule="exact"/>
              <w:rPr>
                <w:sz w:val="20"/>
                <w:szCs w:val="20"/>
                <w:color w:val="auto"/>
              </w:rPr>
            </w:pPr>
            <w:r>
              <w:rPr>
                <w:rFonts w:ascii="Arial" w:cs="Arial" w:eastAsia="Arial" w:hAnsi="Arial"/>
                <w:sz w:val="10"/>
                <w:szCs w:val="10"/>
                <w:color w:val="auto"/>
              </w:rPr>
              <w:t>Cash and cash equivalents</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9"/>
              </w:rPr>
              <w:t>122,665</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3"/>
              </w:rPr>
              <w:t>510,036</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3"/>
              </w:rPr>
              <w:t>265,981</w:t>
            </w:r>
          </w:p>
        </w:tc>
        <w:tc>
          <w:tcPr>
            <w:tcW w:w="580" w:type="dxa"/>
            <w:vAlign w:val="bottom"/>
          </w:tcPr>
          <w:p>
            <w:pPr>
              <w:jc w:val="center"/>
              <w:ind w:left="192"/>
              <w:spacing w:after="0" w:line="103" w:lineRule="exact"/>
              <w:rPr>
                <w:sz w:val="20"/>
                <w:szCs w:val="20"/>
                <w:color w:val="auto"/>
              </w:rPr>
            </w:pPr>
            <w:r>
              <w:rPr>
                <w:rFonts w:ascii="Arial" w:cs="Arial" w:eastAsia="Arial" w:hAnsi="Arial"/>
                <w:sz w:val="10"/>
                <w:szCs w:val="10"/>
                <w:color w:val="auto"/>
                <w:w w:val="94"/>
              </w:rPr>
              <w:t>-47.9%</w:t>
            </w:r>
          </w:p>
        </w:tc>
        <w:tc>
          <w:tcPr>
            <w:tcW w:w="1020" w:type="dxa"/>
            <w:vAlign w:val="bottom"/>
          </w:tcPr>
          <w:p>
            <w:pPr>
              <w:jc w:val="center"/>
              <w:ind w:left="172"/>
              <w:spacing w:after="0" w:line="103" w:lineRule="exact"/>
              <w:rPr>
                <w:sz w:val="20"/>
                <w:szCs w:val="20"/>
                <w:color w:val="auto"/>
              </w:rPr>
            </w:pPr>
            <w:r>
              <w:rPr>
                <w:rFonts w:ascii="Arial" w:cs="Arial" w:eastAsia="Arial" w:hAnsi="Arial"/>
                <w:sz w:val="10"/>
                <w:szCs w:val="10"/>
                <w:color w:val="auto"/>
                <w:w w:val="94"/>
              </w:rPr>
              <w:t>116.8%</w:t>
            </w:r>
          </w:p>
        </w:tc>
        <w:tc>
          <w:tcPr>
            <w:tcW w:w="20" w:type="dxa"/>
            <w:vAlign w:val="bottom"/>
          </w:tcPr>
          <w:p>
            <w:pPr>
              <w:spacing w:after="0"/>
              <w:rPr>
                <w:sz w:val="8"/>
                <w:szCs w:val="8"/>
                <w:color w:val="auto"/>
              </w:rPr>
            </w:pPr>
          </w:p>
        </w:tc>
      </w:tr>
      <w:tr>
        <w:trPr>
          <w:trHeight w:val="103"/>
        </w:trPr>
        <w:tc>
          <w:tcPr>
            <w:tcW w:w="5540" w:type="dxa"/>
            <w:vAlign w:val="bottom"/>
          </w:tcPr>
          <w:p>
            <w:pPr>
              <w:ind w:left="40"/>
              <w:spacing w:after="0" w:line="103" w:lineRule="exact"/>
              <w:rPr>
                <w:sz w:val="20"/>
                <w:szCs w:val="20"/>
                <w:color w:val="auto"/>
              </w:rPr>
            </w:pPr>
            <w:r>
              <w:rPr>
                <w:rFonts w:ascii="Arial" w:cs="Arial" w:eastAsia="Arial" w:hAnsi="Arial"/>
                <w:sz w:val="10"/>
                <w:szCs w:val="10"/>
                <w:color w:val="auto"/>
              </w:rPr>
              <w:t>At fair value through profit or loss</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9"/>
              </w:rPr>
              <w:t>937,921</w:t>
            </w:r>
          </w:p>
        </w:tc>
        <w:tc>
          <w:tcPr>
            <w:tcW w:w="1000" w:type="dxa"/>
            <w:vAlign w:val="bottom"/>
          </w:tcPr>
          <w:p>
            <w:pPr>
              <w:jc w:val="right"/>
              <w:ind w:right="472"/>
              <w:spacing w:after="0" w:line="103" w:lineRule="exact"/>
              <w:rPr>
                <w:sz w:val="20"/>
                <w:szCs w:val="20"/>
                <w:color w:val="auto"/>
              </w:rPr>
            </w:pPr>
            <w:r>
              <w:rPr>
                <w:rFonts w:ascii="Arial" w:cs="Arial" w:eastAsia="Arial" w:hAnsi="Arial"/>
                <w:sz w:val="10"/>
                <w:szCs w:val="10"/>
                <w:color w:val="auto"/>
              </w:rPr>
              <w:t>-</w:t>
            </w:r>
          </w:p>
        </w:tc>
        <w:tc>
          <w:tcPr>
            <w:tcW w:w="1000" w:type="dxa"/>
            <w:vAlign w:val="bottom"/>
          </w:tcPr>
          <w:p>
            <w:pPr>
              <w:jc w:val="right"/>
              <w:ind w:right="472"/>
              <w:spacing w:after="0" w:line="103" w:lineRule="exact"/>
              <w:rPr>
                <w:sz w:val="20"/>
                <w:szCs w:val="20"/>
                <w:color w:val="auto"/>
              </w:rPr>
            </w:pPr>
            <w:r>
              <w:rPr>
                <w:rFonts w:ascii="Arial" w:cs="Arial" w:eastAsia="Arial" w:hAnsi="Arial"/>
                <w:sz w:val="10"/>
                <w:szCs w:val="10"/>
                <w:color w:val="auto"/>
              </w:rPr>
              <w:t>-</w:t>
            </w:r>
          </w:p>
        </w:tc>
        <w:tc>
          <w:tcPr>
            <w:tcW w:w="580" w:type="dxa"/>
            <w:vAlign w:val="bottom"/>
          </w:tcPr>
          <w:p>
            <w:pPr>
              <w:jc w:val="center"/>
              <w:ind w:left="212"/>
              <w:spacing w:after="0" w:line="103" w:lineRule="exact"/>
              <w:rPr>
                <w:sz w:val="20"/>
                <w:szCs w:val="20"/>
                <w:color w:val="auto"/>
              </w:rPr>
            </w:pPr>
            <w:r>
              <w:rPr>
                <w:rFonts w:ascii="Arial" w:cs="Arial" w:eastAsia="Arial" w:hAnsi="Arial"/>
                <w:sz w:val="10"/>
                <w:szCs w:val="10"/>
                <w:color w:val="auto"/>
                <w:w w:val="95"/>
              </w:rPr>
              <w:t>n.a.</w:t>
            </w:r>
          </w:p>
        </w:tc>
        <w:tc>
          <w:tcPr>
            <w:tcW w:w="1020" w:type="dxa"/>
            <w:vAlign w:val="bottom"/>
          </w:tcPr>
          <w:p>
            <w:pPr>
              <w:jc w:val="center"/>
              <w:ind w:left="192"/>
              <w:spacing w:after="0" w:line="103" w:lineRule="exact"/>
              <w:rPr>
                <w:sz w:val="20"/>
                <w:szCs w:val="20"/>
                <w:color w:val="auto"/>
              </w:rPr>
            </w:pPr>
            <w:r>
              <w:rPr>
                <w:rFonts w:ascii="Arial" w:cs="Arial" w:eastAsia="Arial" w:hAnsi="Arial"/>
                <w:sz w:val="10"/>
                <w:szCs w:val="10"/>
                <w:color w:val="auto"/>
              </w:rPr>
              <w:t>n.a</w:t>
            </w:r>
          </w:p>
        </w:tc>
        <w:tc>
          <w:tcPr>
            <w:tcW w:w="20" w:type="dxa"/>
            <w:vAlign w:val="bottom"/>
          </w:tcPr>
          <w:p>
            <w:pPr>
              <w:spacing w:after="0"/>
              <w:rPr>
                <w:sz w:val="8"/>
                <w:szCs w:val="8"/>
                <w:color w:val="auto"/>
              </w:rPr>
            </w:pPr>
          </w:p>
        </w:tc>
      </w:tr>
      <w:tr>
        <w:trPr>
          <w:trHeight w:val="103"/>
        </w:trPr>
        <w:tc>
          <w:tcPr>
            <w:tcW w:w="5540" w:type="dxa"/>
            <w:vAlign w:val="bottom"/>
          </w:tcPr>
          <w:p>
            <w:pPr>
              <w:ind w:left="40"/>
              <w:spacing w:after="0" w:line="103" w:lineRule="exact"/>
              <w:rPr>
                <w:sz w:val="20"/>
                <w:szCs w:val="20"/>
                <w:color w:val="auto"/>
              </w:rPr>
            </w:pPr>
            <w:r>
              <w:rPr>
                <w:rFonts w:ascii="Arial" w:cs="Arial" w:eastAsia="Arial" w:hAnsi="Arial"/>
                <w:sz w:val="10"/>
                <w:szCs w:val="10"/>
                <w:color w:val="auto"/>
              </w:rPr>
              <w:t>Fair value through other comprehensive income investments</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9"/>
              </w:rPr>
              <w:t>317,479</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4"/>
              </w:rPr>
              <w:t>1,427,450</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4"/>
              </w:rPr>
              <w:t>1,455,030</w:t>
            </w:r>
          </w:p>
        </w:tc>
        <w:tc>
          <w:tcPr>
            <w:tcW w:w="580" w:type="dxa"/>
            <w:vAlign w:val="bottom"/>
          </w:tcPr>
          <w:p>
            <w:pPr>
              <w:jc w:val="center"/>
              <w:ind w:left="192"/>
              <w:spacing w:after="0" w:line="103" w:lineRule="exact"/>
              <w:rPr>
                <w:sz w:val="20"/>
                <w:szCs w:val="20"/>
                <w:color w:val="auto"/>
              </w:rPr>
            </w:pPr>
            <w:r>
              <w:rPr>
                <w:rFonts w:ascii="Arial" w:cs="Arial" w:eastAsia="Arial" w:hAnsi="Arial"/>
                <w:sz w:val="10"/>
                <w:szCs w:val="10"/>
                <w:color w:val="auto"/>
                <w:w w:val="96"/>
              </w:rPr>
              <w:t>1.9%</w:t>
            </w:r>
          </w:p>
        </w:tc>
        <w:tc>
          <w:tcPr>
            <w:tcW w:w="1020" w:type="dxa"/>
            <w:vAlign w:val="bottom"/>
          </w:tcPr>
          <w:p>
            <w:pPr>
              <w:jc w:val="center"/>
              <w:ind w:left="192"/>
              <w:spacing w:after="0" w:line="103" w:lineRule="exact"/>
              <w:rPr>
                <w:sz w:val="20"/>
                <w:szCs w:val="20"/>
                <w:color w:val="auto"/>
              </w:rPr>
            </w:pPr>
            <w:r>
              <w:rPr>
                <w:rFonts w:ascii="Arial" w:cs="Arial" w:eastAsia="Arial" w:hAnsi="Arial"/>
                <w:sz w:val="10"/>
                <w:szCs w:val="10"/>
                <w:color w:val="auto"/>
              </w:rPr>
              <w:t>358.3%</w:t>
            </w:r>
          </w:p>
        </w:tc>
        <w:tc>
          <w:tcPr>
            <w:tcW w:w="20" w:type="dxa"/>
            <w:vAlign w:val="bottom"/>
          </w:tcPr>
          <w:p>
            <w:pPr>
              <w:spacing w:after="0"/>
              <w:rPr>
                <w:sz w:val="8"/>
                <w:szCs w:val="8"/>
                <w:color w:val="auto"/>
              </w:rPr>
            </w:pPr>
          </w:p>
        </w:tc>
      </w:tr>
      <w:tr>
        <w:trPr>
          <w:trHeight w:val="103"/>
        </w:trPr>
        <w:tc>
          <w:tcPr>
            <w:tcW w:w="5540" w:type="dxa"/>
            <w:vAlign w:val="bottom"/>
          </w:tcPr>
          <w:p>
            <w:pPr>
              <w:ind w:left="40"/>
              <w:spacing w:after="0" w:line="103" w:lineRule="exact"/>
              <w:rPr>
                <w:sz w:val="20"/>
                <w:szCs w:val="20"/>
                <w:color w:val="auto"/>
              </w:rPr>
            </w:pPr>
            <w:r>
              <w:rPr>
                <w:rFonts w:ascii="Arial" w:cs="Arial" w:eastAsia="Arial" w:hAnsi="Arial"/>
                <w:sz w:val="10"/>
                <w:szCs w:val="10"/>
                <w:color w:val="auto"/>
              </w:rPr>
              <w:t>In subsidiaries and associates investments</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5"/>
              </w:rPr>
              <w:t>34,755,621</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5"/>
              </w:rPr>
              <w:t>37,392,797</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5"/>
              </w:rPr>
              <w:t>36,415,839</w:t>
            </w:r>
          </w:p>
        </w:tc>
        <w:tc>
          <w:tcPr>
            <w:tcW w:w="580" w:type="dxa"/>
            <w:vAlign w:val="bottom"/>
          </w:tcPr>
          <w:p>
            <w:pPr>
              <w:jc w:val="center"/>
              <w:ind w:left="212"/>
              <w:spacing w:after="0" w:line="103" w:lineRule="exact"/>
              <w:rPr>
                <w:sz w:val="20"/>
                <w:szCs w:val="20"/>
                <w:color w:val="auto"/>
              </w:rPr>
            </w:pPr>
            <w:r>
              <w:rPr>
                <w:rFonts w:ascii="Arial" w:cs="Arial" w:eastAsia="Arial" w:hAnsi="Arial"/>
                <w:sz w:val="10"/>
                <w:szCs w:val="10"/>
                <w:color w:val="auto"/>
                <w:w w:val="91"/>
              </w:rPr>
              <w:t>-2.6%</w:t>
            </w:r>
          </w:p>
        </w:tc>
        <w:tc>
          <w:tcPr>
            <w:tcW w:w="1020" w:type="dxa"/>
            <w:vAlign w:val="bottom"/>
          </w:tcPr>
          <w:p>
            <w:pPr>
              <w:jc w:val="center"/>
              <w:ind w:left="192"/>
              <w:spacing w:after="0" w:line="103" w:lineRule="exact"/>
              <w:rPr>
                <w:sz w:val="20"/>
                <w:szCs w:val="20"/>
                <w:color w:val="auto"/>
              </w:rPr>
            </w:pPr>
            <w:r>
              <w:rPr>
                <w:rFonts w:ascii="Arial" w:cs="Arial" w:eastAsia="Arial" w:hAnsi="Arial"/>
                <w:sz w:val="10"/>
                <w:szCs w:val="10"/>
                <w:color w:val="auto"/>
                <w:w w:val="96"/>
              </w:rPr>
              <w:t>4.8%</w:t>
            </w:r>
          </w:p>
        </w:tc>
        <w:tc>
          <w:tcPr>
            <w:tcW w:w="20" w:type="dxa"/>
            <w:vAlign w:val="bottom"/>
          </w:tcPr>
          <w:p>
            <w:pPr>
              <w:spacing w:after="0"/>
              <w:rPr>
                <w:sz w:val="8"/>
                <w:szCs w:val="8"/>
                <w:color w:val="auto"/>
              </w:rPr>
            </w:pPr>
          </w:p>
        </w:tc>
      </w:tr>
      <w:tr>
        <w:trPr>
          <w:trHeight w:val="103"/>
        </w:trPr>
        <w:tc>
          <w:tcPr>
            <w:tcW w:w="5540" w:type="dxa"/>
            <w:vAlign w:val="bottom"/>
          </w:tcPr>
          <w:p>
            <w:pPr>
              <w:ind w:left="40"/>
              <w:spacing w:after="0" w:line="103" w:lineRule="exact"/>
              <w:rPr>
                <w:sz w:val="20"/>
                <w:szCs w:val="20"/>
                <w:color w:val="auto"/>
              </w:rPr>
            </w:pPr>
            <w:r>
              <w:rPr>
                <w:rFonts w:ascii="Arial" w:cs="Arial" w:eastAsia="Arial" w:hAnsi="Arial"/>
                <w:sz w:val="10"/>
                <w:szCs w:val="10"/>
                <w:color w:val="auto"/>
              </w:rPr>
              <w:t>Investments at amortized cost</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rPr>
              <w:t>-</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3"/>
              </w:rPr>
              <w:t>640,723</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3"/>
              </w:rPr>
              <w:t>668,698</w:t>
            </w:r>
          </w:p>
        </w:tc>
        <w:tc>
          <w:tcPr>
            <w:tcW w:w="580" w:type="dxa"/>
            <w:vAlign w:val="bottom"/>
          </w:tcPr>
          <w:p>
            <w:pPr>
              <w:jc w:val="center"/>
              <w:ind w:left="192"/>
              <w:spacing w:after="0" w:line="103" w:lineRule="exact"/>
              <w:rPr>
                <w:sz w:val="20"/>
                <w:szCs w:val="20"/>
                <w:color w:val="auto"/>
              </w:rPr>
            </w:pPr>
            <w:r>
              <w:rPr>
                <w:rFonts w:ascii="Arial" w:cs="Arial" w:eastAsia="Arial" w:hAnsi="Arial"/>
                <w:sz w:val="10"/>
                <w:szCs w:val="10"/>
                <w:color w:val="auto"/>
                <w:w w:val="96"/>
              </w:rPr>
              <w:t>4.4%</w:t>
            </w:r>
          </w:p>
        </w:tc>
        <w:tc>
          <w:tcPr>
            <w:tcW w:w="1020" w:type="dxa"/>
            <w:vAlign w:val="bottom"/>
          </w:tcPr>
          <w:p>
            <w:pPr>
              <w:jc w:val="center"/>
              <w:ind w:left="192"/>
              <w:spacing w:after="0" w:line="103" w:lineRule="exact"/>
              <w:rPr>
                <w:sz w:val="20"/>
                <w:szCs w:val="20"/>
                <w:color w:val="auto"/>
              </w:rPr>
            </w:pPr>
            <w:r>
              <w:rPr>
                <w:rFonts w:ascii="Arial" w:cs="Arial" w:eastAsia="Arial" w:hAnsi="Arial"/>
                <w:sz w:val="10"/>
                <w:szCs w:val="10"/>
                <w:color w:val="auto"/>
              </w:rPr>
              <w:t>n.a</w:t>
            </w:r>
          </w:p>
        </w:tc>
        <w:tc>
          <w:tcPr>
            <w:tcW w:w="20" w:type="dxa"/>
            <w:vAlign w:val="bottom"/>
          </w:tcPr>
          <w:p>
            <w:pPr>
              <w:spacing w:after="0"/>
              <w:rPr>
                <w:sz w:val="8"/>
                <w:szCs w:val="8"/>
                <w:color w:val="auto"/>
              </w:rPr>
            </w:pPr>
          </w:p>
        </w:tc>
      </w:tr>
      <w:tr>
        <w:trPr>
          <w:trHeight w:val="125"/>
        </w:trPr>
        <w:tc>
          <w:tcPr>
            <w:tcW w:w="5540" w:type="dxa"/>
            <w:vAlign w:val="bottom"/>
          </w:tcPr>
          <w:p>
            <w:pPr>
              <w:ind w:left="40"/>
              <w:spacing w:after="0"/>
              <w:rPr>
                <w:sz w:val="20"/>
                <w:szCs w:val="20"/>
                <w:color w:val="auto"/>
              </w:rPr>
            </w:pPr>
            <w:r>
              <w:rPr>
                <w:rFonts w:ascii="Arial" w:cs="Arial" w:eastAsia="Arial" w:hAnsi="Arial"/>
                <w:sz w:val="10"/>
                <w:szCs w:val="10"/>
                <w:color w:val="auto"/>
              </w:rPr>
              <w:t>Other assets</w:t>
            </w:r>
          </w:p>
        </w:tc>
        <w:tc>
          <w:tcPr>
            <w:tcW w:w="1000" w:type="dxa"/>
            <w:vAlign w:val="bottom"/>
          </w:tcPr>
          <w:p>
            <w:pPr>
              <w:jc w:val="center"/>
              <w:spacing w:after="0"/>
              <w:rPr>
                <w:sz w:val="20"/>
                <w:szCs w:val="20"/>
                <w:color w:val="auto"/>
              </w:rPr>
            </w:pPr>
            <w:r>
              <w:rPr>
                <w:rFonts w:ascii="Arial" w:cs="Arial" w:eastAsia="Arial" w:hAnsi="Arial"/>
                <w:sz w:val="10"/>
                <w:szCs w:val="10"/>
                <w:color w:val="auto"/>
                <w:w w:val="95"/>
              </w:rPr>
              <w:t>197</w:t>
            </w:r>
          </w:p>
        </w:tc>
        <w:tc>
          <w:tcPr>
            <w:tcW w:w="1000" w:type="dxa"/>
            <w:vAlign w:val="bottom"/>
          </w:tcPr>
          <w:p>
            <w:pPr>
              <w:jc w:val="center"/>
              <w:spacing w:after="0"/>
              <w:rPr>
                <w:sz w:val="20"/>
                <w:szCs w:val="20"/>
                <w:color w:val="auto"/>
              </w:rPr>
            </w:pPr>
            <w:r>
              <w:rPr>
                <w:rFonts w:ascii="Arial" w:cs="Arial" w:eastAsia="Arial" w:hAnsi="Arial"/>
                <w:sz w:val="10"/>
                <w:szCs w:val="10"/>
                <w:color w:val="auto"/>
                <w:w w:val="93"/>
              </w:rPr>
              <w:t>294,639</w:t>
            </w:r>
          </w:p>
        </w:tc>
        <w:tc>
          <w:tcPr>
            <w:tcW w:w="1000" w:type="dxa"/>
            <w:vAlign w:val="bottom"/>
          </w:tcPr>
          <w:p>
            <w:pPr>
              <w:jc w:val="center"/>
              <w:spacing w:after="0"/>
              <w:rPr>
                <w:sz w:val="20"/>
                <w:szCs w:val="20"/>
                <w:color w:val="auto"/>
              </w:rPr>
            </w:pPr>
            <w:r>
              <w:rPr>
                <w:rFonts w:ascii="Arial" w:cs="Arial" w:eastAsia="Arial" w:hAnsi="Arial"/>
                <w:sz w:val="10"/>
                <w:szCs w:val="10"/>
                <w:color w:val="auto"/>
                <w:w w:val="95"/>
              </w:rPr>
              <w:t>1,560</w:t>
            </w:r>
          </w:p>
        </w:tc>
        <w:tc>
          <w:tcPr>
            <w:tcW w:w="580" w:type="dxa"/>
            <w:vAlign w:val="bottom"/>
          </w:tcPr>
          <w:p>
            <w:pPr>
              <w:jc w:val="center"/>
              <w:ind w:left="212"/>
              <w:spacing w:after="0"/>
              <w:rPr>
                <w:sz w:val="20"/>
                <w:szCs w:val="20"/>
                <w:color w:val="auto"/>
              </w:rPr>
            </w:pPr>
            <w:r>
              <w:rPr>
                <w:rFonts w:ascii="Arial" w:cs="Arial" w:eastAsia="Arial" w:hAnsi="Arial"/>
                <w:sz w:val="10"/>
                <w:szCs w:val="10"/>
                <w:color w:val="auto"/>
                <w:w w:val="95"/>
              </w:rPr>
              <w:t>n.a.</w:t>
            </w:r>
          </w:p>
        </w:tc>
        <w:tc>
          <w:tcPr>
            <w:tcW w:w="1020" w:type="dxa"/>
            <w:vAlign w:val="bottom"/>
          </w:tcPr>
          <w:p>
            <w:pPr>
              <w:jc w:val="center"/>
              <w:ind w:left="192"/>
              <w:spacing w:after="0"/>
              <w:rPr>
                <w:sz w:val="20"/>
                <w:szCs w:val="20"/>
                <w:color w:val="auto"/>
              </w:rPr>
            </w:pPr>
            <w:r>
              <w:rPr>
                <w:rFonts w:ascii="Arial" w:cs="Arial" w:eastAsia="Arial" w:hAnsi="Arial"/>
                <w:sz w:val="10"/>
                <w:szCs w:val="10"/>
                <w:color w:val="auto"/>
              </w:rPr>
              <w:t>691.9%</w:t>
            </w:r>
          </w:p>
        </w:tc>
        <w:tc>
          <w:tcPr>
            <w:tcW w:w="20" w:type="dxa"/>
            <w:vAlign w:val="bottom"/>
          </w:tcPr>
          <w:p>
            <w:pPr>
              <w:spacing w:after="0"/>
              <w:rPr>
                <w:sz w:val="10"/>
                <w:szCs w:val="10"/>
                <w:color w:val="auto"/>
              </w:rPr>
            </w:pPr>
          </w:p>
        </w:tc>
      </w:tr>
    </w:tbl>
    <w:p>
      <w:pPr>
        <w:spacing w:after="0" w:line="79" w:lineRule="exact"/>
        <w:rPr>
          <w:sz w:val="20"/>
          <w:szCs w:val="20"/>
          <w:color w:val="auto"/>
        </w:rPr>
      </w:pPr>
    </w:p>
    <w:tbl>
      <w:tblPr>
        <w:tblLayout w:type="fixed"/>
        <w:tblInd w:w="600" w:type="dxa"/>
        <w:tblCellMar>
          <w:top w:w="0" w:type="dxa"/>
          <w:left w:w="0" w:type="dxa"/>
          <w:bottom w:w="0" w:type="dxa"/>
          <w:right w:w="0" w:type="dxa"/>
        </w:tblCellMar>
      </w:tblPr>
      <w:tr>
        <w:trPr>
          <w:trHeight w:val="131"/>
        </w:trPr>
        <w:tc>
          <w:tcPr>
            <w:tcW w:w="4420" w:type="dxa"/>
            <w:vAlign w:val="bottom"/>
          </w:tcPr>
          <w:p>
            <w:pPr>
              <w:ind w:left="2460"/>
              <w:spacing w:after="0"/>
              <w:rPr>
                <w:sz w:val="20"/>
                <w:szCs w:val="20"/>
                <w:color w:val="auto"/>
              </w:rPr>
            </w:pPr>
            <w:r>
              <w:rPr>
                <w:rFonts w:ascii="Arial" w:cs="Arial" w:eastAsia="Arial" w:hAnsi="Arial"/>
                <w:sz w:val="10"/>
                <w:szCs w:val="10"/>
                <w:b w:val="1"/>
                <w:bCs w:val="1"/>
                <w:color w:val="auto"/>
              </w:rPr>
              <w:t>Total Assets</w:t>
            </w:r>
          </w:p>
        </w:tc>
        <w:tc>
          <w:tcPr>
            <w:tcW w:w="2080" w:type="dxa"/>
            <w:vAlign w:val="bottom"/>
          </w:tcPr>
          <w:p>
            <w:pPr>
              <w:jc w:val="center"/>
              <w:ind w:left="1032"/>
              <w:spacing w:after="0"/>
              <w:rPr>
                <w:sz w:val="20"/>
                <w:szCs w:val="20"/>
                <w:color w:val="auto"/>
              </w:rPr>
            </w:pPr>
            <w:r>
              <w:rPr>
                <w:rFonts w:ascii="Arial" w:cs="Arial" w:eastAsia="Arial" w:hAnsi="Arial"/>
                <w:sz w:val="10"/>
                <w:szCs w:val="10"/>
                <w:b w:val="1"/>
                <w:bCs w:val="1"/>
                <w:color w:val="auto"/>
                <w:w w:val="95"/>
              </w:rPr>
              <w:t>36,133,883</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5"/>
              </w:rPr>
              <w:t>40,265,645</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5"/>
              </w:rPr>
              <w:t>38,807,108</w:t>
            </w: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1"/>
              </w:rPr>
              <w:t>-3.6%</w:t>
            </w:r>
          </w:p>
        </w:tc>
        <w:tc>
          <w:tcPr>
            <w:tcW w:w="580" w:type="dxa"/>
            <w:vAlign w:val="bottom"/>
          </w:tcPr>
          <w:p>
            <w:pPr>
              <w:jc w:val="center"/>
              <w:ind w:left="192"/>
              <w:spacing w:after="0"/>
              <w:rPr>
                <w:sz w:val="20"/>
                <w:szCs w:val="20"/>
                <w:color w:val="auto"/>
              </w:rPr>
            </w:pPr>
            <w:r>
              <w:rPr>
                <w:rFonts w:ascii="Arial" w:cs="Arial" w:eastAsia="Arial" w:hAnsi="Arial"/>
                <w:sz w:val="10"/>
                <w:szCs w:val="10"/>
                <w:b w:val="1"/>
                <w:bCs w:val="1"/>
                <w:color w:val="auto"/>
                <w:w w:val="96"/>
              </w:rPr>
              <w:t>7.4%</w:t>
            </w:r>
          </w:p>
        </w:tc>
      </w:tr>
      <w:tr>
        <w:trPr>
          <w:trHeight w:val="206"/>
        </w:trPr>
        <w:tc>
          <w:tcPr>
            <w:tcW w:w="4420" w:type="dxa"/>
            <w:vAlign w:val="bottom"/>
          </w:tcPr>
          <w:p>
            <w:pPr>
              <w:spacing w:after="0"/>
              <w:rPr>
                <w:sz w:val="20"/>
                <w:szCs w:val="20"/>
                <w:color w:val="auto"/>
              </w:rPr>
            </w:pPr>
            <w:r>
              <w:rPr>
                <w:rFonts w:ascii="Arial" w:cs="Arial" w:eastAsia="Arial" w:hAnsi="Arial"/>
                <w:sz w:val="10"/>
                <w:szCs w:val="10"/>
                <w:b w:val="1"/>
                <w:bCs w:val="1"/>
                <w:color w:val="auto"/>
              </w:rPr>
              <w:t>LIABILITIES AND NET SHAREHOLDERS’ EQUITY</w:t>
            </w:r>
          </w:p>
        </w:tc>
        <w:tc>
          <w:tcPr>
            <w:tcW w:w="2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80"/>
        </w:trPr>
        <w:tc>
          <w:tcPr>
            <w:tcW w:w="4420" w:type="dxa"/>
            <w:vAlign w:val="bottom"/>
          </w:tcPr>
          <w:p>
            <w:pPr>
              <w:spacing w:after="0"/>
              <w:rPr>
                <w:sz w:val="20"/>
                <w:szCs w:val="20"/>
                <w:color w:val="auto"/>
              </w:rPr>
            </w:pPr>
            <w:r>
              <w:rPr>
                <w:rFonts w:ascii="Arial" w:cs="Arial" w:eastAsia="Arial" w:hAnsi="Arial"/>
                <w:sz w:val="10"/>
                <w:szCs w:val="10"/>
                <w:color w:val="auto"/>
              </w:rPr>
              <w:t>Bonds and notes issued</w:t>
            </w:r>
          </w:p>
        </w:tc>
        <w:tc>
          <w:tcPr>
            <w:tcW w:w="2080" w:type="dxa"/>
            <w:vAlign w:val="bottom"/>
          </w:tcPr>
          <w:p>
            <w:pPr>
              <w:jc w:val="center"/>
              <w:ind w:left="1032"/>
              <w:spacing w:after="0"/>
              <w:rPr>
                <w:sz w:val="20"/>
                <w:szCs w:val="20"/>
                <w:color w:val="auto"/>
              </w:rPr>
            </w:pPr>
            <w:r>
              <w:rPr>
                <w:rFonts w:ascii="Arial" w:cs="Arial" w:eastAsia="Arial" w:hAnsi="Arial"/>
                <w:sz w:val="10"/>
                <w:szCs w:val="10"/>
                <w:color w:val="auto"/>
                <w:w w:val="98"/>
              </w:rPr>
              <w:t>1,803,725</w:t>
            </w:r>
          </w:p>
        </w:tc>
        <w:tc>
          <w:tcPr>
            <w:tcW w:w="1000" w:type="dxa"/>
            <w:vAlign w:val="bottom"/>
          </w:tcPr>
          <w:p>
            <w:pPr>
              <w:jc w:val="center"/>
              <w:spacing w:after="0"/>
              <w:rPr>
                <w:sz w:val="20"/>
                <w:szCs w:val="20"/>
                <w:color w:val="auto"/>
              </w:rPr>
            </w:pPr>
            <w:r>
              <w:rPr>
                <w:rFonts w:ascii="Arial" w:cs="Arial" w:eastAsia="Arial" w:hAnsi="Arial"/>
                <w:sz w:val="10"/>
                <w:szCs w:val="10"/>
                <w:color w:val="auto"/>
                <w:w w:val="94"/>
              </w:rPr>
              <w:t>1,816,584</w:t>
            </w:r>
          </w:p>
        </w:tc>
        <w:tc>
          <w:tcPr>
            <w:tcW w:w="1000" w:type="dxa"/>
            <w:vAlign w:val="bottom"/>
          </w:tcPr>
          <w:p>
            <w:pPr>
              <w:jc w:val="center"/>
              <w:spacing w:after="0"/>
              <w:rPr>
                <w:sz w:val="20"/>
                <w:szCs w:val="20"/>
                <w:color w:val="auto"/>
              </w:rPr>
            </w:pPr>
            <w:r>
              <w:rPr>
                <w:rFonts w:ascii="Arial" w:cs="Arial" w:eastAsia="Arial" w:hAnsi="Arial"/>
                <w:sz w:val="10"/>
                <w:szCs w:val="10"/>
                <w:color w:val="auto"/>
                <w:w w:val="94"/>
              </w:rPr>
              <w:t>1,859,959</w:t>
            </w:r>
          </w:p>
        </w:tc>
        <w:tc>
          <w:tcPr>
            <w:tcW w:w="800" w:type="dxa"/>
            <w:vAlign w:val="bottom"/>
          </w:tcPr>
          <w:p>
            <w:pPr>
              <w:jc w:val="center"/>
              <w:spacing w:after="0"/>
              <w:rPr>
                <w:sz w:val="20"/>
                <w:szCs w:val="20"/>
                <w:color w:val="auto"/>
              </w:rPr>
            </w:pPr>
            <w:r>
              <w:rPr>
                <w:rFonts w:ascii="Arial" w:cs="Arial" w:eastAsia="Arial" w:hAnsi="Arial"/>
                <w:sz w:val="10"/>
                <w:szCs w:val="10"/>
                <w:color w:val="auto"/>
                <w:w w:val="96"/>
              </w:rPr>
              <w:t>2.4%</w:t>
            </w:r>
          </w:p>
        </w:tc>
        <w:tc>
          <w:tcPr>
            <w:tcW w:w="580" w:type="dxa"/>
            <w:vAlign w:val="bottom"/>
          </w:tcPr>
          <w:p>
            <w:pPr>
              <w:jc w:val="center"/>
              <w:ind w:left="192"/>
              <w:spacing w:after="0"/>
              <w:rPr>
                <w:sz w:val="20"/>
                <w:szCs w:val="20"/>
                <w:color w:val="auto"/>
              </w:rPr>
            </w:pPr>
            <w:r>
              <w:rPr>
                <w:rFonts w:ascii="Arial" w:cs="Arial" w:eastAsia="Arial" w:hAnsi="Arial"/>
                <w:sz w:val="10"/>
                <w:szCs w:val="10"/>
                <w:color w:val="auto"/>
                <w:w w:val="96"/>
              </w:rPr>
              <w:t>3.1%</w:t>
            </w:r>
          </w:p>
        </w:tc>
      </w:tr>
      <w:tr>
        <w:trPr>
          <w:trHeight w:val="125"/>
        </w:trPr>
        <w:tc>
          <w:tcPr>
            <w:tcW w:w="4420" w:type="dxa"/>
            <w:vAlign w:val="bottom"/>
          </w:tcPr>
          <w:p>
            <w:pPr>
              <w:spacing w:after="0"/>
              <w:rPr>
                <w:sz w:val="20"/>
                <w:szCs w:val="20"/>
                <w:color w:val="auto"/>
              </w:rPr>
            </w:pPr>
            <w:r>
              <w:rPr>
                <w:rFonts w:ascii="Arial" w:cs="Arial" w:eastAsia="Arial" w:hAnsi="Arial"/>
                <w:sz w:val="10"/>
                <w:szCs w:val="10"/>
                <w:color w:val="auto"/>
              </w:rPr>
              <w:t>Other liabilities</w:t>
            </w:r>
          </w:p>
        </w:tc>
        <w:tc>
          <w:tcPr>
            <w:tcW w:w="2080" w:type="dxa"/>
            <w:vAlign w:val="bottom"/>
          </w:tcPr>
          <w:p>
            <w:pPr>
              <w:jc w:val="center"/>
              <w:ind w:left="1032"/>
              <w:spacing w:after="0"/>
              <w:rPr>
                <w:sz w:val="20"/>
                <w:szCs w:val="20"/>
                <w:color w:val="auto"/>
              </w:rPr>
            </w:pPr>
            <w:r>
              <w:rPr>
                <w:rFonts w:ascii="Arial" w:cs="Arial" w:eastAsia="Arial" w:hAnsi="Arial"/>
                <w:sz w:val="10"/>
                <w:szCs w:val="10"/>
                <w:color w:val="auto"/>
                <w:w w:val="99"/>
              </w:rPr>
              <w:t>161,170</w:t>
            </w:r>
          </w:p>
        </w:tc>
        <w:tc>
          <w:tcPr>
            <w:tcW w:w="1000" w:type="dxa"/>
            <w:vAlign w:val="bottom"/>
          </w:tcPr>
          <w:p>
            <w:pPr>
              <w:jc w:val="center"/>
              <w:spacing w:after="0"/>
              <w:rPr>
                <w:sz w:val="20"/>
                <w:szCs w:val="20"/>
                <w:color w:val="auto"/>
              </w:rPr>
            </w:pPr>
            <w:r>
              <w:rPr>
                <w:rFonts w:ascii="Arial" w:cs="Arial" w:eastAsia="Arial" w:hAnsi="Arial"/>
                <w:sz w:val="10"/>
                <w:szCs w:val="10"/>
                <w:color w:val="auto"/>
                <w:w w:val="93"/>
              </w:rPr>
              <w:t>296,682</w:t>
            </w:r>
          </w:p>
        </w:tc>
        <w:tc>
          <w:tcPr>
            <w:tcW w:w="1000" w:type="dxa"/>
            <w:vAlign w:val="bottom"/>
          </w:tcPr>
          <w:p>
            <w:pPr>
              <w:jc w:val="center"/>
              <w:spacing w:after="0"/>
              <w:rPr>
                <w:sz w:val="20"/>
                <w:szCs w:val="20"/>
                <w:color w:val="auto"/>
              </w:rPr>
            </w:pPr>
            <w:r>
              <w:rPr>
                <w:rFonts w:ascii="Arial" w:cs="Arial" w:eastAsia="Arial" w:hAnsi="Arial"/>
                <w:sz w:val="10"/>
                <w:szCs w:val="10"/>
                <w:color w:val="auto"/>
                <w:w w:val="93"/>
              </w:rPr>
              <w:t>214,061</w:t>
            </w:r>
          </w:p>
        </w:tc>
        <w:tc>
          <w:tcPr>
            <w:tcW w:w="800" w:type="dxa"/>
            <w:vAlign w:val="bottom"/>
          </w:tcPr>
          <w:p>
            <w:pPr>
              <w:jc w:val="center"/>
              <w:spacing w:after="0"/>
              <w:rPr>
                <w:sz w:val="20"/>
                <w:szCs w:val="20"/>
                <w:color w:val="auto"/>
              </w:rPr>
            </w:pPr>
            <w:r>
              <w:rPr>
                <w:rFonts w:ascii="Arial" w:cs="Arial" w:eastAsia="Arial" w:hAnsi="Arial"/>
                <w:sz w:val="10"/>
                <w:szCs w:val="10"/>
                <w:color w:val="auto"/>
                <w:w w:val="94"/>
              </w:rPr>
              <w:t>-27.8%</w:t>
            </w:r>
          </w:p>
        </w:tc>
        <w:tc>
          <w:tcPr>
            <w:tcW w:w="580" w:type="dxa"/>
            <w:vAlign w:val="bottom"/>
          </w:tcPr>
          <w:p>
            <w:pPr>
              <w:jc w:val="center"/>
              <w:ind w:left="192"/>
              <w:spacing w:after="0"/>
              <w:rPr>
                <w:sz w:val="20"/>
                <w:szCs w:val="20"/>
                <w:color w:val="auto"/>
              </w:rPr>
            </w:pPr>
            <w:r>
              <w:rPr>
                <w:rFonts w:ascii="Arial" w:cs="Arial" w:eastAsia="Arial" w:hAnsi="Arial"/>
                <w:sz w:val="10"/>
                <w:szCs w:val="10"/>
                <w:color w:val="auto"/>
                <w:w w:val="91"/>
              </w:rPr>
              <w:t>32.8%</w:t>
            </w:r>
          </w:p>
        </w:tc>
      </w:tr>
      <w:tr>
        <w:trPr>
          <w:trHeight w:val="210"/>
        </w:trPr>
        <w:tc>
          <w:tcPr>
            <w:tcW w:w="4420" w:type="dxa"/>
            <w:vAlign w:val="bottom"/>
          </w:tcPr>
          <w:p>
            <w:pPr>
              <w:ind w:left="2380"/>
              <w:spacing w:after="0"/>
              <w:rPr>
                <w:sz w:val="20"/>
                <w:szCs w:val="20"/>
                <w:color w:val="auto"/>
              </w:rPr>
            </w:pPr>
            <w:r>
              <w:rPr>
                <w:rFonts w:ascii="Arial" w:cs="Arial" w:eastAsia="Arial" w:hAnsi="Arial"/>
                <w:sz w:val="10"/>
                <w:szCs w:val="10"/>
                <w:b w:val="1"/>
                <w:bCs w:val="1"/>
                <w:color w:val="auto"/>
              </w:rPr>
              <w:t>Total Liabilities</w:t>
            </w:r>
          </w:p>
        </w:tc>
        <w:tc>
          <w:tcPr>
            <w:tcW w:w="2080" w:type="dxa"/>
            <w:vAlign w:val="bottom"/>
          </w:tcPr>
          <w:p>
            <w:pPr>
              <w:jc w:val="center"/>
              <w:ind w:left="1032"/>
              <w:spacing w:after="0"/>
              <w:rPr>
                <w:sz w:val="20"/>
                <w:szCs w:val="20"/>
                <w:color w:val="auto"/>
              </w:rPr>
            </w:pPr>
            <w:r>
              <w:rPr>
                <w:rFonts w:ascii="Arial" w:cs="Arial" w:eastAsia="Arial" w:hAnsi="Arial"/>
                <w:sz w:val="10"/>
                <w:szCs w:val="10"/>
                <w:b w:val="1"/>
                <w:bCs w:val="1"/>
                <w:color w:val="auto"/>
                <w:w w:val="98"/>
              </w:rPr>
              <w:t>1,964,895</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4"/>
              </w:rPr>
              <w:t>2,113,266</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4"/>
              </w:rPr>
              <w:t>2,074,020</w:t>
            </w: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1"/>
              </w:rPr>
              <w:t>-1.9%</w:t>
            </w:r>
          </w:p>
        </w:tc>
        <w:tc>
          <w:tcPr>
            <w:tcW w:w="580" w:type="dxa"/>
            <w:vAlign w:val="bottom"/>
          </w:tcPr>
          <w:p>
            <w:pPr>
              <w:jc w:val="center"/>
              <w:ind w:left="192"/>
              <w:spacing w:after="0"/>
              <w:rPr>
                <w:sz w:val="20"/>
                <w:szCs w:val="20"/>
                <w:color w:val="auto"/>
              </w:rPr>
            </w:pPr>
            <w:r>
              <w:rPr>
                <w:rFonts w:ascii="Arial" w:cs="Arial" w:eastAsia="Arial" w:hAnsi="Arial"/>
                <w:sz w:val="10"/>
                <w:szCs w:val="10"/>
                <w:b w:val="1"/>
                <w:bCs w:val="1"/>
                <w:color w:val="auto"/>
                <w:w w:val="96"/>
              </w:rPr>
              <w:t>5.6%</w:t>
            </w:r>
          </w:p>
        </w:tc>
      </w:tr>
      <w:tr>
        <w:trPr>
          <w:trHeight w:val="180"/>
        </w:trPr>
        <w:tc>
          <w:tcPr>
            <w:tcW w:w="4420" w:type="dxa"/>
            <w:vAlign w:val="bottom"/>
          </w:tcPr>
          <w:p>
            <w:pPr>
              <w:spacing w:after="0"/>
              <w:rPr>
                <w:sz w:val="20"/>
                <w:szCs w:val="20"/>
                <w:color w:val="auto"/>
              </w:rPr>
            </w:pPr>
            <w:r>
              <w:rPr>
                <w:rFonts w:ascii="Arial" w:cs="Arial" w:eastAsia="Arial" w:hAnsi="Arial"/>
                <w:sz w:val="10"/>
                <w:szCs w:val="10"/>
                <w:b w:val="1"/>
                <w:bCs w:val="1"/>
                <w:color w:val="auto"/>
              </w:rPr>
              <w:t>NET EQUITY</w:t>
            </w:r>
          </w:p>
        </w:tc>
        <w:tc>
          <w:tcPr>
            <w:tcW w:w="20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03"/>
        </w:trPr>
        <w:tc>
          <w:tcPr>
            <w:tcW w:w="4420" w:type="dxa"/>
            <w:vAlign w:val="bottom"/>
          </w:tcPr>
          <w:p>
            <w:pPr>
              <w:spacing w:after="0" w:line="103" w:lineRule="exact"/>
              <w:rPr>
                <w:sz w:val="20"/>
                <w:szCs w:val="20"/>
                <w:color w:val="auto"/>
              </w:rPr>
            </w:pPr>
            <w:r>
              <w:rPr>
                <w:rFonts w:ascii="Arial" w:cs="Arial" w:eastAsia="Arial" w:hAnsi="Arial"/>
                <w:sz w:val="10"/>
                <w:szCs w:val="10"/>
                <w:color w:val="auto"/>
              </w:rPr>
              <w:t>Capital stock</w:t>
            </w:r>
          </w:p>
        </w:tc>
        <w:tc>
          <w:tcPr>
            <w:tcW w:w="2080" w:type="dxa"/>
            <w:vAlign w:val="bottom"/>
          </w:tcPr>
          <w:p>
            <w:pPr>
              <w:jc w:val="center"/>
              <w:ind w:left="1032"/>
              <w:spacing w:after="0" w:line="103" w:lineRule="exact"/>
              <w:rPr>
                <w:sz w:val="20"/>
                <w:szCs w:val="20"/>
                <w:color w:val="auto"/>
              </w:rPr>
            </w:pPr>
            <w:r>
              <w:rPr>
                <w:rFonts w:ascii="Arial" w:cs="Arial" w:eastAsia="Arial" w:hAnsi="Arial"/>
                <w:sz w:val="10"/>
                <w:szCs w:val="10"/>
                <w:color w:val="auto"/>
                <w:w w:val="98"/>
              </w:rPr>
              <w:t>1,318,993</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4"/>
              </w:rPr>
              <w:t>1,318,993</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4"/>
              </w:rPr>
              <w:t>1,318,993</w:t>
            </w:r>
          </w:p>
        </w:tc>
        <w:tc>
          <w:tcPr>
            <w:tcW w:w="800" w:type="dxa"/>
            <w:vAlign w:val="bottom"/>
          </w:tcPr>
          <w:p>
            <w:pPr>
              <w:jc w:val="center"/>
              <w:spacing w:after="0" w:line="103" w:lineRule="exact"/>
              <w:rPr>
                <w:sz w:val="20"/>
                <w:szCs w:val="20"/>
                <w:color w:val="auto"/>
              </w:rPr>
            </w:pPr>
            <w:r>
              <w:rPr>
                <w:rFonts w:ascii="Arial" w:cs="Arial" w:eastAsia="Arial" w:hAnsi="Arial"/>
                <w:sz w:val="10"/>
                <w:szCs w:val="10"/>
                <w:color w:val="auto"/>
                <w:w w:val="96"/>
              </w:rPr>
              <w:t>0.0%</w:t>
            </w:r>
          </w:p>
        </w:tc>
        <w:tc>
          <w:tcPr>
            <w:tcW w:w="580" w:type="dxa"/>
            <w:vAlign w:val="bottom"/>
          </w:tcPr>
          <w:p>
            <w:pPr>
              <w:jc w:val="center"/>
              <w:ind w:left="192"/>
              <w:spacing w:after="0" w:line="103" w:lineRule="exact"/>
              <w:rPr>
                <w:sz w:val="20"/>
                <w:szCs w:val="20"/>
                <w:color w:val="auto"/>
              </w:rPr>
            </w:pPr>
            <w:r>
              <w:rPr>
                <w:rFonts w:ascii="Arial" w:cs="Arial" w:eastAsia="Arial" w:hAnsi="Arial"/>
                <w:sz w:val="10"/>
                <w:szCs w:val="10"/>
                <w:color w:val="auto"/>
                <w:w w:val="96"/>
              </w:rPr>
              <w:t>0.0%</w:t>
            </w:r>
          </w:p>
        </w:tc>
      </w:tr>
      <w:tr>
        <w:trPr>
          <w:trHeight w:val="103"/>
        </w:trPr>
        <w:tc>
          <w:tcPr>
            <w:tcW w:w="4420" w:type="dxa"/>
            <w:vAlign w:val="bottom"/>
          </w:tcPr>
          <w:p>
            <w:pPr>
              <w:spacing w:after="0" w:line="103" w:lineRule="exact"/>
              <w:rPr>
                <w:sz w:val="20"/>
                <w:szCs w:val="20"/>
                <w:color w:val="auto"/>
              </w:rPr>
            </w:pPr>
            <w:r>
              <w:rPr>
                <w:rFonts w:ascii="Arial" w:cs="Arial" w:eastAsia="Arial" w:hAnsi="Arial"/>
                <w:sz w:val="10"/>
                <w:szCs w:val="10"/>
                <w:color w:val="auto"/>
              </w:rPr>
              <w:t>Capital Surplus</w:t>
            </w:r>
          </w:p>
        </w:tc>
        <w:tc>
          <w:tcPr>
            <w:tcW w:w="2080" w:type="dxa"/>
            <w:vAlign w:val="bottom"/>
          </w:tcPr>
          <w:p>
            <w:pPr>
              <w:jc w:val="center"/>
              <w:ind w:left="1032"/>
              <w:spacing w:after="0" w:line="103" w:lineRule="exact"/>
              <w:rPr>
                <w:sz w:val="20"/>
                <w:szCs w:val="20"/>
                <w:color w:val="auto"/>
              </w:rPr>
            </w:pPr>
            <w:r>
              <w:rPr>
                <w:rFonts w:ascii="Arial" w:cs="Arial" w:eastAsia="Arial" w:hAnsi="Arial"/>
                <w:sz w:val="10"/>
                <w:szCs w:val="10"/>
                <w:color w:val="auto"/>
                <w:w w:val="99"/>
              </w:rPr>
              <w:t>384,542</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3"/>
              </w:rPr>
              <w:t>384,542</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3"/>
              </w:rPr>
              <w:t>384,542</w:t>
            </w:r>
          </w:p>
        </w:tc>
        <w:tc>
          <w:tcPr>
            <w:tcW w:w="800" w:type="dxa"/>
            <w:vAlign w:val="bottom"/>
          </w:tcPr>
          <w:p>
            <w:pPr>
              <w:jc w:val="center"/>
              <w:spacing w:after="0" w:line="103" w:lineRule="exact"/>
              <w:rPr>
                <w:sz w:val="20"/>
                <w:szCs w:val="20"/>
                <w:color w:val="auto"/>
              </w:rPr>
            </w:pPr>
            <w:r>
              <w:rPr>
                <w:rFonts w:ascii="Arial" w:cs="Arial" w:eastAsia="Arial" w:hAnsi="Arial"/>
                <w:sz w:val="10"/>
                <w:szCs w:val="10"/>
                <w:color w:val="auto"/>
                <w:w w:val="96"/>
              </w:rPr>
              <w:t>0.0%</w:t>
            </w:r>
          </w:p>
        </w:tc>
        <w:tc>
          <w:tcPr>
            <w:tcW w:w="580" w:type="dxa"/>
            <w:vAlign w:val="bottom"/>
          </w:tcPr>
          <w:p>
            <w:pPr>
              <w:jc w:val="center"/>
              <w:ind w:left="192"/>
              <w:spacing w:after="0" w:line="103" w:lineRule="exact"/>
              <w:rPr>
                <w:sz w:val="20"/>
                <w:szCs w:val="20"/>
                <w:color w:val="auto"/>
              </w:rPr>
            </w:pPr>
            <w:r>
              <w:rPr>
                <w:rFonts w:ascii="Arial" w:cs="Arial" w:eastAsia="Arial" w:hAnsi="Arial"/>
                <w:sz w:val="10"/>
                <w:szCs w:val="10"/>
                <w:color w:val="auto"/>
                <w:w w:val="96"/>
              </w:rPr>
              <w:t>0.0%</w:t>
            </w:r>
          </w:p>
        </w:tc>
      </w:tr>
      <w:tr>
        <w:trPr>
          <w:trHeight w:val="103"/>
        </w:trPr>
        <w:tc>
          <w:tcPr>
            <w:tcW w:w="4420" w:type="dxa"/>
            <w:vAlign w:val="bottom"/>
          </w:tcPr>
          <w:p>
            <w:pPr>
              <w:spacing w:after="0" w:line="103" w:lineRule="exact"/>
              <w:rPr>
                <w:sz w:val="20"/>
                <w:szCs w:val="20"/>
                <w:color w:val="auto"/>
              </w:rPr>
            </w:pPr>
            <w:r>
              <w:rPr>
                <w:rFonts w:ascii="Arial" w:cs="Arial" w:eastAsia="Arial" w:hAnsi="Arial"/>
                <w:sz w:val="10"/>
                <w:szCs w:val="10"/>
                <w:color w:val="auto"/>
              </w:rPr>
              <w:t>Reserve</w:t>
            </w:r>
          </w:p>
        </w:tc>
        <w:tc>
          <w:tcPr>
            <w:tcW w:w="2080" w:type="dxa"/>
            <w:vAlign w:val="bottom"/>
          </w:tcPr>
          <w:p>
            <w:pPr>
              <w:jc w:val="center"/>
              <w:ind w:left="1032"/>
              <w:spacing w:after="0" w:line="103" w:lineRule="exact"/>
              <w:rPr>
                <w:sz w:val="20"/>
                <w:szCs w:val="20"/>
                <w:color w:val="auto"/>
              </w:rPr>
            </w:pPr>
            <w:r>
              <w:rPr>
                <w:rFonts w:ascii="Arial" w:cs="Arial" w:eastAsia="Arial" w:hAnsi="Arial"/>
                <w:sz w:val="10"/>
                <w:szCs w:val="10"/>
                <w:color w:val="auto"/>
                <w:w w:val="95"/>
              </w:rPr>
              <w:t>25,905,604</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5"/>
              </w:rPr>
              <w:t>25,910,975</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5"/>
              </w:rPr>
              <w:t>27,689,804</w:t>
            </w:r>
          </w:p>
        </w:tc>
        <w:tc>
          <w:tcPr>
            <w:tcW w:w="800" w:type="dxa"/>
            <w:vAlign w:val="bottom"/>
          </w:tcPr>
          <w:p>
            <w:pPr>
              <w:jc w:val="center"/>
              <w:spacing w:after="0" w:line="103" w:lineRule="exact"/>
              <w:rPr>
                <w:sz w:val="20"/>
                <w:szCs w:val="20"/>
                <w:color w:val="auto"/>
              </w:rPr>
            </w:pPr>
            <w:r>
              <w:rPr>
                <w:rFonts w:ascii="Arial" w:cs="Arial" w:eastAsia="Arial" w:hAnsi="Arial"/>
                <w:sz w:val="10"/>
                <w:szCs w:val="10"/>
                <w:color w:val="auto"/>
                <w:w w:val="96"/>
              </w:rPr>
              <w:t>6.9%</w:t>
            </w:r>
          </w:p>
        </w:tc>
        <w:tc>
          <w:tcPr>
            <w:tcW w:w="580" w:type="dxa"/>
            <w:vAlign w:val="bottom"/>
          </w:tcPr>
          <w:p>
            <w:pPr>
              <w:jc w:val="center"/>
              <w:ind w:left="192"/>
              <w:spacing w:after="0" w:line="103" w:lineRule="exact"/>
              <w:rPr>
                <w:sz w:val="20"/>
                <w:szCs w:val="20"/>
                <w:color w:val="auto"/>
              </w:rPr>
            </w:pPr>
            <w:r>
              <w:rPr>
                <w:rFonts w:ascii="Arial" w:cs="Arial" w:eastAsia="Arial" w:hAnsi="Arial"/>
                <w:sz w:val="10"/>
                <w:szCs w:val="10"/>
                <w:color w:val="auto"/>
                <w:w w:val="96"/>
              </w:rPr>
              <w:t>6.9%</w:t>
            </w:r>
          </w:p>
        </w:tc>
      </w:tr>
      <w:tr>
        <w:trPr>
          <w:trHeight w:val="103"/>
        </w:trPr>
        <w:tc>
          <w:tcPr>
            <w:tcW w:w="4420" w:type="dxa"/>
            <w:vAlign w:val="bottom"/>
          </w:tcPr>
          <w:p>
            <w:pPr>
              <w:spacing w:after="0" w:line="103" w:lineRule="exact"/>
              <w:rPr>
                <w:sz w:val="20"/>
                <w:szCs w:val="20"/>
                <w:color w:val="auto"/>
              </w:rPr>
            </w:pPr>
            <w:r>
              <w:rPr>
                <w:rFonts w:ascii="Arial" w:cs="Arial" w:eastAsia="Arial" w:hAnsi="Arial"/>
                <w:sz w:val="10"/>
                <w:szCs w:val="10"/>
                <w:color w:val="auto"/>
              </w:rPr>
              <w:t>Unrealized results</w:t>
            </w:r>
          </w:p>
        </w:tc>
        <w:tc>
          <w:tcPr>
            <w:tcW w:w="2080" w:type="dxa"/>
            <w:vAlign w:val="bottom"/>
          </w:tcPr>
          <w:p>
            <w:pPr>
              <w:jc w:val="center"/>
              <w:ind w:left="1032"/>
              <w:spacing w:after="0" w:line="103" w:lineRule="exact"/>
              <w:rPr>
                <w:sz w:val="20"/>
                <w:szCs w:val="20"/>
                <w:color w:val="auto"/>
              </w:rPr>
            </w:pPr>
            <w:r>
              <w:rPr>
                <w:rFonts w:ascii="Arial" w:cs="Arial" w:eastAsia="Arial" w:hAnsi="Arial"/>
                <w:sz w:val="10"/>
                <w:szCs w:val="10"/>
                <w:color w:val="auto"/>
                <w:w w:val="93"/>
              </w:rPr>
              <w:t>(362,199)</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7"/>
              </w:rPr>
              <w:t>17,616</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7"/>
              </w:rPr>
              <w:t>40,503</w:t>
            </w:r>
          </w:p>
        </w:tc>
        <w:tc>
          <w:tcPr>
            <w:tcW w:w="800" w:type="dxa"/>
            <w:vAlign w:val="bottom"/>
          </w:tcPr>
          <w:p>
            <w:pPr>
              <w:jc w:val="center"/>
              <w:spacing w:after="0" w:line="103" w:lineRule="exact"/>
              <w:rPr>
                <w:sz w:val="20"/>
                <w:szCs w:val="20"/>
                <w:color w:val="auto"/>
              </w:rPr>
            </w:pPr>
            <w:r>
              <w:rPr>
                <w:rFonts w:ascii="Arial" w:cs="Arial" w:eastAsia="Arial" w:hAnsi="Arial"/>
                <w:sz w:val="10"/>
                <w:szCs w:val="10"/>
                <w:color w:val="auto"/>
                <w:w w:val="94"/>
              </w:rPr>
              <w:t>129.9%</w:t>
            </w:r>
          </w:p>
        </w:tc>
        <w:tc>
          <w:tcPr>
            <w:tcW w:w="580" w:type="dxa"/>
            <w:vAlign w:val="bottom"/>
          </w:tcPr>
          <w:p>
            <w:pPr>
              <w:jc w:val="center"/>
              <w:ind w:left="192"/>
              <w:spacing w:after="0" w:line="103" w:lineRule="exact"/>
              <w:rPr>
                <w:sz w:val="20"/>
                <w:szCs w:val="20"/>
                <w:color w:val="auto"/>
              </w:rPr>
            </w:pPr>
            <w:r>
              <w:rPr>
                <w:rFonts w:ascii="Arial" w:cs="Arial" w:eastAsia="Arial" w:hAnsi="Arial"/>
                <w:sz w:val="10"/>
                <w:szCs w:val="10"/>
                <w:color w:val="auto"/>
                <w:w w:val="91"/>
              </w:rPr>
              <w:t>-111.2%</w:t>
            </w:r>
          </w:p>
        </w:tc>
      </w:tr>
      <w:tr>
        <w:trPr>
          <w:trHeight w:val="125"/>
        </w:trPr>
        <w:tc>
          <w:tcPr>
            <w:tcW w:w="4420" w:type="dxa"/>
            <w:vAlign w:val="bottom"/>
          </w:tcPr>
          <w:p>
            <w:pPr>
              <w:spacing w:after="0"/>
              <w:rPr>
                <w:sz w:val="20"/>
                <w:szCs w:val="20"/>
                <w:color w:val="auto"/>
              </w:rPr>
            </w:pPr>
            <w:r>
              <w:rPr>
                <w:rFonts w:ascii="Arial" w:cs="Arial" w:eastAsia="Arial" w:hAnsi="Arial"/>
                <w:sz w:val="10"/>
                <w:szCs w:val="10"/>
                <w:color w:val="auto"/>
              </w:rPr>
              <w:t>Retained earnings</w:t>
            </w:r>
          </w:p>
        </w:tc>
        <w:tc>
          <w:tcPr>
            <w:tcW w:w="2080" w:type="dxa"/>
            <w:vAlign w:val="bottom"/>
          </w:tcPr>
          <w:p>
            <w:pPr>
              <w:jc w:val="center"/>
              <w:ind w:left="1032"/>
              <w:spacing w:after="0"/>
              <w:rPr>
                <w:sz w:val="20"/>
                <w:szCs w:val="20"/>
                <w:color w:val="auto"/>
              </w:rPr>
            </w:pPr>
            <w:r>
              <w:rPr>
                <w:rFonts w:ascii="Arial" w:cs="Arial" w:eastAsia="Arial" w:hAnsi="Arial"/>
                <w:sz w:val="10"/>
                <w:szCs w:val="10"/>
                <w:color w:val="auto"/>
                <w:w w:val="98"/>
              </w:rPr>
              <w:t>6,922,048</w:t>
            </w:r>
          </w:p>
        </w:tc>
        <w:tc>
          <w:tcPr>
            <w:tcW w:w="1000" w:type="dxa"/>
            <w:vAlign w:val="bottom"/>
          </w:tcPr>
          <w:p>
            <w:pPr>
              <w:jc w:val="center"/>
              <w:spacing w:after="0"/>
              <w:rPr>
                <w:sz w:val="20"/>
                <w:szCs w:val="20"/>
                <w:color w:val="auto"/>
              </w:rPr>
            </w:pPr>
            <w:r>
              <w:rPr>
                <w:rFonts w:ascii="Arial" w:cs="Arial" w:eastAsia="Arial" w:hAnsi="Arial"/>
                <w:sz w:val="10"/>
                <w:szCs w:val="10"/>
                <w:color w:val="auto"/>
                <w:w w:val="95"/>
              </w:rPr>
              <w:t>10,520,253</w:t>
            </w:r>
          </w:p>
        </w:tc>
        <w:tc>
          <w:tcPr>
            <w:tcW w:w="1000" w:type="dxa"/>
            <w:vAlign w:val="bottom"/>
          </w:tcPr>
          <w:p>
            <w:pPr>
              <w:jc w:val="center"/>
              <w:spacing w:after="0"/>
              <w:rPr>
                <w:sz w:val="20"/>
                <w:szCs w:val="20"/>
                <w:color w:val="auto"/>
              </w:rPr>
            </w:pPr>
            <w:r>
              <w:rPr>
                <w:rFonts w:ascii="Arial" w:cs="Arial" w:eastAsia="Arial" w:hAnsi="Arial"/>
                <w:sz w:val="10"/>
                <w:szCs w:val="10"/>
                <w:color w:val="auto"/>
                <w:w w:val="94"/>
              </w:rPr>
              <w:t>7,299,246</w:t>
            </w:r>
          </w:p>
        </w:tc>
        <w:tc>
          <w:tcPr>
            <w:tcW w:w="800" w:type="dxa"/>
            <w:vAlign w:val="bottom"/>
          </w:tcPr>
          <w:p>
            <w:pPr>
              <w:jc w:val="center"/>
              <w:spacing w:after="0"/>
              <w:rPr>
                <w:sz w:val="20"/>
                <w:szCs w:val="20"/>
                <w:color w:val="auto"/>
              </w:rPr>
            </w:pPr>
            <w:r>
              <w:rPr>
                <w:rFonts w:ascii="Arial" w:cs="Arial" w:eastAsia="Arial" w:hAnsi="Arial"/>
                <w:sz w:val="10"/>
                <w:szCs w:val="10"/>
                <w:color w:val="auto"/>
                <w:w w:val="94"/>
              </w:rPr>
              <w:t>-30.6%</w:t>
            </w:r>
          </w:p>
        </w:tc>
        <w:tc>
          <w:tcPr>
            <w:tcW w:w="580" w:type="dxa"/>
            <w:vAlign w:val="bottom"/>
          </w:tcPr>
          <w:p>
            <w:pPr>
              <w:jc w:val="center"/>
              <w:ind w:left="192"/>
              <w:spacing w:after="0"/>
              <w:rPr>
                <w:sz w:val="20"/>
                <w:szCs w:val="20"/>
                <w:color w:val="auto"/>
              </w:rPr>
            </w:pPr>
            <w:r>
              <w:rPr>
                <w:rFonts w:ascii="Arial" w:cs="Arial" w:eastAsia="Arial" w:hAnsi="Arial"/>
                <w:sz w:val="10"/>
                <w:szCs w:val="10"/>
                <w:color w:val="auto"/>
                <w:w w:val="96"/>
              </w:rPr>
              <w:t>5.4%</w:t>
            </w:r>
          </w:p>
        </w:tc>
      </w:tr>
      <w:tr>
        <w:trPr>
          <w:trHeight w:val="210"/>
        </w:trPr>
        <w:tc>
          <w:tcPr>
            <w:tcW w:w="4420" w:type="dxa"/>
            <w:vAlign w:val="bottom"/>
          </w:tcPr>
          <w:p>
            <w:pPr>
              <w:ind w:left="2380"/>
              <w:spacing w:after="0"/>
              <w:rPr>
                <w:sz w:val="20"/>
                <w:szCs w:val="20"/>
                <w:color w:val="auto"/>
              </w:rPr>
            </w:pPr>
            <w:r>
              <w:rPr>
                <w:rFonts w:ascii="Arial" w:cs="Arial" w:eastAsia="Arial" w:hAnsi="Arial"/>
                <w:sz w:val="10"/>
                <w:szCs w:val="10"/>
                <w:b w:val="1"/>
                <w:bCs w:val="1"/>
                <w:color w:val="auto"/>
              </w:rPr>
              <w:t>Total net equity</w:t>
            </w:r>
          </w:p>
        </w:tc>
        <w:tc>
          <w:tcPr>
            <w:tcW w:w="2080" w:type="dxa"/>
            <w:vAlign w:val="bottom"/>
          </w:tcPr>
          <w:p>
            <w:pPr>
              <w:jc w:val="center"/>
              <w:ind w:left="1032"/>
              <w:spacing w:after="0"/>
              <w:rPr>
                <w:sz w:val="20"/>
                <w:szCs w:val="20"/>
                <w:color w:val="auto"/>
              </w:rPr>
            </w:pPr>
            <w:r>
              <w:rPr>
                <w:rFonts w:ascii="Arial" w:cs="Arial" w:eastAsia="Arial" w:hAnsi="Arial"/>
                <w:sz w:val="10"/>
                <w:szCs w:val="10"/>
                <w:b w:val="1"/>
                <w:bCs w:val="1"/>
                <w:color w:val="auto"/>
                <w:w w:val="95"/>
              </w:rPr>
              <w:t>34,168,988</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5"/>
              </w:rPr>
              <w:t>38,152,379</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5"/>
              </w:rPr>
              <w:t>36,733,088</w:t>
            </w: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1"/>
              </w:rPr>
              <w:t>-3.7%</w:t>
            </w:r>
          </w:p>
        </w:tc>
        <w:tc>
          <w:tcPr>
            <w:tcW w:w="580" w:type="dxa"/>
            <w:vAlign w:val="bottom"/>
          </w:tcPr>
          <w:p>
            <w:pPr>
              <w:jc w:val="center"/>
              <w:ind w:left="192"/>
              <w:spacing w:after="0"/>
              <w:rPr>
                <w:sz w:val="20"/>
                <w:szCs w:val="20"/>
                <w:color w:val="auto"/>
              </w:rPr>
            </w:pPr>
            <w:r>
              <w:rPr>
                <w:rFonts w:ascii="Arial" w:cs="Arial" w:eastAsia="Arial" w:hAnsi="Arial"/>
                <w:sz w:val="10"/>
                <w:szCs w:val="10"/>
                <w:b w:val="1"/>
                <w:bCs w:val="1"/>
                <w:color w:val="auto"/>
                <w:w w:val="96"/>
              </w:rPr>
              <w:t>7.5%</w:t>
            </w:r>
          </w:p>
        </w:tc>
      </w:tr>
      <w:tr>
        <w:trPr>
          <w:trHeight w:val="206"/>
        </w:trPr>
        <w:tc>
          <w:tcPr>
            <w:tcW w:w="4420" w:type="dxa"/>
            <w:vAlign w:val="bottom"/>
          </w:tcPr>
          <w:p>
            <w:pPr>
              <w:spacing w:after="0"/>
              <w:rPr>
                <w:sz w:val="20"/>
                <w:szCs w:val="20"/>
                <w:color w:val="auto"/>
              </w:rPr>
            </w:pPr>
            <w:r>
              <w:rPr>
                <w:rFonts w:ascii="Arial" w:cs="Arial" w:eastAsia="Arial" w:hAnsi="Arial"/>
                <w:sz w:val="10"/>
                <w:szCs w:val="10"/>
                <w:b w:val="1"/>
                <w:bCs w:val="1"/>
                <w:color w:val="auto"/>
              </w:rPr>
              <w:t>Total Liabilities And Equity</w:t>
            </w:r>
          </w:p>
        </w:tc>
        <w:tc>
          <w:tcPr>
            <w:tcW w:w="2080" w:type="dxa"/>
            <w:vAlign w:val="bottom"/>
          </w:tcPr>
          <w:p>
            <w:pPr>
              <w:jc w:val="center"/>
              <w:ind w:left="1032"/>
              <w:spacing w:after="0"/>
              <w:rPr>
                <w:sz w:val="20"/>
                <w:szCs w:val="20"/>
                <w:color w:val="auto"/>
              </w:rPr>
            </w:pPr>
            <w:r>
              <w:rPr>
                <w:rFonts w:ascii="Arial" w:cs="Arial" w:eastAsia="Arial" w:hAnsi="Arial"/>
                <w:sz w:val="10"/>
                <w:szCs w:val="10"/>
                <w:b w:val="1"/>
                <w:bCs w:val="1"/>
                <w:color w:val="auto"/>
                <w:w w:val="95"/>
              </w:rPr>
              <w:t>36,133,883</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5"/>
              </w:rPr>
              <w:t>40,265,645</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5"/>
              </w:rPr>
              <w:t>38,807,108</w:t>
            </w:r>
          </w:p>
        </w:tc>
        <w:tc>
          <w:tcPr>
            <w:tcW w:w="800" w:type="dxa"/>
            <w:vAlign w:val="bottom"/>
          </w:tcPr>
          <w:p>
            <w:pPr>
              <w:jc w:val="center"/>
              <w:spacing w:after="0"/>
              <w:rPr>
                <w:sz w:val="20"/>
                <w:szCs w:val="20"/>
                <w:color w:val="auto"/>
              </w:rPr>
            </w:pPr>
            <w:r>
              <w:rPr>
                <w:rFonts w:ascii="Arial" w:cs="Arial" w:eastAsia="Arial" w:hAnsi="Arial"/>
                <w:sz w:val="10"/>
                <w:szCs w:val="10"/>
                <w:b w:val="1"/>
                <w:bCs w:val="1"/>
                <w:color w:val="auto"/>
                <w:w w:val="91"/>
              </w:rPr>
              <w:t>-3.6%</w:t>
            </w:r>
          </w:p>
        </w:tc>
        <w:tc>
          <w:tcPr>
            <w:tcW w:w="580" w:type="dxa"/>
            <w:vAlign w:val="bottom"/>
          </w:tcPr>
          <w:p>
            <w:pPr>
              <w:jc w:val="center"/>
              <w:ind w:left="192"/>
              <w:spacing w:after="0"/>
              <w:rPr>
                <w:sz w:val="20"/>
                <w:szCs w:val="20"/>
                <w:color w:val="auto"/>
              </w:rPr>
            </w:pPr>
            <w:r>
              <w:rPr>
                <w:rFonts w:ascii="Arial" w:cs="Arial" w:eastAsia="Arial" w:hAnsi="Arial"/>
                <w:sz w:val="10"/>
                <w:szCs w:val="10"/>
                <w:b w:val="1"/>
                <w:bCs w:val="1"/>
                <w:color w:val="auto"/>
                <w:w w:val="96"/>
              </w:rPr>
              <w:t>7.4%</w:t>
            </w:r>
          </w:p>
        </w:tc>
      </w:tr>
    </w:tbl>
    <w:p>
      <w:pPr>
        <w:spacing w:after="0" w:line="151" w:lineRule="exact"/>
        <w:rPr>
          <w:sz w:val="20"/>
          <w:szCs w:val="20"/>
          <w:color w:val="auto"/>
        </w:rPr>
      </w:pPr>
    </w:p>
    <w:p>
      <w:pPr>
        <w:ind w:left="5020"/>
        <w:spacing w:after="0"/>
        <w:rPr>
          <w:sz w:val="20"/>
          <w:szCs w:val="20"/>
          <w:color w:val="auto"/>
        </w:rPr>
      </w:pPr>
      <w:r>
        <w:rPr>
          <w:rFonts w:ascii="Arial" w:cs="Arial" w:eastAsia="Arial" w:hAnsi="Arial"/>
          <w:sz w:val="12"/>
          <w:szCs w:val="12"/>
          <w:b w:val="1"/>
          <w:bCs w:val="1"/>
          <w:color w:val="auto"/>
        </w:rPr>
        <w:t>Statement of Income</w:t>
      </w:r>
    </w:p>
    <w:p>
      <w:pPr>
        <w:spacing w:after="0" w:line="18" w:lineRule="exact"/>
        <w:rPr>
          <w:sz w:val="20"/>
          <w:szCs w:val="20"/>
          <w:color w:val="auto"/>
        </w:rPr>
      </w:pPr>
    </w:p>
    <w:p>
      <w:pPr>
        <w:ind w:left="5000"/>
        <w:spacing w:after="0"/>
        <w:rPr>
          <w:sz w:val="20"/>
          <w:szCs w:val="20"/>
          <w:color w:val="auto"/>
        </w:rPr>
      </w:pPr>
      <w:r>
        <w:rPr>
          <w:rFonts w:ascii="Arial" w:cs="Arial" w:eastAsia="Arial" w:hAnsi="Arial"/>
          <w:sz w:val="12"/>
          <w:szCs w:val="12"/>
          <w:b w:val="1"/>
          <w:bCs w:val="1"/>
          <w:color w:val="auto"/>
        </w:rPr>
        <w:t>(S/ Thousands, IFRS)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580" w:type="dxa"/>
            <w:vAlign w:val="bottom"/>
            <w:tcBorders>
              <w:right w:val="single" w:sz="8" w:color="auto"/>
            </w:tcBorders>
          </w:tcPr>
          <w:p>
            <w:pPr>
              <w:spacing w:after="0"/>
              <w:rPr>
                <w:sz w:val="8"/>
                <w:szCs w:val="8"/>
                <w:color w:val="auto"/>
              </w:rPr>
            </w:pPr>
          </w:p>
        </w:tc>
        <w:tc>
          <w:tcPr>
            <w:tcW w:w="4400" w:type="dxa"/>
            <w:vAlign w:val="bottom"/>
            <w:tcBorders>
              <w:top w:val="single" w:sz="8" w:color="auto"/>
              <w:right w:val="single" w:sz="8" w:color="auto"/>
            </w:tcBorders>
            <w:shd w:val="clear" w:color="auto" w:fill="2AD2C9"/>
          </w:tcPr>
          <w:p>
            <w:pPr>
              <w:spacing w:after="0"/>
              <w:rPr>
                <w:sz w:val="8"/>
                <w:szCs w:val="8"/>
                <w:color w:val="auto"/>
              </w:rPr>
            </w:pPr>
          </w:p>
        </w:tc>
        <w:tc>
          <w:tcPr>
            <w:tcW w:w="760" w:type="dxa"/>
            <w:vAlign w:val="bottom"/>
            <w:tcBorders>
              <w:top w:val="single" w:sz="8" w:color="auto"/>
            </w:tcBorders>
            <w:shd w:val="clear" w:color="auto" w:fill="2AD2C9"/>
          </w:tcPr>
          <w:p>
            <w:pPr>
              <w:spacing w:after="0"/>
              <w:rPr>
                <w:sz w:val="8"/>
                <w:szCs w:val="8"/>
                <w:color w:val="auto"/>
              </w:rPr>
            </w:pPr>
          </w:p>
        </w:tc>
        <w:tc>
          <w:tcPr>
            <w:tcW w:w="780" w:type="dxa"/>
            <w:vAlign w:val="bottom"/>
            <w:tcBorders>
              <w:top w:val="single" w:sz="8" w:color="auto"/>
            </w:tcBorders>
            <w:shd w:val="clear" w:color="auto" w:fill="2AD2C9"/>
          </w:tcPr>
          <w:p>
            <w:pPr>
              <w:ind w:left="260"/>
              <w:spacing w:after="0"/>
              <w:rPr>
                <w:sz w:val="20"/>
                <w:szCs w:val="20"/>
                <w:color w:val="auto"/>
              </w:rPr>
            </w:pPr>
            <w:r>
              <w:rPr>
                <w:rFonts w:ascii="Arial" w:cs="Arial" w:eastAsia="Arial" w:hAnsi="Arial"/>
                <w:sz w:val="8"/>
                <w:szCs w:val="8"/>
                <w:b w:val="1"/>
                <w:bCs w:val="1"/>
                <w:color w:val="FFFFFF"/>
              </w:rPr>
              <w:t>Quarter</w:t>
            </w:r>
          </w:p>
        </w:tc>
        <w:tc>
          <w:tcPr>
            <w:tcW w:w="820" w:type="dxa"/>
            <w:vAlign w:val="bottom"/>
            <w:tcBorders>
              <w:top w:val="single" w:sz="8" w:color="auto"/>
              <w:right w:val="single" w:sz="8" w:color="auto"/>
            </w:tcBorders>
            <w:shd w:val="clear" w:color="auto" w:fill="2AD2C9"/>
          </w:tcPr>
          <w:p>
            <w:pPr>
              <w:spacing w:after="0"/>
              <w:rPr>
                <w:sz w:val="8"/>
                <w:szCs w:val="8"/>
                <w:color w:val="auto"/>
              </w:rPr>
            </w:pPr>
          </w:p>
        </w:tc>
        <w:tc>
          <w:tcPr>
            <w:tcW w:w="1120" w:type="dxa"/>
            <w:vAlign w:val="bottom"/>
            <w:tcBorders>
              <w:top w:val="single" w:sz="8" w:color="auto"/>
              <w:right w:val="single" w:sz="8" w:color="auto"/>
            </w:tcBorders>
            <w:gridSpan w:val="2"/>
            <w:shd w:val="clear" w:color="auto" w:fill="2AD2C9"/>
          </w:tcPr>
          <w:p>
            <w:pPr>
              <w:ind w:left="340"/>
              <w:spacing w:after="0"/>
              <w:rPr>
                <w:sz w:val="20"/>
                <w:szCs w:val="20"/>
                <w:color w:val="auto"/>
              </w:rPr>
            </w:pPr>
            <w:r>
              <w:rPr>
                <w:rFonts w:ascii="Arial" w:cs="Arial" w:eastAsia="Arial" w:hAnsi="Arial"/>
                <w:sz w:val="8"/>
                <w:szCs w:val="8"/>
                <w:b w:val="1"/>
                <w:bCs w:val="1"/>
                <w:color w:val="FFFFFF"/>
              </w:rPr>
              <w:t>% Change</w:t>
            </w:r>
          </w:p>
        </w:tc>
        <w:tc>
          <w:tcPr>
            <w:tcW w:w="620" w:type="dxa"/>
            <w:vAlign w:val="bottom"/>
            <w:tcBorders>
              <w:top w:val="single" w:sz="8" w:color="auto"/>
            </w:tcBorders>
            <w:shd w:val="clear" w:color="auto" w:fill="2AD2C9"/>
          </w:tcPr>
          <w:p>
            <w:pPr>
              <w:spacing w:after="0"/>
              <w:rPr>
                <w:sz w:val="8"/>
                <w:szCs w:val="8"/>
                <w:color w:val="auto"/>
              </w:rPr>
            </w:pPr>
          </w:p>
        </w:tc>
        <w:tc>
          <w:tcPr>
            <w:tcW w:w="960" w:type="dxa"/>
            <w:vAlign w:val="bottom"/>
            <w:tcBorders>
              <w:top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8"/>
                <w:szCs w:val="8"/>
                <w:b w:val="1"/>
                <w:bCs w:val="1"/>
                <w:color w:val="FFFFFF"/>
              </w:rPr>
              <w:t>Up to</w:t>
            </w:r>
          </w:p>
        </w:tc>
        <w:tc>
          <w:tcPr>
            <w:tcW w:w="68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w w:val="98"/>
              </w:rPr>
              <w:t>% Change</w:t>
            </w:r>
          </w:p>
        </w:tc>
        <w:tc>
          <w:tcPr>
            <w:tcW w:w="560" w:type="dxa"/>
            <w:vAlign w:val="bottom"/>
          </w:tcPr>
          <w:p>
            <w:pPr>
              <w:spacing w:after="0"/>
              <w:rPr>
                <w:sz w:val="8"/>
                <w:szCs w:val="8"/>
                <w:color w:val="auto"/>
              </w:rPr>
            </w:pPr>
          </w:p>
        </w:tc>
      </w:tr>
      <w:tr>
        <w:trPr>
          <w:trHeight w:val="103"/>
        </w:trPr>
        <w:tc>
          <w:tcPr>
            <w:tcW w:w="580" w:type="dxa"/>
            <w:vAlign w:val="bottom"/>
            <w:tcBorders>
              <w:right w:val="single" w:sz="8" w:color="auto"/>
            </w:tcBorders>
          </w:tcPr>
          <w:p>
            <w:pPr>
              <w:spacing w:after="0"/>
              <w:rPr>
                <w:sz w:val="8"/>
                <w:szCs w:val="8"/>
                <w:color w:val="auto"/>
              </w:rPr>
            </w:pPr>
          </w:p>
        </w:tc>
        <w:tc>
          <w:tcPr>
            <w:tcW w:w="4400" w:type="dxa"/>
            <w:vAlign w:val="bottom"/>
            <w:tcBorders>
              <w:bottom w:val="single" w:sz="8" w:color="auto"/>
              <w:right w:val="single" w:sz="8" w:color="auto"/>
            </w:tcBorders>
            <w:shd w:val="clear" w:color="auto" w:fill="2AD2C9"/>
          </w:tcPr>
          <w:p>
            <w:pPr>
              <w:spacing w:after="0"/>
              <w:rPr>
                <w:sz w:val="8"/>
                <w:szCs w:val="8"/>
                <w:color w:val="auto"/>
              </w:rPr>
            </w:pPr>
          </w:p>
        </w:tc>
        <w:tc>
          <w:tcPr>
            <w:tcW w:w="7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rPr>
              <w:t>2Q23</w:t>
            </w:r>
          </w:p>
        </w:tc>
        <w:tc>
          <w:tcPr>
            <w:tcW w:w="7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rPr>
              <w:t>1Q24</w:t>
            </w:r>
          </w:p>
        </w:tc>
        <w:tc>
          <w:tcPr>
            <w:tcW w:w="8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rPr>
              <w:t>2Q24</w:t>
            </w:r>
          </w:p>
        </w:tc>
        <w:tc>
          <w:tcPr>
            <w:tcW w:w="5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rPr>
              <w:t>QoQ</w:t>
            </w:r>
          </w:p>
        </w:tc>
        <w:tc>
          <w:tcPr>
            <w:tcW w:w="5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rPr>
              <w:t>YoY</w:t>
            </w:r>
          </w:p>
        </w:tc>
        <w:tc>
          <w:tcPr>
            <w:tcW w:w="620" w:type="dxa"/>
            <w:vAlign w:val="bottom"/>
            <w:tcBorders>
              <w:bottom w:val="single" w:sz="8" w:color="auto"/>
            </w:tcBorders>
            <w:shd w:val="clear" w:color="auto" w:fill="2AD2C9"/>
          </w:tcPr>
          <w:p>
            <w:pPr>
              <w:jc w:val="center"/>
              <w:ind w:left="99"/>
              <w:spacing w:after="0"/>
              <w:rPr>
                <w:sz w:val="20"/>
                <w:szCs w:val="20"/>
                <w:color w:val="auto"/>
              </w:rPr>
            </w:pPr>
            <w:r>
              <w:rPr>
                <w:rFonts w:ascii="Arial" w:cs="Arial" w:eastAsia="Arial" w:hAnsi="Arial"/>
                <w:sz w:val="8"/>
                <w:szCs w:val="8"/>
                <w:b w:val="1"/>
                <w:bCs w:val="1"/>
                <w:color w:val="FFFFFF"/>
              </w:rPr>
              <w:t>1H23</w:t>
            </w:r>
          </w:p>
        </w:tc>
        <w:tc>
          <w:tcPr>
            <w:tcW w:w="960" w:type="dxa"/>
            <w:vAlign w:val="bottom"/>
            <w:tcBorders>
              <w:bottom w:val="single" w:sz="8" w:color="auto"/>
              <w:right w:val="single" w:sz="8" w:color="auto"/>
            </w:tcBorders>
            <w:shd w:val="clear" w:color="auto" w:fill="2AD2C9"/>
          </w:tcPr>
          <w:p>
            <w:pPr>
              <w:jc w:val="center"/>
              <w:ind w:left="79"/>
              <w:spacing w:after="0"/>
              <w:rPr>
                <w:sz w:val="20"/>
                <w:szCs w:val="20"/>
                <w:color w:val="auto"/>
              </w:rPr>
            </w:pPr>
            <w:r>
              <w:rPr>
                <w:rFonts w:ascii="Arial" w:cs="Arial" w:eastAsia="Arial" w:hAnsi="Arial"/>
                <w:sz w:val="8"/>
                <w:szCs w:val="8"/>
                <w:b w:val="1"/>
                <w:bCs w:val="1"/>
                <w:color w:val="FFFFFF"/>
              </w:rPr>
              <w:t>1H24</w:t>
            </w:r>
          </w:p>
        </w:tc>
        <w:tc>
          <w:tcPr>
            <w:tcW w:w="6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rPr>
              <w:t>1H23 / 1H24</w:t>
            </w:r>
          </w:p>
        </w:tc>
        <w:tc>
          <w:tcPr>
            <w:tcW w:w="560" w:type="dxa"/>
            <w:vAlign w:val="bottom"/>
          </w:tcPr>
          <w:p>
            <w:pPr>
              <w:spacing w:after="0"/>
              <w:rPr>
                <w:sz w:val="8"/>
                <w:szCs w:val="8"/>
                <w:color w:val="auto"/>
              </w:rPr>
            </w:pPr>
          </w:p>
        </w:tc>
      </w:tr>
      <w:tr>
        <w:trPr>
          <w:trHeight w:val="103"/>
        </w:trPr>
        <w:tc>
          <w:tcPr>
            <w:tcW w:w="580" w:type="dxa"/>
            <w:vAlign w:val="bottom"/>
            <w:tcBorders>
              <w:right w:val="single" w:sz="8" w:color="auto"/>
            </w:tcBorders>
          </w:tcPr>
          <w:p>
            <w:pPr>
              <w:spacing w:after="0"/>
              <w:rPr>
                <w:sz w:val="8"/>
                <w:szCs w:val="8"/>
                <w:color w:val="auto"/>
              </w:rPr>
            </w:pPr>
          </w:p>
        </w:tc>
        <w:tc>
          <w:tcPr>
            <w:tcW w:w="4400" w:type="dxa"/>
            <w:vAlign w:val="bottom"/>
            <w:tcBorders>
              <w:right w:val="single" w:sz="8" w:color="auto"/>
            </w:tcBorders>
          </w:tcPr>
          <w:p>
            <w:pPr>
              <w:ind w:left="20"/>
              <w:spacing w:after="0"/>
              <w:rPr>
                <w:sz w:val="20"/>
                <w:szCs w:val="20"/>
                <w:color w:val="auto"/>
              </w:rPr>
            </w:pPr>
            <w:r>
              <w:rPr>
                <w:rFonts w:ascii="Arial" w:cs="Arial" w:eastAsia="Arial" w:hAnsi="Arial"/>
                <w:sz w:val="8"/>
                <w:szCs w:val="8"/>
                <w:b w:val="1"/>
                <w:bCs w:val="1"/>
                <w:color w:val="auto"/>
              </w:rPr>
              <w:t>Interest income</w:t>
            </w: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560" w:type="dxa"/>
            <w:vAlign w:val="bottom"/>
          </w:tcPr>
          <w:p>
            <w:pPr>
              <w:spacing w:after="0"/>
              <w:rPr>
                <w:sz w:val="8"/>
                <w:szCs w:val="8"/>
                <w:color w:val="auto"/>
              </w:rPr>
            </w:pPr>
          </w:p>
        </w:tc>
      </w:tr>
      <w:tr>
        <w:trPr>
          <w:trHeight w:val="155"/>
        </w:trPr>
        <w:tc>
          <w:tcPr>
            <w:tcW w:w="580" w:type="dxa"/>
            <w:vAlign w:val="bottom"/>
            <w:tcBorders>
              <w:right w:val="single" w:sz="8" w:color="auto"/>
            </w:tcBorders>
          </w:tcPr>
          <w:p>
            <w:pPr>
              <w:spacing w:after="0"/>
              <w:rPr>
                <w:sz w:val="13"/>
                <w:szCs w:val="13"/>
                <w:color w:val="auto"/>
              </w:rPr>
            </w:pPr>
          </w:p>
        </w:tc>
        <w:tc>
          <w:tcPr>
            <w:tcW w:w="440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Net share of the income from investments in subsidiaries and associates</w:t>
            </w:r>
          </w:p>
        </w:tc>
        <w:tc>
          <w:tcPr>
            <w:tcW w:w="760" w:type="dxa"/>
            <w:vAlign w:val="bottom"/>
          </w:tcPr>
          <w:p>
            <w:pPr>
              <w:jc w:val="center"/>
              <w:spacing w:after="0"/>
              <w:rPr>
                <w:sz w:val="20"/>
                <w:szCs w:val="20"/>
                <w:color w:val="auto"/>
              </w:rPr>
            </w:pPr>
            <w:r>
              <w:rPr>
                <w:rFonts w:ascii="Arial" w:cs="Arial" w:eastAsia="Arial" w:hAnsi="Arial"/>
                <w:sz w:val="8"/>
                <w:szCs w:val="8"/>
                <w:color w:val="auto"/>
              </w:rPr>
              <w:t>1,804,873</w:t>
            </w:r>
          </w:p>
        </w:tc>
        <w:tc>
          <w:tcPr>
            <w:tcW w:w="780" w:type="dxa"/>
            <w:vAlign w:val="bottom"/>
          </w:tcPr>
          <w:p>
            <w:pPr>
              <w:jc w:val="center"/>
              <w:spacing w:after="0"/>
              <w:rPr>
                <w:sz w:val="20"/>
                <w:szCs w:val="20"/>
                <w:color w:val="auto"/>
              </w:rPr>
            </w:pPr>
            <w:r>
              <w:rPr>
                <w:rFonts w:ascii="Arial" w:cs="Arial" w:eastAsia="Arial" w:hAnsi="Arial"/>
                <w:sz w:val="8"/>
                <w:szCs w:val="8"/>
                <w:color w:val="auto"/>
              </w:rPr>
              <w:t>1,557,394</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1,899,078</w:t>
            </w:r>
          </w:p>
        </w:tc>
        <w:tc>
          <w:tcPr>
            <w:tcW w:w="540" w:type="dxa"/>
            <w:vAlign w:val="bottom"/>
          </w:tcPr>
          <w:p>
            <w:pPr>
              <w:jc w:val="center"/>
              <w:spacing w:after="0"/>
              <w:rPr>
                <w:sz w:val="20"/>
                <w:szCs w:val="20"/>
                <w:color w:val="auto"/>
              </w:rPr>
            </w:pPr>
            <w:r>
              <w:rPr>
                <w:rFonts w:ascii="Arial" w:cs="Arial" w:eastAsia="Arial" w:hAnsi="Arial"/>
                <w:sz w:val="8"/>
                <w:szCs w:val="8"/>
                <w:color w:val="auto"/>
              </w:rPr>
              <w:t>21.9%</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5.2%</w:t>
            </w:r>
          </w:p>
        </w:tc>
        <w:tc>
          <w:tcPr>
            <w:tcW w:w="620" w:type="dxa"/>
            <w:vAlign w:val="bottom"/>
          </w:tcPr>
          <w:p>
            <w:pPr>
              <w:jc w:val="center"/>
              <w:ind w:left="99"/>
              <w:spacing w:after="0"/>
              <w:rPr>
                <w:sz w:val="20"/>
                <w:szCs w:val="20"/>
                <w:color w:val="auto"/>
              </w:rPr>
            </w:pPr>
            <w:r>
              <w:rPr>
                <w:rFonts w:ascii="Arial" w:cs="Arial" w:eastAsia="Arial" w:hAnsi="Arial"/>
                <w:sz w:val="8"/>
                <w:szCs w:val="8"/>
                <w:color w:val="auto"/>
              </w:rPr>
              <w:t>3,244,084</w:t>
            </w:r>
          </w:p>
        </w:tc>
        <w:tc>
          <w:tcPr>
            <w:tcW w:w="960" w:type="dxa"/>
            <w:vAlign w:val="bottom"/>
            <w:tcBorders>
              <w:right w:val="single" w:sz="8" w:color="auto"/>
            </w:tcBorders>
          </w:tcPr>
          <w:p>
            <w:pPr>
              <w:jc w:val="center"/>
              <w:ind w:left="79"/>
              <w:spacing w:after="0"/>
              <w:rPr>
                <w:sz w:val="20"/>
                <w:szCs w:val="20"/>
                <w:color w:val="auto"/>
              </w:rPr>
            </w:pPr>
            <w:r>
              <w:rPr>
                <w:rFonts w:ascii="Arial" w:cs="Arial" w:eastAsia="Arial" w:hAnsi="Arial"/>
                <w:sz w:val="8"/>
                <w:szCs w:val="8"/>
                <w:color w:val="auto"/>
              </w:rPr>
              <w:t>3,456,472</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6.5%</w:t>
            </w:r>
          </w:p>
        </w:tc>
        <w:tc>
          <w:tcPr>
            <w:tcW w:w="560" w:type="dxa"/>
            <w:vAlign w:val="bottom"/>
          </w:tcPr>
          <w:p>
            <w:pPr>
              <w:spacing w:after="0"/>
              <w:rPr>
                <w:sz w:val="13"/>
                <w:szCs w:val="13"/>
                <w:color w:val="auto"/>
              </w:rPr>
            </w:pPr>
          </w:p>
        </w:tc>
      </w:tr>
      <w:tr>
        <w:trPr>
          <w:trHeight w:val="93"/>
        </w:trPr>
        <w:tc>
          <w:tcPr>
            <w:tcW w:w="580" w:type="dxa"/>
            <w:vAlign w:val="bottom"/>
            <w:tcBorders>
              <w:right w:val="single" w:sz="8" w:color="auto"/>
            </w:tcBorders>
          </w:tcPr>
          <w:p>
            <w:pPr>
              <w:spacing w:after="0"/>
              <w:rPr>
                <w:sz w:val="8"/>
                <w:szCs w:val="8"/>
                <w:color w:val="auto"/>
              </w:rPr>
            </w:pPr>
          </w:p>
        </w:tc>
        <w:tc>
          <w:tcPr>
            <w:tcW w:w="440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Interest and similar income</w:t>
            </w:r>
          </w:p>
        </w:tc>
        <w:tc>
          <w:tcPr>
            <w:tcW w:w="760" w:type="dxa"/>
            <w:vAlign w:val="bottom"/>
          </w:tcPr>
          <w:p>
            <w:pPr>
              <w:jc w:val="center"/>
              <w:spacing w:after="0"/>
              <w:rPr>
                <w:sz w:val="20"/>
                <w:szCs w:val="20"/>
                <w:color w:val="auto"/>
              </w:rPr>
            </w:pPr>
            <w:r>
              <w:rPr>
                <w:rFonts w:ascii="Arial" w:cs="Arial" w:eastAsia="Arial" w:hAnsi="Arial"/>
                <w:sz w:val="8"/>
                <w:szCs w:val="8"/>
                <w:color w:val="auto"/>
                <w:w w:val="99"/>
              </w:rPr>
              <w:t>8,996</w:t>
            </w:r>
          </w:p>
        </w:tc>
        <w:tc>
          <w:tcPr>
            <w:tcW w:w="780" w:type="dxa"/>
            <w:vAlign w:val="bottom"/>
          </w:tcPr>
          <w:p>
            <w:pPr>
              <w:jc w:val="center"/>
              <w:spacing w:after="0"/>
              <w:rPr>
                <w:sz w:val="20"/>
                <w:szCs w:val="20"/>
                <w:color w:val="auto"/>
              </w:rPr>
            </w:pPr>
            <w:r>
              <w:rPr>
                <w:rFonts w:ascii="Arial" w:cs="Arial" w:eastAsia="Arial" w:hAnsi="Arial"/>
                <w:sz w:val="8"/>
                <w:szCs w:val="8"/>
                <w:color w:val="auto"/>
              </w:rPr>
              <w:t>18,725</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7"/>
              </w:rPr>
              <w:t>28,052</w:t>
            </w:r>
          </w:p>
        </w:tc>
        <w:tc>
          <w:tcPr>
            <w:tcW w:w="540" w:type="dxa"/>
            <w:vAlign w:val="bottom"/>
          </w:tcPr>
          <w:p>
            <w:pPr>
              <w:jc w:val="center"/>
              <w:spacing w:after="0"/>
              <w:rPr>
                <w:sz w:val="20"/>
                <w:szCs w:val="20"/>
                <w:color w:val="auto"/>
              </w:rPr>
            </w:pPr>
            <w:r>
              <w:rPr>
                <w:rFonts w:ascii="Arial" w:cs="Arial" w:eastAsia="Arial" w:hAnsi="Arial"/>
                <w:sz w:val="8"/>
                <w:szCs w:val="8"/>
                <w:color w:val="auto"/>
              </w:rPr>
              <w:t>49.8%</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211.8%</w:t>
            </w:r>
          </w:p>
        </w:tc>
        <w:tc>
          <w:tcPr>
            <w:tcW w:w="620" w:type="dxa"/>
            <w:vAlign w:val="bottom"/>
          </w:tcPr>
          <w:p>
            <w:pPr>
              <w:jc w:val="center"/>
              <w:ind w:left="99"/>
              <w:spacing w:after="0"/>
              <w:rPr>
                <w:sz w:val="20"/>
                <w:szCs w:val="20"/>
                <w:color w:val="auto"/>
              </w:rPr>
            </w:pPr>
            <w:r>
              <w:rPr>
                <w:rFonts w:ascii="Arial" w:cs="Arial" w:eastAsia="Arial" w:hAnsi="Arial"/>
                <w:sz w:val="8"/>
                <w:szCs w:val="8"/>
                <w:color w:val="auto"/>
                <w:w w:val="99"/>
              </w:rPr>
              <w:t>9,296</w:t>
            </w:r>
          </w:p>
        </w:tc>
        <w:tc>
          <w:tcPr>
            <w:tcW w:w="96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rPr>
              <w:t>46,777</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5"/>
              </w:rPr>
              <w:t>403.2%</w:t>
            </w:r>
          </w:p>
        </w:tc>
        <w:tc>
          <w:tcPr>
            <w:tcW w:w="560" w:type="dxa"/>
            <w:vAlign w:val="bottom"/>
          </w:tcPr>
          <w:p>
            <w:pPr>
              <w:spacing w:after="0"/>
              <w:rPr>
                <w:sz w:val="8"/>
                <w:szCs w:val="8"/>
                <w:color w:val="auto"/>
              </w:rPr>
            </w:pPr>
          </w:p>
        </w:tc>
      </w:tr>
      <w:tr>
        <w:trPr>
          <w:trHeight w:val="93"/>
        </w:trPr>
        <w:tc>
          <w:tcPr>
            <w:tcW w:w="580" w:type="dxa"/>
            <w:vAlign w:val="bottom"/>
            <w:tcBorders>
              <w:right w:val="single" w:sz="8" w:color="auto"/>
            </w:tcBorders>
          </w:tcPr>
          <w:p>
            <w:pPr>
              <w:spacing w:after="0"/>
              <w:rPr>
                <w:sz w:val="8"/>
                <w:szCs w:val="8"/>
                <w:color w:val="auto"/>
              </w:rPr>
            </w:pPr>
          </w:p>
        </w:tc>
        <w:tc>
          <w:tcPr>
            <w:tcW w:w="440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Net gain on financial assets at fair value through profit or loss</w:t>
            </w:r>
          </w:p>
        </w:tc>
        <w:tc>
          <w:tcPr>
            <w:tcW w:w="760" w:type="dxa"/>
            <w:vAlign w:val="bottom"/>
          </w:tcPr>
          <w:p>
            <w:pPr>
              <w:jc w:val="center"/>
              <w:spacing w:after="0"/>
              <w:rPr>
                <w:sz w:val="20"/>
                <w:szCs w:val="20"/>
                <w:color w:val="auto"/>
              </w:rPr>
            </w:pPr>
            <w:r>
              <w:rPr>
                <w:rFonts w:ascii="Arial" w:cs="Arial" w:eastAsia="Arial" w:hAnsi="Arial"/>
                <w:sz w:val="8"/>
                <w:szCs w:val="8"/>
                <w:color w:val="auto"/>
                <w:w w:val="97"/>
              </w:rPr>
              <w:t>22,618</w:t>
            </w:r>
          </w:p>
        </w:tc>
        <w:tc>
          <w:tcPr>
            <w:tcW w:w="780" w:type="dxa"/>
            <w:vAlign w:val="bottom"/>
          </w:tcPr>
          <w:p>
            <w:pPr>
              <w:jc w:val="center"/>
              <w:spacing w:after="0"/>
              <w:rPr>
                <w:sz w:val="20"/>
                <w:szCs w:val="20"/>
                <w:color w:val="auto"/>
              </w:rPr>
            </w:pPr>
            <w:r>
              <w:rPr>
                <w:rFonts w:ascii="Arial" w:cs="Arial" w:eastAsia="Arial" w:hAnsi="Arial"/>
                <w:sz w:val="8"/>
                <w:szCs w:val="8"/>
                <w:color w:val="auto"/>
              </w:rPr>
              <w:t>1,234</w:t>
            </w:r>
          </w:p>
        </w:tc>
        <w:tc>
          <w:tcPr>
            <w:tcW w:w="820" w:type="dxa"/>
            <w:vAlign w:val="bottom"/>
            <w:tcBorders>
              <w:right w:val="single" w:sz="8" w:color="auto"/>
            </w:tcBorders>
          </w:tcPr>
          <w:p>
            <w:pPr>
              <w:jc w:val="right"/>
              <w:ind w:right="379"/>
              <w:spacing w:after="0"/>
              <w:rPr>
                <w:sz w:val="20"/>
                <w:szCs w:val="20"/>
                <w:color w:val="auto"/>
              </w:rPr>
            </w:pPr>
            <w:r>
              <w:rPr>
                <w:rFonts w:ascii="Arial" w:cs="Arial" w:eastAsia="Arial" w:hAnsi="Arial"/>
                <w:sz w:val="8"/>
                <w:szCs w:val="8"/>
                <w:color w:val="auto"/>
              </w:rPr>
              <w:t>-</w:t>
            </w:r>
          </w:p>
        </w:tc>
        <w:tc>
          <w:tcPr>
            <w:tcW w:w="540" w:type="dxa"/>
            <w:vAlign w:val="bottom"/>
          </w:tcPr>
          <w:p>
            <w:pPr>
              <w:jc w:val="center"/>
              <w:spacing w:after="0"/>
              <w:rPr>
                <w:sz w:val="20"/>
                <w:szCs w:val="20"/>
                <w:color w:val="auto"/>
              </w:rPr>
            </w:pPr>
            <w:r>
              <w:rPr>
                <w:rFonts w:ascii="Arial" w:cs="Arial" w:eastAsia="Arial" w:hAnsi="Arial"/>
                <w:sz w:val="8"/>
                <w:szCs w:val="8"/>
                <w:color w:val="auto"/>
              </w:rPr>
              <w:t>n.a.</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n.a.</w:t>
            </w:r>
          </w:p>
        </w:tc>
        <w:tc>
          <w:tcPr>
            <w:tcW w:w="620" w:type="dxa"/>
            <w:vAlign w:val="bottom"/>
          </w:tcPr>
          <w:p>
            <w:pPr>
              <w:jc w:val="center"/>
              <w:ind w:left="99"/>
              <w:spacing w:after="0"/>
              <w:rPr>
                <w:sz w:val="20"/>
                <w:szCs w:val="20"/>
                <w:color w:val="auto"/>
              </w:rPr>
            </w:pPr>
            <w:r>
              <w:rPr>
                <w:rFonts w:ascii="Arial" w:cs="Arial" w:eastAsia="Arial" w:hAnsi="Arial"/>
                <w:sz w:val="8"/>
                <w:szCs w:val="8"/>
                <w:color w:val="auto"/>
                <w:w w:val="97"/>
              </w:rPr>
              <w:t>26,377</w:t>
            </w:r>
          </w:p>
        </w:tc>
        <w:tc>
          <w:tcPr>
            <w:tcW w:w="960" w:type="dxa"/>
            <w:vAlign w:val="bottom"/>
            <w:tcBorders>
              <w:right w:val="single" w:sz="8" w:color="auto"/>
            </w:tcBorders>
          </w:tcPr>
          <w:p>
            <w:pPr>
              <w:jc w:val="center"/>
              <w:ind w:left="79"/>
              <w:spacing w:after="0"/>
              <w:rPr>
                <w:sz w:val="20"/>
                <w:szCs w:val="20"/>
                <w:color w:val="auto"/>
              </w:rPr>
            </w:pPr>
            <w:r>
              <w:rPr>
                <w:rFonts w:ascii="Arial" w:cs="Arial" w:eastAsia="Arial" w:hAnsi="Arial"/>
                <w:sz w:val="8"/>
                <w:szCs w:val="8"/>
                <w:color w:val="auto"/>
                <w:w w:val="99"/>
              </w:rPr>
              <w:t>1,234</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-95.3%</w:t>
            </w:r>
          </w:p>
        </w:tc>
        <w:tc>
          <w:tcPr>
            <w:tcW w:w="560" w:type="dxa"/>
            <w:vAlign w:val="bottom"/>
          </w:tcPr>
          <w:p>
            <w:pPr>
              <w:spacing w:after="0"/>
              <w:rPr>
                <w:sz w:val="8"/>
                <w:szCs w:val="8"/>
                <w:color w:val="auto"/>
              </w:rPr>
            </w:pPr>
          </w:p>
        </w:tc>
      </w:tr>
      <w:tr>
        <w:trPr>
          <w:trHeight w:val="112"/>
        </w:trPr>
        <w:tc>
          <w:tcPr>
            <w:tcW w:w="580" w:type="dxa"/>
            <w:vAlign w:val="bottom"/>
            <w:tcBorders>
              <w:right w:val="single" w:sz="8" w:color="auto"/>
            </w:tcBorders>
          </w:tcPr>
          <w:p>
            <w:pPr>
              <w:spacing w:after="0"/>
              <w:rPr>
                <w:sz w:val="9"/>
                <w:szCs w:val="9"/>
                <w:color w:val="auto"/>
              </w:rPr>
            </w:pPr>
          </w:p>
        </w:tc>
        <w:tc>
          <w:tcPr>
            <w:tcW w:w="4400" w:type="dxa"/>
            <w:vAlign w:val="bottom"/>
            <w:tcBorders>
              <w:right w:val="single" w:sz="8" w:color="auto"/>
            </w:tcBorders>
          </w:tcPr>
          <w:p>
            <w:pPr>
              <w:ind w:left="20"/>
              <w:spacing w:after="0"/>
              <w:rPr>
                <w:sz w:val="20"/>
                <w:szCs w:val="20"/>
                <w:color w:val="auto"/>
              </w:rPr>
            </w:pPr>
            <w:r>
              <w:rPr>
                <w:rFonts w:ascii="Arial" w:cs="Arial" w:eastAsia="Arial" w:hAnsi="Arial"/>
                <w:sz w:val="8"/>
                <w:szCs w:val="8"/>
                <w:b w:val="1"/>
                <w:bCs w:val="1"/>
                <w:color w:val="auto"/>
              </w:rPr>
              <w:t>Total income</w:t>
            </w:r>
          </w:p>
        </w:tc>
        <w:tc>
          <w:tcPr>
            <w:tcW w:w="760" w:type="dxa"/>
            <w:vAlign w:val="bottom"/>
          </w:tcPr>
          <w:p>
            <w:pPr>
              <w:jc w:val="center"/>
              <w:spacing w:after="0"/>
              <w:rPr>
                <w:sz w:val="20"/>
                <w:szCs w:val="20"/>
                <w:color w:val="auto"/>
              </w:rPr>
            </w:pPr>
            <w:r>
              <w:rPr>
                <w:rFonts w:ascii="Arial" w:cs="Arial" w:eastAsia="Arial" w:hAnsi="Arial"/>
                <w:sz w:val="8"/>
                <w:szCs w:val="8"/>
                <w:b w:val="1"/>
                <w:bCs w:val="1"/>
                <w:color w:val="auto"/>
              </w:rPr>
              <w:t>1,836,487</w:t>
            </w:r>
          </w:p>
        </w:tc>
        <w:tc>
          <w:tcPr>
            <w:tcW w:w="780" w:type="dxa"/>
            <w:vAlign w:val="bottom"/>
          </w:tcPr>
          <w:p>
            <w:pPr>
              <w:jc w:val="center"/>
              <w:spacing w:after="0"/>
              <w:rPr>
                <w:sz w:val="20"/>
                <w:szCs w:val="20"/>
                <w:color w:val="auto"/>
              </w:rPr>
            </w:pPr>
            <w:r>
              <w:rPr>
                <w:rFonts w:ascii="Arial" w:cs="Arial" w:eastAsia="Arial" w:hAnsi="Arial"/>
                <w:sz w:val="8"/>
                <w:szCs w:val="8"/>
                <w:b w:val="1"/>
                <w:bCs w:val="1"/>
                <w:color w:val="auto"/>
              </w:rPr>
              <w:t>1,577,353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1,927,130</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22.2%</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4.9%</w:t>
            </w:r>
          </w:p>
        </w:tc>
        <w:tc>
          <w:tcPr>
            <w:tcW w:w="620" w:type="dxa"/>
            <w:vAlign w:val="bottom"/>
          </w:tcPr>
          <w:p>
            <w:pPr>
              <w:jc w:val="center"/>
              <w:ind w:left="99"/>
              <w:spacing w:after="0"/>
              <w:rPr>
                <w:sz w:val="20"/>
                <w:szCs w:val="20"/>
                <w:color w:val="auto"/>
              </w:rPr>
            </w:pPr>
            <w:r>
              <w:rPr>
                <w:rFonts w:ascii="Arial" w:cs="Arial" w:eastAsia="Arial" w:hAnsi="Arial"/>
                <w:sz w:val="8"/>
                <w:szCs w:val="8"/>
                <w:b w:val="1"/>
                <w:bCs w:val="1"/>
                <w:color w:val="auto"/>
              </w:rPr>
              <w:t>3,279,757</w:t>
            </w:r>
          </w:p>
        </w:tc>
        <w:tc>
          <w:tcPr>
            <w:tcW w:w="960" w:type="dxa"/>
            <w:vAlign w:val="bottom"/>
            <w:tcBorders>
              <w:right w:val="single" w:sz="8" w:color="auto"/>
            </w:tcBorders>
          </w:tcPr>
          <w:p>
            <w:pPr>
              <w:jc w:val="center"/>
              <w:ind w:left="79"/>
              <w:spacing w:after="0"/>
              <w:rPr>
                <w:sz w:val="20"/>
                <w:szCs w:val="20"/>
                <w:color w:val="auto"/>
              </w:rPr>
            </w:pPr>
            <w:r>
              <w:rPr>
                <w:rFonts w:ascii="Arial" w:cs="Arial" w:eastAsia="Arial" w:hAnsi="Arial"/>
                <w:sz w:val="8"/>
                <w:szCs w:val="8"/>
                <w:b w:val="1"/>
                <w:bCs w:val="1"/>
                <w:color w:val="auto"/>
              </w:rPr>
              <w:t>3,504,483</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6.9%</w:t>
            </w:r>
          </w:p>
        </w:tc>
        <w:tc>
          <w:tcPr>
            <w:tcW w:w="560" w:type="dxa"/>
            <w:vAlign w:val="bottom"/>
          </w:tcPr>
          <w:p>
            <w:pPr>
              <w:spacing w:after="0"/>
              <w:rPr>
                <w:sz w:val="9"/>
                <w:szCs w:val="9"/>
                <w:color w:val="auto"/>
              </w:rPr>
            </w:pPr>
          </w:p>
        </w:tc>
      </w:tr>
      <w:tr>
        <w:trPr>
          <w:trHeight w:val="165"/>
        </w:trPr>
        <w:tc>
          <w:tcPr>
            <w:tcW w:w="580" w:type="dxa"/>
            <w:vAlign w:val="bottom"/>
            <w:tcBorders>
              <w:right w:val="single" w:sz="8" w:color="auto"/>
            </w:tcBorders>
          </w:tcPr>
          <w:p>
            <w:pPr>
              <w:spacing w:after="0"/>
              <w:rPr>
                <w:sz w:val="14"/>
                <w:szCs w:val="14"/>
                <w:color w:val="auto"/>
              </w:rPr>
            </w:pPr>
          </w:p>
        </w:tc>
        <w:tc>
          <w:tcPr>
            <w:tcW w:w="440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Interest and similar expense</w:t>
            </w:r>
          </w:p>
        </w:tc>
        <w:tc>
          <w:tcPr>
            <w:tcW w:w="760" w:type="dxa"/>
            <w:vAlign w:val="bottom"/>
          </w:tcPr>
          <w:p>
            <w:pPr>
              <w:jc w:val="center"/>
              <w:spacing w:after="0"/>
              <w:rPr>
                <w:sz w:val="20"/>
                <w:szCs w:val="20"/>
                <w:color w:val="auto"/>
              </w:rPr>
            </w:pPr>
            <w:r>
              <w:rPr>
                <w:rFonts w:ascii="Arial" w:cs="Arial" w:eastAsia="Arial" w:hAnsi="Arial"/>
                <w:sz w:val="8"/>
                <w:szCs w:val="8"/>
                <w:color w:val="auto"/>
              </w:rPr>
              <w:t>(14,156)</w:t>
            </w:r>
          </w:p>
        </w:tc>
        <w:tc>
          <w:tcPr>
            <w:tcW w:w="780" w:type="dxa"/>
            <w:vAlign w:val="bottom"/>
          </w:tcPr>
          <w:p>
            <w:pPr>
              <w:jc w:val="center"/>
              <w:spacing w:after="0"/>
              <w:rPr>
                <w:sz w:val="20"/>
                <w:szCs w:val="20"/>
                <w:color w:val="auto"/>
              </w:rPr>
            </w:pPr>
            <w:r>
              <w:rPr>
                <w:rFonts w:ascii="Arial" w:cs="Arial" w:eastAsia="Arial" w:hAnsi="Arial"/>
                <w:sz w:val="8"/>
                <w:szCs w:val="8"/>
                <w:color w:val="auto"/>
              </w:rPr>
              <w:t>(13,565)</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(13,508)</w:t>
            </w:r>
          </w:p>
        </w:tc>
        <w:tc>
          <w:tcPr>
            <w:tcW w:w="540" w:type="dxa"/>
            <w:vAlign w:val="bottom"/>
          </w:tcPr>
          <w:p>
            <w:pPr>
              <w:jc w:val="center"/>
              <w:spacing w:after="0"/>
              <w:rPr>
                <w:sz w:val="20"/>
                <w:szCs w:val="20"/>
                <w:color w:val="auto"/>
              </w:rPr>
            </w:pPr>
            <w:r>
              <w:rPr>
                <w:rFonts w:ascii="Arial" w:cs="Arial" w:eastAsia="Arial" w:hAnsi="Arial"/>
                <w:sz w:val="8"/>
                <w:szCs w:val="8"/>
                <w:color w:val="auto"/>
                <w:w w:val="95"/>
              </w:rPr>
              <w:t>-0.4%</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-4.6%</w:t>
            </w:r>
          </w:p>
        </w:tc>
        <w:tc>
          <w:tcPr>
            <w:tcW w:w="620" w:type="dxa"/>
            <w:vAlign w:val="bottom"/>
          </w:tcPr>
          <w:p>
            <w:pPr>
              <w:jc w:val="center"/>
              <w:ind w:left="99"/>
              <w:spacing w:after="0"/>
              <w:rPr>
                <w:sz w:val="20"/>
                <w:szCs w:val="20"/>
                <w:color w:val="auto"/>
              </w:rPr>
            </w:pPr>
            <w:r>
              <w:rPr>
                <w:rFonts w:ascii="Arial" w:cs="Arial" w:eastAsia="Arial" w:hAnsi="Arial"/>
                <w:sz w:val="8"/>
                <w:szCs w:val="8"/>
                <w:color w:val="auto"/>
              </w:rPr>
              <w:t>(27,952)</w:t>
            </w:r>
          </w:p>
        </w:tc>
        <w:tc>
          <w:tcPr>
            <w:tcW w:w="96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rPr>
              <w:t>(27,073)</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-3.1%</w:t>
            </w:r>
          </w:p>
        </w:tc>
        <w:tc>
          <w:tcPr>
            <w:tcW w:w="560" w:type="dxa"/>
            <w:vAlign w:val="bottom"/>
          </w:tcPr>
          <w:p>
            <w:pPr>
              <w:spacing w:after="0"/>
              <w:rPr>
                <w:sz w:val="14"/>
                <w:szCs w:val="14"/>
                <w:color w:val="auto"/>
              </w:rPr>
            </w:pPr>
          </w:p>
        </w:tc>
      </w:tr>
      <w:tr>
        <w:trPr>
          <w:trHeight w:val="93"/>
        </w:trPr>
        <w:tc>
          <w:tcPr>
            <w:tcW w:w="580" w:type="dxa"/>
            <w:vAlign w:val="bottom"/>
            <w:tcBorders>
              <w:right w:val="single" w:sz="8" w:color="auto"/>
            </w:tcBorders>
          </w:tcPr>
          <w:p>
            <w:pPr>
              <w:spacing w:after="0"/>
              <w:rPr>
                <w:sz w:val="8"/>
                <w:szCs w:val="8"/>
                <w:color w:val="auto"/>
              </w:rPr>
            </w:pPr>
          </w:p>
        </w:tc>
        <w:tc>
          <w:tcPr>
            <w:tcW w:w="440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Administrative and general expenses</w:t>
            </w:r>
          </w:p>
        </w:tc>
        <w:tc>
          <w:tcPr>
            <w:tcW w:w="760" w:type="dxa"/>
            <w:vAlign w:val="bottom"/>
          </w:tcPr>
          <w:p>
            <w:pPr>
              <w:jc w:val="center"/>
              <w:spacing w:after="0"/>
              <w:rPr>
                <w:sz w:val="20"/>
                <w:szCs w:val="20"/>
                <w:color w:val="auto"/>
              </w:rPr>
            </w:pPr>
            <w:r>
              <w:rPr>
                <w:rFonts w:ascii="Arial" w:cs="Arial" w:eastAsia="Arial" w:hAnsi="Arial"/>
                <w:sz w:val="8"/>
                <w:szCs w:val="8"/>
                <w:color w:val="auto"/>
              </w:rPr>
              <w:t>(7,584)</w:t>
            </w:r>
          </w:p>
        </w:tc>
        <w:tc>
          <w:tcPr>
            <w:tcW w:w="780" w:type="dxa"/>
            <w:vAlign w:val="bottom"/>
          </w:tcPr>
          <w:p>
            <w:pPr>
              <w:jc w:val="center"/>
              <w:spacing w:after="0"/>
              <w:rPr>
                <w:sz w:val="20"/>
                <w:szCs w:val="20"/>
                <w:color w:val="auto"/>
              </w:rPr>
            </w:pPr>
            <w:r>
              <w:rPr>
                <w:rFonts w:ascii="Arial" w:cs="Arial" w:eastAsia="Arial" w:hAnsi="Arial"/>
                <w:sz w:val="8"/>
                <w:szCs w:val="8"/>
                <w:color w:val="auto"/>
              </w:rPr>
              <w:t>(4,802)</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4"/>
              </w:rPr>
              <w:t>(5,115)</w:t>
            </w:r>
          </w:p>
        </w:tc>
        <w:tc>
          <w:tcPr>
            <w:tcW w:w="540" w:type="dxa"/>
            <w:vAlign w:val="bottom"/>
          </w:tcPr>
          <w:p>
            <w:pPr>
              <w:jc w:val="center"/>
              <w:spacing w:after="0"/>
              <w:rPr>
                <w:sz w:val="20"/>
                <w:szCs w:val="20"/>
                <w:color w:val="auto"/>
              </w:rPr>
            </w:pPr>
            <w:r>
              <w:rPr>
                <w:rFonts w:ascii="Arial" w:cs="Arial" w:eastAsia="Arial" w:hAnsi="Arial"/>
                <w:sz w:val="8"/>
                <w:szCs w:val="8"/>
                <w:color w:val="auto"/>
              </w:rPr>
              <w:t>6.5%</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-32.6%</w:t>
            </w:r>
          </w:p>
        </w:tc>
        <w:tc>
          <w:tcPr>
            <w:tcW w:w="620" w:type="dxa"/>
            <w:vAlign w:val="bottom"/>
          </w:tcPr>
          <w:p>
            <w:pPr>
              <w:jc w:val="center"/>
              <w:ind w:left="79"/>
              <w:spacing w:after="0"/>
              <w:rPr>
                <w:sz w:val="20"/>
                <w:szCs w:val="20"/>
                <w:color w:val="auto"/>
              </w:rPr>
            </w:pPr>
            <w:r>
              <w:rPr>
                <w:rFonts w:ascii="Arial" w:cs="Arial" w:eastAsia="Arial" w:hAnsi="Arial"/>
                <w:sz w:val="8"/>
                <w:szCs w:val="8"/>
                <w:color w:val="auto"/>
              </w:rPr>
              <w:t>(11,991)</w:t>
            </w:r>
          </w:p>
        </w:tc>
        <w:tc>
          <w:tcPr>
            <w:tcW w:w="96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rPr>
              <w:t>(9,917)</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-17.3%</w:t>
            </w:r>
          </w:p>
        </w:tc>
        <w:tc>
          <w:tcPr>
            <w:tcW w:w="560" w:type="dxa"/>
            <w:vAlign w:val="bottom"/>
          </w:tcPr>
          <w:p>
            <w:pPr>
              <w:spacing w:after="0"/>
              <w:rPr>
                <w:sz w:val="8"/>
                <w:szCs w:val="8"/>
                <w:color w:val="auto"/>
              </w:rPr>
            </w:pPr>
          </w:p>
        </w:tc>
      </w:tr>
      <w:tr>
        <w:trPr>
          <w:trHeight w:val="112"/>
        </w:trPr>
        <w:tc>
          <w:tcPr>
            <w:tcW w:w="580" w:type="dxa"/>
            <w:vAlign w:val="bottom"/>
            <w:tcBorders>
              <w:right w:val="single" w:sz="8" w:color="auto"/>
            </w:tcBorders>
          </w:tcPr>
          <w:p>
            <w:pPr>
              <w:spacing w:after="0"/>
              <w:rPr>
                <w:sz w:val="9"/>
                <w:szCs w:val="9"/>
                <w:color w:val="auto"/>
              </w:rPr>
            </w:pPr>
          </w:p>
        </w:tc>
        <w:tc>
          <w:tcPr>
            <w:tcW w:w="4400" w:type="dxa"/>
            <w:vAlign w:val="bottom"/>
            <w:tcBorders>
              <w:right w:val="single" w:sz="8" w:color="auto"/>
            </w:tcBorders>
          </w:tcPr>
          <w:p>
            <w:pPr>
              <w:ind w:left="20"/>
              <w:spacing w:after="0"/>
              <w:rPr>
                <w:sz w:val="20"/>
                <w:szCs w:val="20"/>
                <w:color w:val="auto"/>
              </w:rPr>
            </w:pPr>
            <w:r>
              <w:rPr>
                <w:rFonts w:ascii="Arial" w:cs="Arial" w:eastAsia="Arial" w:hAnsi="Arial"/>
                <w:sz w:val="8"/>
                <w:szCs w:val="8"/>
                <w:b w:val="1"/>
                <w:bCs w:val="1"/>
                <w:color w:val="auto"/>
              </w:rPr>
              <w:t>Total expenses</w:t>
            </w:r>
          </w:p>
        </w:tc>
        <w:tc>
          <w:tcPr>
            <w:tcW w:w="760" w:type="dxa"/>
            <w:vAlign w:val="bottom"/>
          </w:tcPr>
          <w:p>
            <w:pPr>
              <w:jc w:val="center"/>
              <w:spacing w:after="0"/>
              <w:rPr>
                <w:sz w:val="20"/>
                <w:szCs w:val="20"/>
                <w:color w:val="auto"/>
              </w:rPr>
            </w:pPr>
            <w:r>
              <w:rPr>
                <w:rFonts w:ascii="Arial" w:cs="Arial" w:eastAsia="Arial" w:hAnsi="Arial"/>
                <w:sz w:val="8"/>
                <w:szCs w:val="8"/>
                <w:b w:val="1"/>
                <w:bCs w:val="1"/>
                <w:color w:val="auto"/>
              </w:rPr>
              <w:t>(21,740)</w:t>
            </w:r>
          </w:p>
        </w:tc>
        <w:tc>
          <w:tcPr>
            <w:tcW w:w="780" w:type="dxa"/>
            <w:vAlign w:val="bottom"/>
          </w:tcPr>
          <w:p>
            <w:pPr>
              <w:jc w:val="center"/>
              <w:spacing w:after="0"/>
              <w:rPr>
                <w:sz w:val="20"/>
                <w:szCs w:val="20"/>
                <w:color w:val="auto"/>
              </w:rPr>
            </w:pPr>
            <w:r>
              <w:rPr>
                <w:rFonts w:ascii="Arial" w:cs="Arial" w:eastAsia="Arial" w:hAnsi="Arial"/>
                <w:sz w:val="8"/>
                <w:szCs w:val="8"/>
                <w:b w:val="1"/>
                <w:bCs w:val="1"/>
                <w:color w:val="auto"/>
              </w:rPr>
              <w:t>(18,367)</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(18,623)</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1.4%</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-14.3%</w:t>
            </w:r>
          </w:p>
        </w:tc>
        <w:tc>
          <w:tcPr>
            <w:tcW w:w="620" w:type="dxa"/>
            <w:vAlign w:val="bottom"/>
          </w:tcPr>
          <w:p>
            <w:pPr>
              <w:jc w:val="center"/>
              <w:ind w:left="99"/>
              <w:spacing w:after="0"/>
              <w:rPr>
                <w:sz w:val="20"/>
                <w:szCs w:val="20"/>
                <w:color w:val="auto"/>
              </w:rPr>
            </w:pPr>
            <w:r>
              <w:rPr>
                <w:rFonts w:ascii="Arial" w:cs="Arial" w:eastAsia="Arial" w:hAnsi="Arial"/>
                <w:sz w:val="8"/>
                <w:szCs w:val="8"/>
                <w:b w:val="1"/>
                <w:bCs w:val="1"/>
                <w:color w:val="auto"/>
              </w:rPr>
              <w:t>(39,943)</w:t>
            </w:r>
          </w:p>
        </w:tc>
        <w:tc>
          <w:tcPr>
            <w:tcW w:w="96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b w:val="1"/>
                <w:bCs w:val="1"/>
                <w:color w:val="auto"/>
              </w:rPr>
              <w:t>(36,990)</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-7.4%</w:t>
            </w:r>
          </w:p>
        </w:tc>
        <w:tc>
          <w:tcPr>
            <w:tcW w:w="560" w:type="dxa"/>
            <w:vAlign w:val="bottom"/>
          </w:tcPr>
          <w:p>
            <w:pPr>
              <w:spacing w:after="0"/>
              <w:rPr>
                <w:sz w:val="9"/>
                <w:szCs w:val="9"/>
                <w:color w:val="auto"/>
              </w:rPr>
            </w:pPr>
          </w:p>
        </w:tc>
      </w:tr>
      <w:tr>
        <w:trPr>
          <w:trHeight w:val="185"/>
        </w:trPr>
        <w:tc>
          <w:tcPr>
            <w:tcW w:w="580" w:type="dxa"/>
            <w:vAlign w:val="bottom"/>
            <w:tcBorders>
              <w:right w:val="single" w:sz="8" w:color="auto"/>
            </w:tcBorders>
          </w:tcPr>
          <w:p>
            <w:pPr>
              <w:spacing w:after="0"/>
              <w:rPr>
                <w:sz w:val="16"/>
                <w:szCs w:val="16"/>
                <w:color w:val="auto"/>
              </w:rPr>
            </w:pPr>
          </w:p>
        </w:tc>
        <w:tc>
          <w:tcPr>
            <w:tcW w:w="4400" w:type="dxa"/>
            <w:vAlign w:val="bottom"/>
            <w:tcBorders>
              <w:right w:val="single" w:sz="8" w:color="auto"/>
            </w:tcBorders>
          </w:tcPr>
          <w:p>
            <w:pPr>
              <w:ind w:left="20"/>
              <w:spacing w:after="0"/>
              <w:rPr>
                <w:sz w:val="20"/>
                <w:szCs w:val="20"/>
                <w:color w:val="auto"/>
              </w:rPr>
            </w:pPr>
            <w:r>
              <w:rPr>
                <w:rFonts w:ascii="Arial" w:cs="Arial" w:eastAsia="Arial" w:hAnsi="Arial"/>
                <w:sz w:val="8"/>
                <w:szCs w:val="8"/>
                <w:b w:val="1"/>
                <w:bCs w:val="1"/>
                <w:color w:val="auto"/>
              </w:rPr>
              <w:t>Operating income</w:t>
            </w:r>
          </w:p>
        </w:tc>
        <w:tc>
          <w:tcPr>
            <w:tcW w:w="760" w:type="dxa"/>
            <w:vAlign w:val="bottom"/>
          </w:tcPr>
          <w:p>
            <w:pPr>
              <w:jc w:val="center"/>
              <w:spacing w:after="0"/>
              <w:rPr>
                <w:sz w:val="20"/>
                <w:szCs w:val="20"/>
                <w:color w:val="auto"/>
              </w:rPr>
            </w:pPr>
            <w:r>
              <w:rPr>
                <w:rFonts w:ascii="Arial" w:cs="Arial" w:eastAsia="Arial" w:hAnsi="Arial"/>
                <w:sz w:val="8"/>
                <w:szCs w:val="8"/>
                <w:b w:val="1"/>
                <w:bCs w:val="1"/>
                <w:color w:val="auto"/>
              </w:rPr>
              <w:t>1,814,747</w:t>
            </w:r>
          </w:p>
        </w:tc>
        <w:tc>
          <w:tcPr>
            <w:tcW w:w="780" w:type="dxa"/>
            <w:vAlign w:val="bottom"/>
          </w:tcPr>
          <w:p>
            <w:pPr>
              <w:jc w:val="center"/>
              <w:spacing w:after="0"/>
              <w:rPr>
                <w:sz w:val="20"/>
                <w:szCs w:val="20"/>
                <w:color w:val="auto"/>
              </w:rPr>
            </w:pPr>
            <w:r>
              <w:rPr>
                <w:rFonts w:ascii="Arial" w:cs="Arial" w:eastAsia="Arial" w:hAnsi="Arial"/>
                <w:sz w:val="8"/>
                <w:szCs w:val="8"/>
                <w:b w:val="1"/>
                <w:bCs w:val="1"/>
                <w:color w:val="auto"/>
              </w:rPr>
              <w:t>1,558,986</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1,908,507</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22.4%</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5.2%</w:t>
            </w:r>
          </w:p>
        </w:tc>
        <w:tc>
          <w:tcPr>
            <w:tcW w:w="620" w:type="dxa"/>
            <w:vAlign w:val="bottom"/>
          </w:tcPr>
          <w:p>
            <w:pPr>
              <w:jc w:val="center"/>
              <w:ind w:left="99"/>
              <w:spacing w:after="0"/>
              <w:rPr>
                <w:sz w:val="20"/>
                <w:szCs w:val="20"/>
                <w:color w:val="auto"/>
              </w:rPr>
            </w:pPr>
            <w:r>
              <w:rPr>
                <w:rFonts w:ascii="Arial" w:cs="Arial" w:eastAsia="Arial" w:hAnsi="Arial"/>
                <w:sz w:val="8"/>
                <w:szCs w:val="8"/>
                <w:b w:val="1"/>
                <w:bCs w:val="1"/>
                <w:color w:val="auto"/>
              </w:rPr>
              <w:t>3,239,814</w:t>
            </w:r>
          </w:p>
        </w:tc>
        <w:tc>
          <w:tcPr>
            <w:tcW w:w="960" w:type="dxa"/>
            <w:vAlign w:val="bottom"/>
            <w:tcBorders>
              <w:right w:val="single" w:sz="8" w:color="auto"/>
            </w:tcBorders>
          </w:tcPr>
          <w:p>
            <w:pPr>
              <w:jc w:val="center"/>
              <w:ind w:left="79"/>
              <w:spacing w:after="0"/>
              <w:rPr>
                <w:sz w:val="20"/>
                <w:szCs w:val="20"/>
                <w:color w:val="auto"/>
              </w:rPr>
            </w:pPr>
            <w:r>
              <w:rPr>
                <w:rFonts w:ascii="Arial" w:cs="Arial" w:eastAsia="Arial" w:hAnsi="Arial"/>
                <w:sz w:val="8"/>
                <w:szCs w:val="8"/>
                <w:b w:val="1"/>
                <w:bCs w:val="1"/>
                <w:color w:val="auto"/>
              </w:rPr>
              <w:t>3,467,493</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7.0%</w:t>
            </w:r>
          </w:p>
        </w:tc>
        <w:tc>
          <w:tcPr>
            <w:tcW w:w="560" w:type="dxa"/>
            <w:vAlign w:val="bottom"/>
          </w:tcPr>
          <w:p>
            <w:pPr>
              <w:spacing w:after="0"/>
              <w:rPr>
                <w:sz w:val="16"/>
                <w:szCs w:val="16"/>
                <w:color w:val="auto"/>
              </w:rPr>
            </w:pPr>
          </w:p>
        </w:tc>
      </w:tr>
      <w:tr>
        <w:trPr>
          <w:trHeight w:val="165"/>
        </w:trPr>
        <w:tc>
          <w:tcPr>
            <w:tcW w:w="580" w:type="dxa"/>
            <w:vAlign w:val="bottom"/>
            <w:tcBorders>
              <w:right w:val="single" w:sz="8" w:color="auto"/>
            </w:tcBorders>
          </w:tcPr>
          <w:p>
            <w:pPr>
              <w:spacing w:after="0"/>
              <w:rPr>
                <w:sz w:val="14"/>
                <w:szCs w:val="14"/>
                <w:color w:val="auto"/>
              </w:rPr>
            </w:pPr>
          </w:p>
        </w:tc>
        <w:tc>
          <w:tcPr>
            <w:tcW w:w="440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Results from exchange differences</w:t>
            </w:r>
          </w:p>
        </w:tc>
        <w:tc>
          <w:tcPr>
            <w:tcW w:w="760" w:type="dxa"/>
            <w:vAlign w:val="bottom"/>
          </w:tcPr>
          <w:p>
            <w:pPr>
              <w:jc w:val="center"/>
              <w:spacing w:after="0"/>
              <w:rPr>
                <w:sz w:val="20"/>
                <w:szCs w:val="20"/>
                <w:color w:val="auto"/>
              </w:rPr>
            </w:pPr>
            <w:r>
              <w:rPr>
                <w:rFonts w:ascii="Arial" w:cs="Arial" w:eastAsia="Arial" w:hAnsi="Arial"/>
                <w:sz w:val="8"/>
                <w:szCs w:val="8"/>
                <w:color w:val="auto"/>
              </w:rPr>
              <w:t>(3,284)</w:t>
            </w:r>
          </w:p>
        </w:tc>
        <w:tc>
          <w:tcPr>
            <w:tcW w:w="780" w:type="dxa"/>
            <w:vAlign w:val="bottom"/>
          </w:tcPr>
          <w:p>
            <w:pPr>
              <w:jc w:val="center"/>
              <w:spacing w:after="0"/>
              <w:rPr>
                <w:sz w:val="20"/>
                <w:szCs w:val="20"/>
                <w:color w:val="auto"/>
              </w:rPr>
            </w:pPr>
            <w:r>
              <w:rPr>
                <w:rFonts w:ascii="Arial" w:cs="Arial" w:eastAsia="Arial" w:hAnsi="Arial"/>
                <w:sz w:val="8"/>
                <w:szCs w:val="8"/>
                <w:color w:val="auto"/>
              </w:rPr>
              <w:t>93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(2,830)</w:t>
            </w:r>
          </w:p>
        </w:tc>
        <w:tc>
          <w:tcPr>
            <w:tcW w:w="540" w:type="dxa"/>
            <w:vAlign w:val="bottom"/>
          </w:tcPr>
          <w:p>
            <w:pPr>
              <w:jc w:val="center"/>
              <w:spacing w:after="0"/>
              <w:rPr>
                <w:sz w:val="20"/>
                <w:szCs w:val="20"/>
                <w:color w:val="auto"/>
              </w:rPr>
            </w:pPr>
            <w:r>
              <w:rPr>
                <w:rFonts w:ascii="Arial" w:cs="Arial" w:eastAsia="Arial" w:hAnsi="Arial"/>
                <w:sz w:val="8"/>
                <w:szCs w:val="8"/>
                <w:color w:val="auto"/>
              </w:rPr>
              <w:t>n.a.</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-13.8%</w:t>
            </w:r>
          </w:p>
        </w:tc>
        <w:tc>
          <w:tcPr>
            <w:tcW w:w="620" w:type="dxa"/>
            <w:vAlign w:val="bottom"/>
          </w:tcPr>
          <w:p>
            <w:pPr>
              <w:jc w:val="center"/>
              <w:ind w:left="79"/>
              <w:spacing w:after="0"/>
              <w:rPr>
                <w:sz w:val="20"/>
                <w:szCs w:val="20"/>
                <w:color w:val="auto"/>
              </w:rPr>
            </w:pPr>
            <w:r>
              <w:rPr>
                <w:rFonts w:ascii="Arial" w:cs="Arial" w:eastAsia="Arial" w:hAnsi="Arial"/>
                <w:sz w:val="8"/>
                <w:szCs w:val="8"/>
                <w:color w:val="auto"/>
              </w:rPr>
              <w:t>(3,442)</w:t>
            </w:r>
          </w:p>
        </w:tc>
        <w:tc>
          <w:tcPr>
            <w:tcW w:w="96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rPr>
              <w:t>(2,737)</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-20.5%</w:t>
            </w:r>
          </w:p>
        </w:tc>
        <w:tc>
          <w:tcPr>
            <w:tcW w:w="560" w:type="dxa"/>
            <w:vAlign w:val="bottom"/>
          </w:tcPr>
          <w:p>
            <w:pPr>
              <w:spacing w:after="0"/>
              <w:rPr>
                <w:sz w:val="14"/>
                <w:szCs w:val="14"/>
                <w:color w:val="auto"/>
              </w:rPr>
            </w:pPr>
          </w:p>
        </w:tc>
      </w:tr>
      <w:tr>
        <w:trPr>
          <w:trHeight w:val="108"/>
        </w:trPr>
        <w:tc>
          <w:tcPr>
            <w:tcW w:w="580" w:type="dxa"/>
            <w:vAlign w:val="bottom"/>
            <w:tcBorders>
              <w:right w:val="single" w:sz="8" w:color="auto"/>
            </w:tcBorders>
          </w:tcPr>
          <w:p>
            <w:pPr>
              <w:spacing w:after="0"/>
              <w:rPr>
                <w:sz w:val="9"/>
                <w:szCs w:val="9"/>
                <w:color w:val="auto"/>
              </w:rPr>
            </w:pPr>
          </w:p>
        </w:tc>
        <w:tc>
          <w:tcPr>
            <w:tcW w:w="440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Other, net</w:t>
            </w:r>
          </w:p>
        </w:tc>
        <w:tc>
          <w:tcPr>
            <w:tcW w:w="760" w:type="dxa"/>
            <w:vAlign w:val="bottom"/>
          </w:tcPr>
          <w:p>
            <w:pPr>
              <w:jc w:val="center"/>
              <w:spacing w:after="0"/>
              <w:rPr>
                <w:sz w:val="20"/>
                <w:szCs w:val="20"/>
                <w:color w:val="auto"/>
              </w:rPr>
            </w:pPr>
            <w:r>
              <w:rPr>
                <w:rFonts w:ascii="Arial" w:cs="Arial" w:eastAsia="Arial" w:hAnsi="Arial"/>
                <w:sz w:val="8"/>
                <w:szCs w:val="8"/>
                <w:color w:val="auto"/>
                <w:w w:val="89"/>
              </w:rPr>
              <w:t>99</w:t>
            </w:r>
          </w:p>
        </w:tc>
        <w:tc>
          <w:tcPr>
            <w:tcW w:w="780" w:type="dxa"/>
            <w:vAlign w:val="bottom"/>
          </w:tcPr>
          <w:p>
            <w:pPr>
              <w:jc w:val="center"/>
              <w:spacing w:after="0"/>
              <w:rPr>
                <w:sz w:val="20"/>
                <w:szCs w:val="20"/>
                <w:color w:val="auto"/>
              </w:rPr>
            </w:pPr>
            <w:r>
              <w:rPr>
                <w:rFonts w:ascii="Arial" w:cs="Arial" w:eastAsia="Arial" w:hAnsi="Arial"/>
                <w:sz w:val="8"/>
                <w:szCs w:val="8"/>
                <w:color w:val="auto"/>
                <w:w w:val="89"/>
              </w:rPr>
              <w:t>111</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(29)</w:t>
            </w:r>
          </w:p>
        </w:tc>
        <w:tc>
          <w:tcPr>
            <w:tcW w:w="540" w:type="dxa"/>
            <w:vAlign w:val="bottom"/>
          </w:tcPr>
          <w:p>
            <w:pPr>
              <w:jc w:val="center"/>
              <w:spacing w:after="0"/>
              <w:rPr>
                <w:sz w:val="20"/>
                <w:szCs w:val="20"/>
                <w:color w:val="auto"/>
              </w:rPr>
            </w:pPr>
            <w:r>
              <w:rPr>
                <w:rFonts w:ascii="Arial" w:cs="Arial" w:eastAsia="Arial" w:hAnsi="Arial"/>
                <w:sz w:val="8"/>
                <w:szCs w:val="8"/>
                <w:color w:val="auto"/>
              </w:rPr>
              <w:t>-126.1%</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-129.3%</w:t>
            </w:r>
          </w:p>
        </w:tc>
        <w:tc>
          <w:tcPr>
            <w:tcW w:w="620" w:type="dxa"/>
            <w:vAlign w:val="bottom"/>
          </w:tcPr>
          <w:p>
            <w:pPr>
              <w:jc w:val="center"/>
              <w:ind w:left="79"/>
              <w:spacing w:after="0"/>
              <w:rPr>
                <w:sz w:val="20"/>
                <w:szCs w:val="20"/>
                <w:color w:val="auto"/>
              </w:rPr>
            </w:pPr>
            <w:r>
              <w:rPr>
                <w:rFonts w:ascii="Arial" w:cs="Arial" w:eastAsia="Arial" w:hAnsi="Arial"/>
                <w:sz w:val="8"/>
                <w:szCs w:val="8"/>
                <w:color w:val="auto"/>
              </w:rPr>
              <w:t>201</w:t>
            </w:r>
          </w:p>
        </w:tc>
        <w:tc>
          <w:tcPr>
            <w:tcW w:w="96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rPr>
              <w:t>82</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-59.2%</w:t>
            </w:r>
          </w:p>
        </w:tc>
        <w:tc>
          <w:tcPr>
            <w:tcW w:w="560" w:type="dxa"/>
            <w:vAlign w:val="bottom"/>
          </w:tcPr>
          <w:p>
            <w:pPr>
              <w:spacing w:after="0"/>
              <w:rPr>
                <w:sz w:val="9"/>
                <w:szCs w:val="9"/>
                <w:color w:val="auto"/>
              </w:rPr>
            </w:pPr>
          </w:p>
        </w:tc>
      </w:tr>
      <w:tr>
        <w:trPr>
          <w:trHeight w:val="169"/>
        </w:trPr>
        <w:tc>
          <w:tcPr>
            <w:tcW w:w="580" w:type="dxa"/>
            <w:vAlign w:val="bottom"/>
            <w:tcBorders>
              <w:right w:val="single" w:sz="8" w:color="auto"/>
            </w:tcBorders>
          </w:tcPr>
          <w:p>
            <w:pPr>
              <w:spacing w:after="0"/>
              <w:rPr>
                <w:sz w:val="14"/>
                <w:szCs w:val="14"/>
                <w:color w:val="auto"/>
              </w:rPr>
            </w:pPr>
          </w:p>
        </w:tc>
        <w:tc>
          <w:tcPr>
            <w:tcW w:w="4400" w:type="dxa"/>
            <w:vAlign w:val="bottom"/>
            <w:tcBorders>
              <w:right w:val="single" w:sz="8" w:color="auto"/>
            </w:tcBorders>
          </w:tcPr>
          <w:p>
            <w:pPr>
              <w:ind w:left="20"/>
              <w:spacing w:after="0"/>
              <w:rPr>
                <w:sz w:val="20"/>
                <w:szCs w:val="20"/>
                <w:color w:val="auto"/>
              </w:rPr>
            </w:pPr>
            <w:r>
              <w:rPr>
                <w:rFonts w:ascii="Arial" w:cs="Arial" w:eastAsia="Arial" w:hAnsi="Arial"/>
                <w:sz w:val="8"/>
                <w:szCs w:val="8"/>
                <w:b w:val="1"/>
                <w:bCs w:val="1"/>
                <w:color w:val="auto"/>
              </w:rPr>
              <w:t>Profit before income tax</w:t>
            </w:r>
          </w:p>
        </w:tc>
        <w:tc>
          <w:tcPr>
            <w:tcW w:w="760" w:type="dxa"/>
            <w:vAlign w:val="bottom"/>
          </w:tcPr>
          <w:p>
            <w:pPr>
              <w:jc w:val="center"/>
              <w:spacing w:after="0"/>
              <w:rPr>
                <w:sz w:val="20"/>
                <w:szCs w:val="20"/>
                <w:color w:val="auto"/>
              </w:rPr>
            </w:pPr>
            <w:r>
              <w:rPr>
                <w:rFonts w:ascii="Arial" w:cs="Arial" w:eastAsia="Arial" w:hAnsi="Arial"/>
                <w:sz w:val="8"/>
                <w:szCs w:val="8"/>
                <w:b w:val="1"/>
                <w:bCs w:val="1"/>
                <w:color w:val="auto"/>
              </w:rPr>
              <w:t>1,811,562</w:t>
            </w:r>
          </w:p>
        </w:tc>
        <w:tc>
          <w:tcPr>
            <w:tcW w:w="780" w:type="dxa"/>
            <w:vAlign w:val="bottom"/>
          </w:tcPr>
          <w:p>
            <w:pPr>
              <w:jc w:val="center"/>
              <w:spacing w:after="0"/>
              <w:rPr>
                <w:sz w:val="20"/>
                <w:szCs w:val="20"/>
                <w:color w:val="auto"/>
              </w:rPr>
            </w:pPr>
            <w:r>
              <w:rPr>
                <w:rFonts w:ascii="Arial" w:cs="Arial" w:eastAsia="Arial" w:hAnsi="Arial"/>
                <w:sz w:val="8"/>
                <w:szCs w:val="8"/>
                <w:b w:val="1"/>
                <w:bCs w:val="1"/>
                <w:color w:val="auto"/>
              </w:rPr>
              <w:t>1,559,190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1,905,648</w:t>
            </w:r>
          </w:p>
        </w:tc>
        <w:tc>
          <w:tcPr>
            <w:tcW w:w="540" w:type="dxa"/>
            <w:vAlign w:val="bottom"/>
          </w:tcPr>
          <w:p>
            <w:pPr>
              <w:jc w:val="center"/>
              <w:spacing w:after="0"/>
              <w:rPr>
                <w:sz w:val="20"/>
                <w:szCs w:val="20"/>
                <w:color w:val="auto"/>
              </w:rPr>
            </w:pPr>
            <w:r>
              <w:rPr>
                <w:rFonts w:ascii="Arial" w:cs="Arial" w:eastAsia="Arial" w:hAnsi="Arial"/>
                <w:sz w:val="8"/>
                <w:szCs w:val="8"/>
                <w:b w:val="1"/>
                <w:bCs w:val="1"/>
                <w:color w:val="auto"/>
              </w:rPr>
              <w:t>22.2%</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5.2%</w:t>
            </w:r>
          </w:p>
        </w:tc>
        <w:tc>
          <w:tcPr>
            <w:tcW w:w="620" w:type="dxa"/>
            <w:vAlign w:val="bottom"/>
          </w:tcPr>
          <w:p>
            <w:pPr>
              <w:jc w:val="center"/>
              <w:ind w:left="99"/>
              <w:spacing w:after="0"/>
              <w:rPr>
                <w:sz w:val="20"/>
                <w:szCs w:val="20"/>
                <w:color w:val="auto"/>
              </w:rPr>
            </w:pPr>
            <w:r>
              <w:rPr>
                <w:rFonts w:ascii="Arial" w:cs="Arial" w:eastAsia="Arial" w:hAnsi="Arial"/>
                <w:sz w:val="8"/>
                <w:szCs w:val="8"/>
                <w:b w:val="1"/>
                <w:bCs w:val="1"/>
                <w:color w:val="auto"/>
              </w:rPr>
              <w:t>3,236,573</w:t>
            </w:r>
          </w:p>
        </w:tc>
        <w:tc>
          <w:tcPr>
            <w:tcW w:w="960" w:type="dxa"/>
            <w:vAlign w:val="bottom"/>
            <w:tcBorders>
              <w:right w:val="single" w:sz="8" w:color="auto"/>
            </w:tcBorders>
          </w:tcPr>
          <w:p>
            <w:pPr>
              <w:jc w:val="center"/>
              <w:ind w:left="79"/>
              <w:spacing w:after="0"/>
              <w:rPr>
                <w:sz w:val="20"/>
                <w:szCs w:val="20"/>
                <w:color w:val="auto"/>
              </w:rPr>
            </w:pPr>
            <w:r>
              <w:rPr>
                <w:rFonts w:ascii="Arial" w:cs="Arial" w:eastAsia="Arial" w:hAnsi="Arial"/>
                <w:sz w:val="8"/>
                <w:szCs w:val="8"/>
                <w:b w:val="1"/>
                <w:bCs w:val="1"/>
                <w:color w:val="auto"/>
              </w:rPr>
              <w:t>3,464,838</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7.1%</w:t>
            </w:r>
          </w:p>
        </w:tc>
        <w:tc>
          <w:tcPr>
            <w:tcW w:w="560" w:type="dxa"/>
            <w:vAlign w:val="bottom"/>
          </w:tcPr>
          <w:p>
            <w:pPr>
              <w:spacing w:after="0"/>
              <w:rPr>
                <w:sz w:val="14"/>
                <w:szCs w:val="14"/>
                <w:color w:val="auto"/>
              </w:rPr>
            </w:pPr>
          </w:p>
        </w:tc>
      </w:tr>
      <w:tr>
        <w:trPr>
          <w:trHeight w:val="93"/>
        </w:trPr>
        <w:tc>
          <w:tcPr>
            <w:tcW w:w="580" w:type="dxa"/>
            <w:vAlign w:val="bottom"/>
            <w:tcBorders>
              <w:right w:val="single" w:sz="8" w:color="auto"/>
            </w:tcBorders>
          </w:tcPr>
          <w:p>
            <w:pPr>
              <w:spacing w:after="0"/>
              <w:rPr>
                <w:sz w:val="8"/>
                <w:szCs w:val="8"/>
                <w:color w:val="auto"/>
              </w:rPr>
            </w:pPr>
          </w:p>
        </w:tc>
        <w:tc>
          <w:tcPr>
            <w:tcW w:w="440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Income tax</w:t>
            </w:r>
          </w:p>
        </w:tc>
        <w:tc>
          <w:tcPr>
            <w:tcW w:w="760" w:type="dxa"/>
            <w:vAlign w:val="bottom"/>
          </w:tcPr>
          <w:p>
            <w:pPr>
              <w:jc w:val="center"/>
              <w:spacing w:after="0"/>
              <w:rPr>
                <w:sz w:val="20"/>
                <w:szCs w:val="20"/>
                <w:color w:val="auto"/>
              </w:rPr>
            </w:pPr>
            <w:r>
              <w:rPr>
                <w:rFonts w:ascii="Arial" w:cs="Arial" w:eastAsia="Arial" w:hAnsi="Arial"/>
                <w:sz w:val="8"/>
                <w:szCs w:val="8"/>
                <w:color w:val="auto"/>
              </w:rPr>
              <w:t>(47,093)</w:t>
            </w:r>
          </w:p>
        </w:tc>
        <w:tc>
          <w:tcPr>
            <w:tcW w:w="780" w:type="dxa"/>
            <w:vAlign w:val="bottom"/>
          </w:tcPr>
          <w:p>
            <w:pPr>
              <w:jc w:val="center"/>
              <w:spacing w:after="0"/>
              <w:rPr>
                <w:sz w:val="20"/>
                <w:szCs w:val="20"/>
                <w:color w:val="auto"/>
              </w:rPr>
            </w:pPr>
            <w:r>
              <w:rPr>
                <w:rFonts w:ascii="Arial" w:cs="Arial" w:eastAsia="Arial" w:hAnsi="Arial"/>
                <w:sz w:val="8"/>
                <w:szCs w:val="8"/>
                <w:color w:val="auto"/>
              </w:rPr>
              <w:t>(43,104)</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(51,879)</w:t>
            </w:r>
          </w:p>
        </w:tc>
        <w:tc>
          <w:tcPr>
            <w:tcW w:w="540" w:type="dxa"/>
            <w:vAlign w:val="bottom"/>
          </w:tcPr>
          <w:p>
            <w:pPr>
              <w:jc w:val="center"/>
              <w:spacing w:after="0"/>
              <w:rPr>
                <w:sz w:val="20"/>
                <w:szCs w:val="20"/>
                <w:color w:val="auto"/>
              </w:rPr>
            </w:pPr>
            <w:r>
              <w:rPr>
                <w:rFonts w:ascii="Arial" w:cs="Arial" w:eastAsia="Arial" w:hAnsi="Arial"/>
                <w:sz w:val="8"/>
                <w:szCs w:val="8"/>
                <w:color w:val="auto"/>
              </w:rPr>
              <w:t>20.4%</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10.2%</w:t>
            </w:r>
          </w:p>
        </w:tc>
        <w:tc>
          <w:tcPr>
            <w:tcW w:w="620" w:type="dxa"/>
            <w:vAlign w:val="bottom"/>
          </w:tcPr>
          <w:p>
            <w:pPr>
              <w:jc w:val="center"/>
              <w:ind w:left="99"/>
              <w:spacing w:after="0"/>
              <w:rPr>
                <w:sz w:val="20"/>
                <w:szCs w:val="20"/>
                <w:color w:val="auto"/>
              </w:rPr>
            </w:pPr>
            <w:r>
              <w:rPr>
                <w:rFonts w:ascii="Arial" w:cs="Arial" w:eastAsia="Arial" w:hAnsi="Arial"/>
                <w:sz w:val="8"/>
                <w:szCs w:val="8"/>
                <w:color w:val="auto"/>
              </w:rPr>
              <w:t>(93,888)</w:t>
            </w:r>
          </w:p>
        </w:tc>
        <w:tc>
          <w:tcPr>
            <w:tcW w:w="96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rPr>
              <w:t>(94,983)</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1.2%</w:t>
            </w:r>
          </w:p>
        </w:tc>
        <w:tc>
          <w:tcPr>
            <w:tcW w:w="560" w:type="dxa"/>
            <w:vAlign w:val="bottom"/>
          </w:tcPr>
          <w:p>
            <w:pPr>
              <w:spacing w:after="0"/>
              <w:rPr>
                <w:sz w:val="8"/>
                <w:szCs w:val="8"/>
                <w:color w:val="auto"/>
              </w:rPr>
            </w:pPr>
          </w:p>
        </w:tc>
      </w:tr>
      <w:tr>
        <w:trPr>
          <w:trHeight w:val="103"/>
        </w:trPr>
        <w:tc>
          <w:tcPr>
            <w:tcW w:w="580" w:type="dxa"/>
            <w:vAlign w:val="bottom"/>
            <w:tcBorders>
              <w:right w:val="single" w:sz="8" w:color="auto"/>
            </w:tcBorders>
          </w:tcPr>
          <w:p>
            <w:pPr>
              <w:spacing w:after="0"/>
              <w:rPr>
                <w:sz w:val="8"/>
                <w:szCs w:val="8"/>
                <w:color w:val="auto"/>
              </w:rPr>
            </w:pPr>
          </w:p>
        </w:tc>
        <w:tc>
          <w:tcPr>
            <w:tcW w:w="44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Net income</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1,764,469</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1,516,086</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rPr>
              <w:t>1,853,769</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22.3%</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5.1%</w:t>
            </w:r>
          </w:p>
        </w:tc>
        <w:tc>
          <w:tcPr>
            <w:tcW w:w="620" w:type="dxa"/>
            <w:vAlign w:val="bottom"/>
            <w:tcBorders>
              <w:bottom w:val="single" w:sz="8" w:color="auto"/>
            </w:tcBorders>
          </w:tcPr>
          <w:p>
            <w:pPr>
              <w:jc w:val="center"/>
              <w:ind w:left="99"/>
              <w:spacing w:after="0"/>
              <w:rPr>
                <w:sz w:val="20"/>
                <w:szCs w:val="20"/>
                <w:color w:val="auto"/>
              </w:rPr>
            </w:pPr>
            <w:r>
              <w:rPr>
                <w:rFonts w:ascii="Arial" w:cs="Arial" w:eastAsia="Arial" w:hAnsi="Arial"/>
                <w:sz w:val="8"/>
                <w:szCs w:val="8"/>
                <w:b w:val="1"/>
                <w:bCs w:val="1"/>
                <w:color w:val="auto"/>
              </w:rPr>
              <w:t>3,142,685</w:t>
            </w:r>
          </w:p>
        </w:tc>
        <w:tc>
          <w:tcPr>
            <w:tcW w:w="960" w:type="dxa"/>
            <w:vAlign w:val="bottom"/>
            <w:tcBorders>
              <w:bottom w:val="single" w:sz="8" w:color="auto"/>
              <w:right w:val="single" w:sz="8" w:color="auto"/>
            </w:tcBorders>
          </w:tcPr>
          <w:p>
            <w:pPr>
              <w:jc w:val="center"/>
              <w:ind w:left="79"/>
              <w:spacing w:after="0"/>
              <w:rPr>
                <w:sz w:val="20"/>
                <w:szCs w:val="20"/>
                <w:color w:val="auto"/>
              </w:rPr>
            </w:pPr>
            <w:r>
              <w:rPr>
                <w:rFonts w:ascii="Arial" w:cs="Arial" w:eastAsia="Arial" w:hAnsi="Arial"/>
                <w:sz w:val="8"/>
                <w:szCs w:val="8"/>
                <w:b w:val="1"/>
                <w:bCs w:val="1"/>
                <w:color w:val="auto"/>
              </w:rPr>
              <w:t>3,369,855</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7.2%</w:t>
            </w:r>
          </w:p>
        </w:tc>
        <w:tc>
          <w:tcPr>
            <w:tcW w:w="560" w:type="dxa"/>
            <w:vAlign w:val="bottom"/>
          </w:tcPr>
          <w:p>
            <w:pPr>
              <w:spacing w:after="0"/>
              <w:rPr>
                <w:sz w:val="8"/>
                <w:szCs w:val="8"/>
                <w:color w:val="auto"/>
              </w:rPr>
            </w:pPr>
          </w:p>
        </w:tc>
      </w:tr>
      <w:tr>
        <w:trPr>
          <w:trHeight w:val="83"/>
        </w:trPr>
        <w:tc>
          <w:tcPr>
            <w:tcW w:w="580" w:type="dxa"/>
            <w:vAlign w:val="bottom"/>
          </w:tcPr>
          <w:p>
            <w:pPr>
              <w:spacing w:after="0"/>
              <w:rPr>
                <w:sz w:val="7"/>
                <w:szCs w:val="7"/>
                <w:color w:val="auto"/>
              </w:rPr>
            </w:pPr>
          </w:p>
        </w:tc>
        <w:tc>
          <w:tcPr>
            <w:tcW w:w="44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r>
      <w:tr>
        <w:trPr>
          <w:trHeight w:val="83"/>
        </w:trPr>
        <w:tc>
          <w:tcPr>
            <w:tcW w:w="580" w:type="dxa"/>
            <w:vAlign w:val="bottom"/>
            <w:tcBorders>
              <w:right w:val="single" w:sz="8" w:color="auto"/>
            </w:tcBorders>
          </w:tcPr>
          <w:p>
            <w:pPr>
              <w:spacing w:after="0"/>
              <w:rPr>
                <w:sz w:val="7"/>
                <w:szCs w:val="7"/>
                <w:color w:val="auto"/>
              </w:rPr>
            </w:pPr>
          </w:p>
        </w:tc>
        <w:tc>
          <w:tcPr>
            <w:tcW w:w="4400" w:type="dxa"/>
            <w:vAlign w:val="bottom"/>
            <w:tcBorders>
              <w:bottom w:val="single" w:sz="8" w:color="auto"/>
              <w:right w:val="single" w:sz="8" w:color="auto"/>
            </w:tcBorders>
          </w:tcPr>
          <w:p>
            <w:pPr>
              <w:ind w:left="20"/>
              <w:spacing w:after="0" w:line="83" w:lineRule="exact"/>
              <w:rPr>
                <w:sz w:val="20"/>
                <w:szCs w:val="20"/>
                <w:color w:val="auto"/>
              </w:rPr>
            </w:pPr>
            <w:r>
              <w:rPr>
                <w:rFonts w:ascii="Arial" w:cs="Arial" w:eastAsia="Arial" w:hAnsi="Arial"/>
                <w:sz w:val="8"/>
                <w:szCs w:val="8"/>
                <w:b w:val="1"/>
                <w:bCs w:val="1"/>
                <w:color w:val="auto"/>
              </w:rPr>
              <w:t>Double Leverage Ratio</w:t>
            </w:r>
          </w:p>
        </w:tc>
        <w:tc>
          <w:tcPr>
            <w:tcW w:w="760" w:type="dxa"/>
            <w:vAlign w:val="bottom"/>
            <w:tcBorders>
              <w:bottom w:val="single" w:sz="8" w:color="auto"/>
            </w:tcBorders>
          </w:tcPr>
          <w:p>
            <w:pPr>
              <w:jc w:val="center"/>
              <w:spacing w:after="0" w:line="83" w:lineRule="exact"/>
              <w:rPr>
                <w:sz w:val="20"/>
                <w:szCs w:val="20"/>
                <w:color w:val="auto"/>
              </w:rPr>
            </w:pPr>
            <w:r>
              <w:rPr>
                <w:rFonts w:ascii="Arial" w:cs="Arial" w:eastAsia="Arial" w:hAnsi="Arial"/>
                <w:sz w:val="8"/>
                <w:szCs w:val="8"/>
                <w:b w:val="1"/>
                <w:bCs w:val="1"/>
                <w:color w:val="auto"/>
              </w:rPr>
              <w:t>101.7%</w:t>
            </w:r>
          </w:p>
        </w:tc>
        <w:tc>
          <w:tcPr>
            <w:tcW w:w="780" w:type="dxa"/>
            <w:vAlign w:val="bottom"/>
            <w:tcBorders>
              <w:bottom w:val="single" w:sz="8" w:color="auto"/>
            </w:tcBorders>
          </w:tcPr>
          <w:p>
            <w:pPr>
              <w:jc w:val="center"/>
              <w:spacing w:after="0" w:line="83" w:lineRule="exact"/>
              <w:rPr>
                <w:sz w:val="20"/>
                <w:szCs w:val="20"/>
                <w:color w:val="auto"/>
              </w:rPr>
            </w:pPr>
            <w:r>
              <w:rPr>
                <w:rFonts w:ascii="Arial" w:cs="Arial" w:eastAsia="Arial" w:hAnsi="Arial"/>
                <w:sz w:val="8"/>
                <w:szCs w:val="8"/>
                <w:b w:val="1"/>
                <w:bCs w:val="1"/>
                <w:color w:val="auto"/>
                <w:w w:val="96"/>
              </w:rPr>
              <w:t>98.0%</w:t>
            </w:r>
          </w:p>
        </w:tc>
        <w:tc>
          <w:tcPr>
            <w:tcW w:w="820" w:type="dxa"/>
            <w:vAlign w:val="bottom"/>
            <w:tcBorders>
              <w:bottom w:val="single" w:sz="8" w:color="auto"/>
              <w:right w:val="single" w:sz="8" w:color="auto"/>
            </w:tcBorders>
          </w:tcPr>
          <w:p>
            <w:pPr>
              <w:jc w:val="center"/>
              <w:spacing w:after="0" w:line="83" w:lineRule="exact"/>
              <w:rPr>
                <w:sz w:val="20"/>
                <w:szCs w:val="20"/>
                <w:color w:val="auto"/>
              </w:rPr>
            </w:pPr>
            <w:r>
              <w:rPr>
                <w:rFonts w:ascii="Arial" w:cs="Arial" w:eastAsia="Arial" w:hAnsi="Arial"/>
                <w:sz w:val="8"/>
                <w:szCs w:val="8"/>
                <w:b w:val="1"/>
                <w:bCs w:val="1"/>
                <w:color w:val="auto"/>
              </w:rPr>
              <w:t>99.1%</w:t>
            </w:r>
          </w:p>
        </w:tc>
        <w:tc>
          <w:tcPr>
            <w:tcW w:w="540" w:type="dxa"/>
            <w:vAlign w:val="bottom"/>
            <w:tcBorders>
              <w:bottom w:val="single" w:sz="8" w:color="auto"/>
            </w:tcBorders>
          </w:tcPr>
          <w:p>
            <w:pPr>
              <w:jc w:val="center"/>
              <w:spacing w:after="0" w:line="83" w:lineRule="exact"/>
              <w:rPr>
                <w:sz w:val="20"/>
                <w:szCs w:val="20"/>
                <w:color w:val="auto"/>
              </w:rPr>
            </w:pPr>
            <w:r>
              <w:rPr>
                <w:rFonts w:ascii="Arial" w:cs="Arial" w:eastAsia="Arial" w:hAnsi="Arial"/>
                <w:sz w:val="8"/>
                <w:szCs w:val="8"/>
                <w:color w:val="auto"/>
                <w:w w:val="98"/>
              </w:rPr>
              <w:t>113 bps</w:t>
            </w:r>
          </w:p>
        </w:tc>
        <w:tc>
          <w:tcPr>
            <w:tcW w:w="580" w:type="dxa"/>
            <w:vAlign w:val="bottom"/>
            <w:tcBorders>
              <w:bottom w:val="single" w:sz="8" w:color="auto"/>
              <w:right w:val="single" w:sz="8" w:color="auto"/>
            </w:tcBorders>
          </w:tcPr>
          <w:p>
            <w:pPr>
              <w:jc w:val="center"/>
              <w:spacing w:after="0" w:line="83" w:lineRule="exact"/>
              <w:rPr>
                <w:sz w:val="20"/>
                <w:szCs w:val="20"/>
                <w:color w:val="auto"/>
              </w:rPr>
            </w:pPr>
            <w:r>
              <w:rPr>
                <w:rFonts w:ascii="Arial" w:cs="Arial" w:eastAsia="Arial" w:hAnsi="Arial"/>
                <w:sz w:val="8"/>
                <w:szCs w:val="8"/>
                <w:color w:val="auto"/>
              </w:rPr>
              <w:t>-258 bps</w:t>
            </w:r>
          </w:p>
        </w:tc>
        <w:tc>
          <w:tcPr>
            <w:tcW w:w="620" w:type="dxa"/>
            <w:vAlign w:val="bottom"/>
            <w:tcBorders>
              <w:bottom w:val="single" w:sz="8" w:color="auto"/>
            </w:tcBorders>
          </w:tcPr>
          <w:p>
            <w:pPr>
              <w:jc w:val="center"/>
              <w:ind w:left="99"/>
              <w:spacing w:after="0" w:line="83" w:lineRule="exact"/>
              <w:rPr>
                <w:sz w:val="20"/>
                <w:szCs w:val="20"/>
                <w:color w:val="auto"/>
              </w:rPr>
            </w:pPr>
            <w:r>
              <w:rPr>
                <w:rFonts w:ascii="Arial" w:cs="Arial" w:eastAsia="Arial" w:hAnsi="Arial"/>
                <w:sz w:val="8"/>
                <w:szCs w:val="8"/>
                <w:b w:val="1"/>
                <w:bCs w:val="1"/>
                <w:color w:val="auto"/>
              </w:rPr>
              <w:t>101.7%</w:t>
            </w:r>
          </w:p>
        </w:tc>
        <w:tc>
          <w:tcPr>
            <w:tcW w:w="960" w:type="dxa"/>
            <w:vAlign w:val="bottom"/>
            <w:tcBorders>
              <w:bottom w:val="single" w:sz="8" w:color="auto"/>
              <w:right w:val="single" w:sz="8" w:color="auto"/>
            </w:tcBorders>
          </w:tcPr>
          <w:p>
            <w:pPr>
              <w:jc w:val="center"/>
              <w:ind w:left="79"/>
              <w:spacing w:after="0" w:line="83" w:lineRule="exact"/>
              <w:rPr>
                <w:sz w:val="20"/>
                <w:szCs w:val="20"/>
                <w:color w:val="auto"/>
              </w:rPr>
            </w:pPr>
            <w:r>
              <w:rPr>
                <w:rFonts w:ascii="Arial" w:cs="Arial" w:eastAsia="Arial" w:hAnsi="Arial"/>
                <w:sz w:val="8"/>
                <w:szCs w:val="8"/>
                <w:b w:val="1"/>
                <w:bCs w:val="1"/>
                <w:color w:val="auto"/>
              </w:rPr>
              <w:t>99.1%</w:t>
            </w:r>
          </w:p>
        </w:tc>
        <w:tc>
          <w:tcPr>
            <w:tcW w:w="680" w:type="dxa"/>
            <w:vAlign w:val="bottom"/>
            <w:tcBorders>
              <w:bottom w:val="single" w:sz="8" w:color="auto"/>
              <w:right w:val="single" w:sz="8" w:color="auto"/>
            </w:tcBorders>
          </w:tcPr>
          <w:p>
            <w:pPr>
              <w:jc w:val="center"/>
              <w:spacing w:after="0" w:line="83" w:lineRule="exact"/>
              <w:rPr>
                <w:sz w:val="20"/>
                <w:szCs w:val="20"/>
                <w:color w:val="auto"/>
              </w:rPr>
            </w:pPr>
            <w:r>
              <w:rPr>
                <w:rFonts w:ascii="Arial" w:cs="Arial" w:eastAsia="Arial" w:hAnsi="Arial"/>
                <w:sz w:val="8"/>
                <w:szCs w:val="8"/>
                <w:color w:val="auto"/>
              </w:rPr>
              <w:t>-258 bps</w:t>
            </w:r>
          </w:p>
        </w:tc>
        <w:tc>
          <w:tcPr>
            <w:tcW w:w="560" w:type="dxa"/>
            <w:vAlign w:val="bottom"/>
          </w:tcPr>
          <w:p>
            <w:pPr>
              <w:spacing w:after="0"/>
              <w:rPr>
                <w:sz w:val="7"/>
                <w:szCs w:val="7"/>
                <w:color w:val="auto"/>
              </w:rPr>
            </w:pPr>
          </w:p>
        </w:tc>
      </w:tr>
      <w:tr>
        <w:trPr>
          <w:trHeight w:val="989"/>
        </w:trPr>
        <w:tc>
          <w:tcPr>
            <w:tcW w:w="5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-541655</wp:posOffset>
            </wp:positionV>
            <wp:extent cx="1502410" cy="44386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5415915</wp:posOffset>
            </wp:positionH>
            <wp:positionV relativeFrom="paragraph">
              <wp:posOffset>-424180</wp:posOffset>
            </wp:positionV>
            <wp:extent cx="1750695" cy="3263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750695" cy="32639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61" w:name="page62"/>
    <w:bookmarkEnd w:id="61"/>
    <w:p>
      <w:pPr>
        <w:ind w:left="2580"/>
        <w:spacing w:after="0"/>
        <w:tabs>
          <w:tab w:leader="none" w:pos="2780" w:val="left"/>
          <w:tab w:leader="none" w:pos="7780"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10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64705" cy="581025"/>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15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12. Appendix</w:t>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12.6.3 BCP Consolidated</w:t>
      </w:r>
    </w:p>
    <w:p>
      <w:pPr>
        <w:spacing w:after="0" w:line="152" w:lineRule="exact"/>
        <w:rPr>
          <w:sz w:val="20"/>
          <w:szCs w:val="20"/>
          <w:color w:val="auto"/>
        </w:rPr>
      </w:pPr>
    </w:p>
    <w:p>
      <w:pPr>
        <w:jc w:val="center"/>
        <w:ind w:right="-399"/>
        <w:spacing w:after="0"/>
        <w:rPr>
          <w:sz w:val="20"/>
          <w:szCs w:val="20"/>
          <w:color w:val="auto"/>
        </w:rPr>
      </w:pPr>
      <w:r>
        <w:rPr>
          <w:rFonts w:ascii="Arial" w:cs="Arial" w:eastAsia="Arial" w:hAnsi="Arial"/>
          <w:sz w:val="12"/>
          <w:szCs w:val="12"/>
          <w:b w:val="1"/>
          <w:bCs w:val="1"/>
          <w:color w:val="auto"/>
        </w:rPr>
        <w:t>Consolidated Statement of Financial Position</w:t>
      </w:r>
    </w:p>
    <w:p>
      <w:pPr>
        <w:spacing w:after="0" w:line="18" w:lineRule="exact"/>
        <w:rPr>
          <w:sz w:val="20"/>
          <w:szCs w:val="20"/>
          <w:color w:val="auto"/>
        </w:rPr>
      </w:pPr>
    </w:p>
    <w:p>
      <w:pPr>
        <w:jc w:val="center"/>
        <w:ind w:right="-419"/>
        <w:spacing w:after="0"/>
        <w:rPr>
          <w:sz w:val="20"/>
          <w:szCs w:val="20"/>
          <w:color w:val="auto"/>
        </w:rPr>
      </w:pPr>
      <w:r>
        <w:rPr>
          <w:rFonts w:ascii="Arial" w:cs="Arial" w:eastAsia="Arial" w:hAnsi="Arial"/>
          <w:sz w:val="12"/>
          <w:szCs w:val="12"/>
          <w:b w:val="1"/>
          <w:bCs w:val="1"/>
          <w:color w:val="auto"/>
        </w:rPr>
        <w:t>(S/ Thousands, IFRS)</w:t>
      </w:r>
    </w:p>
    <w:p>
      <w:pPr>
        <w:spacing w:after="0" w:line="149" w:lineRule="exact"/>
        <w:rPr>
          <w:sz w:val="20"/>
          <w:szCs w:val="20"/>
          <w:color w:val="auto"/>
        </w:rPr>
      </w:pPr>
    </w:p>
    <w:tbl>
      <w:tblPr>
        <w:tblLayout w:type="fixed"/>
        <w:tblInd w:w="430" w:type="dxa"/>
        <w:tblCellMar>
          <w:top w:w="0" w:type="dxa"/>
          <w:left w:w="0" w:type="dxa"/>
          <w:bottom w:w="0" w:type="dxa"/>
          <w:right w:w="0" w:type="dxa"/>
        </w:tblCellMar>
      </w:tblPr>
      <w:tr>
        <w:trPr>
          <w:trHeight w:val="99"/>
        </w:trPr>
        <w:tc>
          <w:tcPr>
            <w:tcW w:w="5100" w:type="dxa"/>
            <w:vAlign w:val="bottom"/>
            <w:tcBorders>
              <w:top w:val="single" w:sz="8" w:color="auto"/>
              <w:left w:val="single" w:sz="8" w:color="auto"/>
              <w:right w:val="single" w:sz="8" w:color="auto"/>
            </w:tcBorders>
            <w:shd w:val="clear" w:color="auto" w:fill="2AD2C9"/>
          </w:tcPr>
          <w:p>
            <w:pPr>
              <w:spacing w:after="0"/>
              <w:rPr>
                <w:sz w:val="8"/>
                <w:szCs w:val="8"/>
                <w:color w:val="auto"/>
              </w:rPr>
            </w:pPr>
          </w:p>
        </w:tc>
        <w:tc>
          <w:tcPr>
            <w:tcW w:w="1000" w:type="dxa"/>
            <w:vAlign w:val="bottom"/>
            <w:tcBorders>
              <w:top w:val="single" w:sz="8" w:color="auto"/>
            </w:tcBorders>
            <w:shd w:val="clear" w:color="auto" w:fill="2AD2C9"/>
          </w:tcPr>
          <w:p>
            <w:pPr>
              <w:spacing w:after="0"/>
              <w:rPr>
                <w:sz w:val="8"/>
                <w:szCs w:val="8"/>
                <w:color w:val="auto"/>
              </w:rPr>
            </w:pPr>
          </w:p>
        </w:tc>
        <w:tc>
          <w:tcPr>
            <w:tcW w:w="1000" w:type="dxa"/>
            <w:vAlign w:val="bottom"/>
            <w:tcBorders>
              <w:top w:val="single" w:sz="8" w:color="auto"/>
            </w:tcBorders>
            <w:shd w:val="clear" w:color="auto" w:fill="2AD2C9"/>
          </w:tcPr>
          <w:p>
            <w:pPr>
              <w:jc w:val="center"/>
              <w:spacing w:after="0" w:line="99" w:lineRule="exact"/>
              <w:rPr>
                <w:sz w:val="20"/>
                <w:szCs w:val="20"/>
                <w:color w:val="auto"/>
              </w:rPr>
            </w:pPr>
            <w:r>
              <w:rPr>
                <w:rFonts w:ascii="Arial" w:cs="Arial" w:eastAsia="Arial" w:hAnsi="Arial"/>
                <w:sz w:val="10"/>
                <w:szCs w:val="10"/>
                <w:b w:val="1"/>
                <w:bCs w:val="1"/>
                <w:color w:val="FFFFFF"/>
                <w:w w:val="95"/>
              </w:rPr>
              <w:t>As of</w:t>
            </w:r>
          </w:p>
        </w:tc>
        <w:tc>
          <w:tcPr>
            <w:tcW w:w="1040" w:type="dxa"/>
            <w:vAlign w:val="bottom"/>
            <w:tcBorders>
              <w:top w:val="single" w:sz="8" w:color="auto"/>
              <w:right w:val="single" w:sz="8" w:color="auto"/>
            </w:tcBorders>
            <w:shd w:val="clear" w:color="auto" w:fill="2AD2C9"/>
          </w:tcPr>
          <w:p>
            <w:pPr>
              <w:spacing w:after="0"/>
              <w:rPr>
                <w:sz w:val="8"/>
                <w:szCs w:val="8"/>
                <w:color w:val="auto"/>
              </w:rPr>
            </w:pPr>
          </w:p>
        </w:tc>
        <w:tc>
          <w:tcPr>
            <w:tcW w:w="720" w:type="dxa"/>
            <w:vAlign w:val="bottom"/>
            <w:tcBorders>
              <w:top w:val="single" w:sz="8" w:color="auto"/>
            </w:tcBorders>
            <w:shd w:val="clear" w:color="auto" w:fill="2AD2C9"/>
          </w:tcPr>
          <w:p>
            <w:pPr>
              <w:spacing w:after="0"/>
              <w:rPr>
                <w:sz w:val="8"/>
                <w:szCs w:val="8"/>
                <w:color w:val="auto"/>
              </w:rPr>
            </w:pPr>
          </w:p>
        </w:tc>
        <w:tc>
          <w:tcPr>
            <w:tcW w:w="1300" w:type="dxa"/>
            <w:vAlign w:val="bottom"/>
            <w:tcBorders>
              <w:top w:val="single" w:sz="8" w:color="auto"/>
              <w:right w:val="single" w:sz="8" w:color="auto"/>
            </w:tcBorders>
            <w:shd w:val="clear" w:color="auto" w:fill="2AD2C9"/>
          </w:tcPr>
          <w:p>
            <w:pPr>
              <w:ind w:left="60"/>
              <w:spacing w:after="0" w:line="99" w:lineRule="exact"/>
              <w:rPr>
                <w:sz w:val="20"/>
                <w:szCs w:val="20"/>
                <w:color w:val="auto"/>
              </w:rPr>
            </w:pPr>
            <w:r>
              <w:rPr>
                <w:rFonts w:ascii="Arial" w:cs="Arial" w:eastAsia="Arial" w:hAnsi="Arial"/>
                <w:sz w:val="10"/>
                <w:szCs w:val="10"/>
                <w:b w:val="1"/>
                <w:bCs w:val="1"/>
                <w:color w:val="FFFFFF"/>
              </w:rPr>
              <w:t>% change</w:t>
            </w:r>
          </w:p>
        </w:tc>
      </w:tr>
      <w:tr>
        <w:trPr>
          <w:trHeight w:val="117"/>
        </w:trPr>
        <w:tc>
          <w:tcPr>
            <w:tcW w:w="5100" w:type="dxa"/>
            <w:vAlign w:val="bottom"/>
            <w:tcBorders>
              <w:left w:val="single" w:sz="8" w:color="auto"/>
              <w:bottom w:val="single" w:sz="8" w:color="auto"/>
              <w:right w:val="single" w:sz="8" w:color="auto"/>
            </w:tcBorders>
            <w:shd w:val="clear" w:color="auto" w:fill="2AD2C9"/>
          </w:tcPr>
          <w:p>
            <w:pPr>
              <w:spacing w:after="0"/>
              <w:rPr>
                <w:sz w:val="10"/>
                <w:szCs w:val="10"/>
                <w:color w:val="auto"/>
              </w:rPr>
            </w:pPr>
          </w:p>
        </w:tc>
        <w:tc>
          <w:tcPr>
            <w:tcW w:w="1000" w:type="dxa"/>
            <w:vAlign w:val="bottom"/>
            <w:tcBorders>
              <w:bottom w:val="single" w:sz="8" w:color="auto"/>
            </w:tcBorders>
            <w:shd w:val="clear" w:color="auto" w:fill="2AD2C9"/>
          </w:tcPr>
          <w:p>
            <w:pPr>
              <w:ind w:left="340"/>
              <w:spacing w:after="0"/>
              <w:rPr>
                <w:sz w:val="20"/>
                <w:szCs w:val="20"/>
                <w:color w:val="auto"/>
              </w:rPr>
            </w:pPr>
            <w:r>
              <w:rPr>
                <w:rFonts w:ascii="Arial" w:cs="Arial" w:eastAsia="Arial" w:hAnsi="Arial"/>
                <w:sz w:val="10"/>
                <w:szCs w:val="10"/>
                <w:b w:val="1"/>
                <w:bCs w:val="1"/>
                <w:color w:val="FFFFFF"/>
              </w:rPr>
              <w:t>Jun 23</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rPr>
              <w:t>Mar 24</w:t>
            </w:r>
          </w:p>
        </w:tc>
        <w:tc>
          <w:tcPr>
            <w:tcW w:w="1040" w:type="dxa"/>
            <w:vAlign w:val="bottom"/>
            <w:tcBorders>
              <w:bottom w:val="single" w:sz="8" w:color="auto"/>
              <w:right w:val="single" w:sz="8" w:color="auto"/>
            </w:tcBorders>
            <w:shd w:val="clear" w:color="auto" w:fill="2AD2C9"/>
          </w:tcPr>
          <w:p>
            <w:pPr>
              <w:ind w:left="360"/>
              <w:spacing w:after="0"/>
              <w:rPr>
                <w:sz w:val="20"/>
                <w:szCs w:val="20"/>
                <w:color w:val="auto"/>
              </w:rPr>
            </w:pPr>
            <w:r>
              <w:rPr>
                <w:rFonts w:ascii="Arial" w:cs="Arial" w:eastAsia="Arial" w:hAnsi="Arial"/>
                <w:sz w:val="10"/>
                <w:szCs w:val="10"/>
                <w:b w:val="1"/>
                <w:bCs w:val="1"/>
                <w:color w:val="FFFFFF"/>
              </w:rPr>
              <w:t>Jun 24</w:t>
            </w:r>
          </w:p>
        </w:tc>
        <w:tc>
          <w:tcPr>
            <w:tcW w:w="720" w:type="dxa"/>
            <w:vAlign w:val="bottom"/>
            <w:tcBorders>
              <w:bottom w:val="single" w:sz="8" w:color="auto"/>
            </w:tcBorders>
            <w:shd w:val="clear" w:color="auto" w:fill="2AD2C9"/>
          </w:tcPr>
          <w:p>
            <w:pPr>
              <w:jc w:val="center"/>
              <w:ind w:left="212"/>
              <w:spacing w:after="0"/>
              <w:rPr>
                <w:sz w:val="20"/>
                <w:szCs w:val="20"/>
                <w:color w:val="auto"/>
              </w:rPr>
            </w:pPr>
            <w:r>
              <w:rPr>
                <w:rFonts w:ascii="Arial" w:cs="Arial" w:eastAsia="Arial" w:hAnsi="Arial"/>
                <w:sz w:val="10"/>
                <w:szCs w:val="10"/>
                <w:b w:val="1"/>
                <w:bCs w:val="1"/>
                <w:color w:val="FFFFFF"/>
              </w:rPr>
              <w:t>QoQ</w:t>
            </w:r>
          </w:p>
        </w:tc>
        <w:tc>
          <w:tcPr>
            <w:tcW w:w="1300" w:type="dxa"/>
            <w:vAlign w:val="bottom"/>
            <w:tcBorders>
              <w:bottom w:val="single" w:sz="8" w:color="auto"/>
              <w:right w:val="single" w:sz="8" w:color="auto"/>
            </w:tcBorders>
            <w:shd w:val="clear" w:color="auto" w:fill="2AD2C9"/>
          </w:tcPr>
          <w:p>
            <w:pPr>
              <w:ind w:left="700"/>
              <w:spacing w:after="0"/>
              <w:rPr>
                <w:sz w:val="20"/>
                <w:szCs w:val="20"/>
                <w:color w:val="auto"/>
              </w:rPr>
            </w:pPr>
            <w:r>
              <w:rPr>
                <w:rFonts w:ascii="Arial" w:cs="Arial" w:eastAsia="Arial" w:hAnsi="Arial"/>
                <w:sz w:val="10"/>
                <w:szCs w:val="10"/>
                <w:b w:val="1"/>
                <w:bCs w:val="1"/>
                <w:color w:val="FFFFFF"/>
              </w:rPr>
              <w:t>YoY</w:t>
            </w:r>
          </w:p>
        </w:tc>
      </w:tr>
      <w:tr>
        <w:trPr>
          <w:trHeight w:val="81"/>
        </w:trPr>
        <w:tc>
          <w:tcPr>
            <w:tcW w:w="5100" w:type="dxa"/>
            <w:vAlign w:val="bottom"/>
            <w:tcBorders>
              <w:left w:val="single" w:sz="8" w:color="auto"/>
              <w:right w:val="single" w:sz="8" w:color="auto"/>
            </w:tcBorders>
          </w:tcPr>
          <w:p>
            <w:pPr>
              <w:ind w:left="40"/>
              <w:spacing w:after="0" w:line="81" w:lineRule="exact"/>
              <w:rPr>
                <w:sz w:val="20"/>
                <w:szCs w:val="20"/>
                <w:color w:val="auto"/>
              </w:rPr>
            </w:pPr>
            <w:r>
              <w:rPr>
                <w:rFonts w:ascii="Arial" w:cs="Arial" w:eastAsia="Arial" w:hAnsi="Arial"/>
                <w:sz w:val="8"/>
                <w:szCs w:val="8"/>
                <w:b w:val="1"/>
                <w:bCs w:val="1"/>
                <w:color w:val="auto"/>
              </w:rPr>
              <w:t>ASSETS</w:t>
            </w: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1300" w:type="dxa"/>
            <w:vAlign w:val="bottom"/>
            <w:tcBorders>
              <w:right w:val="single" w:sz="8" w:color="auto"/>
            </w:tcBorders>
          </w:tcPr>
          <w:p>
            <w:pPr>
              <w:spacing w:after="0"/>
              <w:rPr>
                <w:sz w:val="7"/>
                <w:szCs w:val="7"/>
                <w:color w:val="auto"/>
              </w:rPr>
            </w:pPr>
          </w:p>
        </w:tc>
      </w:tr>
      <w:tr>
        <w:trPr>
          <w:trHeight w:val="103"/>
        </w:trPr>
        <w:tc>
          <w:tcPr>
            <w:tcW w:w="510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Cash and due from banks</w:t>
            </w: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r>
      <w:tr>
        <w:trPr>
          <w:trHeight w:val="103"/>
        </w:trPr>
        <w:tc>
          <w:tcPr>
            <w:tcW w:w="510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Non-interest bearing</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8"/>
              </w:rPr>
              <w:t>5,300,381</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8"/>
              </w:rPr>
              <w:t>5,842,595</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5,464,859</w:t>
            </w:r>
          </w:p>
        </w:tc>
        <w:tc>
          <w:tcPr>
            <w:tcW w:w="720" w:type="dxa"/>
            <w:vAlign w:val="bottom"/>
          </w:tcPr>
          <w:p>
            <w:pPr>
              <w:jc w:val="center"/>
              <w:ind w:left="212"/>
              <w:spacing w:after="0" w:line="103" w:lineRule="exact"/>
              <w:rPr>
                <w:sz w:val="20"/>
                <w:szCs w:val="20"/>
                <w:color w:val="auto"/>
              </w:rPr>
            </w:pPr>
            <w:r>
              <w:rPr>
                <w:rFonts w:ascii="Arial" w:cs="Arial" w:eastAsia="Arial" w:hAnsi="Arial"/>
                <w:sz w:val="10"/>
                <w:szCs w:val="10"/>
                <w:color w:val="auto"/>
                <w:w w:val="99"/>
              </w:rPr>
              <w:t>-6.5%</w:t>
            </w:r>
          </w:p>
        </w:tc>
        <w:tc>
          <w:tcPr>
            <w:tcW w:w="1300" w:type="dxa"/>
            <w:vAlign w:val="bottom"/>
            <w:tcBorders>
              <w:right w:val="single" w:sz="8" w:color="auto"/>
            </w:tcBorders>
          </w:tcPr>
          <w:p>
            <w:pPr>
              <w:jc w:val="center"/>
              <w:ind w:left="232"/>
              <w:spacing w:after="0" w:line="103" w:lineRule="exact"/>
              <w:rPr>
                <w:sz w:val="20"/>
                <w:szCs w:val="20"/>
                <w:color w:val="auto"/>
              </w:rPr>
            </w:pPr>
            <w:r>
              <w:rPr>
                <w:rFonts w:ascii="Arial" w:cs="Arial" w:eastAsia="Arial" w:hAnsi="Arial"/>
                <w:sz w:val="10"/>
                <w:szCs w:val="10"/>
                <w:color w:val="auto"/>
                <w:w w:val="96"/>
              </w:rPr>
              <w:t>3.1%</w:t>
            </w:r>
          </w:p>
        </w:tc>
      </w:tr>
      <w:tr>
        <w:trPr>
          <w:trHeight w:val="103"/>
        </w:trPr>
        <w:tc>
          <w:tcPr>
            <w:tcW w:w="510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Interest bearing</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5"/>
              </w:rPr>
              <w:t>25,182,623</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5"/>
              </w:rPr>
              <w:t>30,040,974</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5"/>
              </w:rPr>
              <w:t>26,093,132</w:t>
            </w:r>
          </w:p>
        </w:tc>
        <w:tc>
          <w:tcPr>
            <w:tcW w:w="720" w:type="dxa"/>
            <w:vAlign w:val="bottom"/>
          </w:tcPr>
          <w:p>
            <w:pPr>
              <w:jc w:val="center"/>
              <w:ind w:left="212"/>
              <w:spacing w:after="0" w:line="103" w:lineRule="exact"/>
              <w:rPr>
                <w:sz w:val="20"/>
                <w:szCs w:val="20"/>
                <w:color w:val="auto"/>
              </w:rPr>
            </w:pPr>
            <w:r>
              <w:rPr>
                <w:rFonts w:ascii="Arial" w:cs="Arial" w:eastAsia="Arial" w:hAnsi="Arial"/>
                <w:sz w:val="10"/>
                <w:szCs w:val="10"/>
                <w:color w:val="auto"/>
                <w:w w:val="94"/>
              </w:rPr>
              <w:t>-13.1%</w:t>
            </w:r>
          </w:p>
        </w:tc>
        <w:tc>
          <w:tcPr>
            <w:tcW w:w="1300" w:type="dxa"/>
            <w:vAlign w:val="bottom"/>
            <w:tcBorders>
              <w:right w:val="single" w:sz="8" w:color="auto"/>
            </w:tcBorders>
          </w:tcPr>
          <w:p>
            <w:pPr>
              <w:jc w:val="center"/>
              <w:ind w:left="232"/>
              <w:spacing w:after="0" w:line="103" w:lineRule="exact"/>
              <w:rPr>
                <w:sz w:val="20"/>
                <w:szCs w:val="20"/>
                <w:color w:val="auto"/>
              </w:rPr>
            </w:pPr>
            <w:r>
              <w:rPr>
                <w:rFonts w:ascii="Arial" w:cs="Arial" w:eastAsia="Arial" w:hAnsi="Arial"/>
                <w:sz w:val="10"/>
                <w:szCs w:val="10"/>
                <w:color w:val="auto"/>
                <w:w w:val="96"/>
              </w:rPr>
              <w:t>3.6%</w:t>
            </w:r>
          </w:p>
        </w:tc>
      </w:tr>
      <w:tr>
        <w:trPr>
          <w:trHeight w:val="125"/>
        </w:trPr>
        <w:tc>
          <w:tcPr>
            <w:tcW w:w="5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Total cash and due from banks</w:t>
            </w:r>
          </w:p>
        </w:tc>
        <w:tc>
          <w:tcPr>
            <w:tcW w:w="1000" w:type="dxa"/>
            <w:vAlign w:val="bottom"/>
          </w:tcPr>
          <w:p>
            <w:pPr>
              <w:jc w:val="center"/>
              <w:spacing w:after="0"/>
              <w:rPr>
                <w:sz w:val="20"/>
                <w:szCs w:val="20"/>
                <w:color w:val="auto"/>
              </w:rPr>
            </w:pPr>
            <w:r>
              <w:rPr>
                <w:rFonts w:ascii="Arial" w:cs="Arial" w:eastAsia="Arial" w:hAnsi="Arial"/>
                <w:sz w:val="10"/>
                <w:szCs w:val="10"/>
                <w:color w:val="auto"/>
                <w:w w:val="95"/>
              </w:rPr>
              <w:t>30,483,004</w:t>
            </w:r>
          </w:p>
        </w:tc>
        <w:tc>
          <w:tcPr>
            <w:tcW w:w="1000" w:type="dxa"/>
            <w:vAlign w:val="bottom"/>
          </w:tcPr>
          <w:p>
            <w:pPr>
              <w:jc w:val="center"/>
              <w:spacing w:after="0"/>
              <w:rPr>
                <w:sz w:val="20"/>
                <w:szCs w:val="20"/>
                <w:color w:val="auto"/>
              </w:rPr>
            </w:pPr>
            <w:r>
              <w:rPr>
                <w:rFonts w:ascii="Arial" w:cs="Arial" w:eastAsia="Arial" w:hAnsi="Arial"/>
                <w:sz w:val="10"/>
                <w:szCs w:val="10"/>
                <w:color w:val="auto"/>
                <w:w w:val="95"/>
              </w:rPr>
              <w:t>35,883,569</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31,557,991</w:t>
            </w:r>
          </w:p>
        </w:tc>
        <w:tc>
          <w:tcPr>
            <w:tcW w:w="720" w:type="dxa"/>
            <w:vAlign w:val="bottom"/>
          </w:tcPr>
          <w:p>
            <w:pPr>
              <w:jc w:val="center"/>
              <w:ind w:left="212"/>
              <w:spacing w:after="0"/>
              <w:rPr>
                <w:sz w:val="20"/>
                <w:szCs w:val="20"/>
                <w:color w:val="auto"/>
              </w:rPr>
            </w:pPr>
            <w:r>
              <w:rPr>
                <w:rFonts w:ascii="Arial" w:cs="Arial" w:eastAsia="Arial" w:hAnsi="Arial"/>
                <w:sz w:val="10"/>
                <w:szCs w:val="10"/>
                <w:color w:val="auto"/>
                <w:w w:val="94"/>
              </w:rPr>
              <w:t>-12.1%</w:t>
            </w:r>
          </w:p>
        </w:tc>
        <w:tc>
          <w:tcPr>
            <w:tcW w:w="1300" w:type="dxa"/>
            <w:vAlign w:val="bottom"/>
            <w:tcBorders>
              <w:right w:val="single" w:sz="8" w:color="auto"/>
            </w:tcBorders>
          </w:tcPr>
          <w:p>
            <w:pPr>
              <w:jc w:val="center"/>
              <w:ind w:left="232"/>
              <w:spacing w:after="0"/>
              <w:rPr>
                <w:sz w:val="20"/>
                <w:szCs w:val="20"/>
                <w:color w:val="auto"/>
              </w:rPr>
            </w:pPr>
            <w:r>
              <w:rPr>
                <w:rFonts w:ascii="Arial" w:cs="Arial" w:eastAsia="Arial" w:hAnsi="Arial"/>
                <w:sz w:val="10"/>
                <w:szCs w:val="10"/>
                <w:color w:val="auto"/>
                <w:w w:val="96"/>
              </w:rPr>
              <w:t>3.5%</w:t>
            </w:r>
          </w:p>
        </w:tc>
      </w:tr>
      <w:tr>
        <w:trPr>
          <w:trHeight w:val="206"/>
        </w:trPr>
        <w:tc>
          <w:tcPr>
            <w:tcW w:w="5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Cash collateral, reverse repurchase agreements and securities borrowing</w:t>
            </w:r>
          </w:p>
        </w:tc>
        <w:tc>
          <w:tcPr>
            <w:tcW w:w="1000" w:type="dxa"/>
            <w:vAlign w:val="bottom"/>
          </w:tcPr>
          <w:p>
            <w:pPr>
              <w:jc w:val="center"/>
              <w:spacing w:after="0"/>
              <w:rPr>
                <w:sz w:val="20"/>
                <w:szCs w:val="20"/>
                <w:color w:val="auto"/>
              </w:rPr>
            </w:pPr>
            <w:r>
              <w:rPr>
                <w:rFonts w:ascii="Arial" w:cs="Arial" w:eastAsia="Arial" w:hAnsi="Arial"/>
                <w:sz w:val="10"/>
                <w:szCs w:val="10"/>
                <w:color w:val="auto"/>
                <w:w w:val="99"/>
              </w:rPr>
              <w:t>537,814</w:t>
            </w:r>
          </w:p>
        </w:tc>
        <w:tc>
          <w:tcPr>
            <w:tcW w:w="1000" w:type="dxa"/>
            <w:vAlign w:val="bottom"/>
          </w:tcPr>
          <w:p>
            <w:pPr>
              <w:jc w:val="center"/>
              <w:spacing w:after="0"/>
              <w:rPr>
                <w:sz w:val="20"/>
                <w:szCs w:val="20"/>
                <w:color w:val="auto"/>
              </w:rPr>
            </w:pPr>
            <w:r>
              <w:rPr>
                <w:rFonts w:ascii="Arial" w:cs="Arial" w:eastAsia="Arial" w:hAnsi="Arial"/>
                <w:sz w:val="10"/>
                <w:szCs w:val="10"/>
                <w:color w:val="auto"/>
                <w:w w:val="99"/>
              </w:rPr>
              <w:t>415,202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839,649</w:t>
            </w:r>
          </w:p>
        </w:tc>
        <w:tc>
          <w:tcPr>
            <w:tcW w:w="720" w:type="dxa"/>
            <w:vAlign w:val="bottom"/>
          </w:tcPr>
          <w:p>
            <w:pPr>
              <w:jc w:val="center"/>
              <w:ind w:left="212"/>
              <w:spacing w:after="0"/>
              <w:rPr>
                <w:sz w:val="20"/>
                <w:szCs w:val="20"/>
                <w:color w:val="auto"/>
              </w:rPr>
            </w:pPr>
            <w:r>
              <w:rPr>
                <w:rFonts w:ascii="Arial" w:cs="Arial" w:eastAsia="Arial" w:hAnsi="Arial"/>
                <w:sz w:val="10"/>
                <w:szCs w:val="10"/>
                <w:color w:val="auto"/>
              </w:rPr>
              <w:t>102.2%</w:t>
            </w:r>
          </w:p>
        </w:tc>
        <w:tc>
          <w:tcPr>
            <w:tcW w:w="1300" w:type="dxa"/>
            <w:vAlign w:val="bottom"/>
            <w:tcBorders>
              <w:right w:val="single" w:sz="8" w:color="auto"/>
            </w:tcBorders>
          </w:tcPr>
          <w:p>
            <w:pPr>
              <w:jc w:val="center"/>
              <w:ind w:left="212"/>
              <w:spacing w:after="0"/>
              <w:rPr>
                <w:sz w:val="20"/>
                <w:szCs w:val="20"/>
                <w:color w:val="auto"/>
              </w:rPr>
            </w:pPr>
            <w:r>
              <w:rPr>
                <w:rFonts w:ascii="Arial" w:cs="Arial" w:eastAsia="Arial" w:hAnsi="Arial"/>
                <w:sz w:val="10"/>
                <w:szCs w:val="10"/>
                <w:color w:val="auto"/>
                <w:w w:val="98"/>
              </w:rPr>
              <w:t>56.1%</w:t>
            </w:r>
          </w:p>
        </w:tc>
      </w:tr>
      <w:tr>
        <w:trPr>
          <w:trHeight w:val="184"/>
        </w:trPr>
        <w:tc>
          <w:tcPr>
            <w:tcW w:w="5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Fair value through profit or loss investments</w:t>
            </w:r>
          </w:p>
        </w:tc>
        <w:tc>
          <w:tcPr>
            <w:tcW w:w="1000" w:type="dxa"/>
            <w:vAlign w:val="bottom"/>
          </w:tcPr>
          <w:p>
            <w:pPr>
              <w:jc w:val="center"/>
              <w:spacing w:after="0"/>
              <w:rPr>
                <w:sz w:val="20"/>
                <w:szCs w:val="20"/>
                <w:color w:val="auto"/>
              </w:rPr>
            </w:pPr>
            <w:r>
              <w:rPr>
                <w:rFonts w:ascii="Arial" w:cs="Arial" w:eastAsia="Arial" w:hAnsi="Arial"/>
                <w:sz w:val="10"/>
                <w:szCs w:val="10"/>
                <w:color w:val="auto"/>
                <w:w w:val="99"/>
              </w:rPr>
              <w:t>221,253</w:t>
            </w:r>
          </w:p>
        </w:tc>
        <w:tc>
          <w:tcPr>
            <w:tcW w:w="1000" w:type="dxa"/>
            <w:vAlign w:val="bottom"/>
          </w:tcPr>
          <w:p>
            <w:pPr>
              <w:jc w:val="center"/>
              <w:spacing w:after="0"/>
              <w:rPr>
                <w:sz w:val="20"/>
                <w:szCs w:val="20"/>
                <w:color w:val="auto"/>
              </w:rPr>
            </w:pPr>
            <w:r>
              <w:rPr>
                <w:rFonts w:ascii="Arial" w:cs="Arial" w:eastAsia="Arial" w:hAnsi="Arial"/>
                <w:sz w:val="10"/>
                <w:szCs w:val="10"/>
                <w:color w:val="auto"/>
                <w:w w:val="99"/>
              </w:rPr>
              <w:t>465,261</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439,004</w:t>
            </w:r>
          </w:p>
        </w:tc>
        <w:tc>
          <w:tcPr>
            <w:tcW w:w="720" w:type="dxa"/>
            <w:vAlign w:val="bottom"/>
          </w:tcPr>
          <w:p>
            <w:pPr>
              <w:jc w:val="center"/>
              <w:ind w:left="212"/>
              <w:spacing w:after="0"/>
              <w:rPr>
                <w:sz w:val="20"/>
                <w:szCs w:val="20"/>
                <w:color w:val="auto"/>
              </w:rPr>
            </w:pPr>
            <w:r>
              <w:rPr>
                <w:rFonts w:ascii="Arial" w:cs="Arial" w:eastAsia="Arial" w:hAnsi="Arial"/>
                <w:sz w:val="10"/>
                <w:szCs w:val="10"/>
                <w:color w:val="auto"/>
                <w:w w:val="99"/>
              </w:rPr>
              <w:t>-5.6%</w:t>
            </w:r>
          </w:p>
        </w:tc>
        <w:tc>
          <w:tcPr>
            <w:tcW w:w="1300" w:type="dxa"/>
            <w:vAlign w:val="bottom"/>
            <w:tcBorders>
              <w:right w:val="single" w:sz="8" w:color="auto"/>
            </w:tcBorders>
          </w:tcPr>
          <w:p>
            <w:pPr>
              <w:jc w:val="center"/>
              <w:ind w:left="212"/>
              <w:spacing w:after="0"/>
              <w:rPr>
                <w:sz w:val="20"/>
                <w:szCs w:val="20"/>
                <w:color w:val="auto"/>
              </w:rPr>
            </w:pPr>
            <w:r>
              <w:rPr>
                <w:rFonts w:ascii="Arial" w:cs="Arial" w:eastAsia="Arial" w:hAnsi="Arial"/>
                <w:sz w:val="10"/>
                <w:szCs w:val="10"/>
                <w:color w:val="auto"/>
                <w:w w:val="98"/>
              </w:rPr>
              <w:t>98.4%</w:t>
            </w:r>
          </w:p>
        </w:tc>
      </w:tr>
      <w:tr>
        <w:trPr>
          <w:trHeight w:val="103"/>
        </w:trPr>
        <w:tc>
          <w:tcPr>
            <w:tcW w:w="510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Fair value through other comprehensive income investments</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5"/>
              </w:rPr>
              <w:t>17,169,798</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5"/>
              </w:rPr>
              <w:t>21,739,359</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5"/>
              </w:rPr>
              <w:t>22,661,943</w:t>
            </w:r>
          </w:p>
        </w:tc>
        <w:tc>
          <w:tcPr>
            <w:tcW w:w="720" w:type="dxa"/>
            <w:vAlign w:val="bottom"/>
          </w:tcPr>
          <w:p>
            <w:pPr>
              <w:jc w:val="center"/>
              <w:ind w:left="212"/>
              <w:spacing w:after="0" w:line="103" w:lineRule="exact"/>
              <w:rPr>
                <w:sz w:val="20"/>
                <w:szCs w:val="20"/>
                <w:color w:val="auto"/>
              </w:rPr>
            </w:pPr>
            <w:r>
              <w:rPr>
                <w:rFonts w:ascii="Arial" w:cs="Arial" w:eastAsia="Arial" w:hAnsi="Arial"/>
                <w:sz w:val="10"/>
                <w:szCs w:val="10"/>
                <w:color w:val="auto"/>
                <w:w w:val="96"/>
              </w:rPr>
              <w:t>4.2%</w:t>
            </w:r>
          </w:p>
        </w:tc>
        <w:tc>
          <w:tcPr>
            <w:tcW w:w="1300" w:type="dxa"/>
            <w:vAlign w:val="bottom"/>
            <w:tcBorders>
              <w:right w:val="single" w:sz="8" w:color="auto"/>
            </w:tcBorders>
          </w:tcPr>
          <w:p>
            <w:pPr>
              <w:jc w:val="center"/>
              <w:ind w:left="212"/>
              <w:spacing w:after="0" w:line="103" w:lineRule="exact"/>
              <w:rPr>
                <w:sz w:val="20"/>
                <w:szCs w:val="20"/>
                <w:color w:val="auto"/>
              </w:rPr>
            </w:pPr>
            <w:r>
              <w:rPr>
                <w:rFonts w:ascii="Arial" w:cs="Arial" w:eastAsia="Arial" w:hAnsi="Arial"/>
                <w:sz w:val="10"/>
                <w:szCs w:val="10"/>
                <w:color w:val="auto"/>
                <w:w w:val="98"/>
              </w:rPr>
              <w:t>32.0%</w:t>
            </w:r>
          </w:p>
        </w:tc>
      </w:tr>
      <w:tr>
        <w:trPr>
          <w:trHeight w:val="125"/>
        </w:trPr>
        <w:tc>
          <w:tcPr>
            <w:tcW w:w="5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Amortized cost investments</w:t>
            </w:r>
          </w:p>
        </w:tc>
        <w:tc>
          <w:tcPr>
            <w:tcW w:w="1000" w:type="dxa"/>
            <w:vAlign w:val="bottom"/>
          </w:tcPr>
          <w:p>
            <w:pPr>
              <w:jc w:val="center"/>
              <w:spacing w:after="0"/>
              <w:rPr>
                <w:sz w:val="20"/>
                <w:szCs w:val="20"/>
                <w:color w:val="auto"/>
              </w:rPr>
            </w:pPr>
            <w:r>
              <w:rPr>
                <w:rFonts w:ascii="Arial" w:cs="Arial" w:eastAsia="Arial" w:hAnsi="Arial"/>
                <w:sz w:val="10"/>
                <w:szCs w:val="10"/>
                <w:color w:val="auto"/>
                <w:w w:val="94"/>
              </w:rPr>
              <w:t>9,611,227</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9,389,695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8,321,181</w:t>
            </w:r>
          </w:p>
        </w:tc>
        <w:tc>
          <w:tcPr>
            <w:tcW w:w="720" w:type="dxa"/>
            <w:vAlign w:val="bottom"/>
          </w:tcPr>
          <w:p>
            <w:pPr>
              <w:jc w:val="center"/>
              <w:ind w:left="212"/>
              <w:spacing w:after="0"/>
              <w:rPr>
                <w:sz w:val="20"/>
                <w:szCs w:val="20"/>
                <w:color w:val="auto"/>
              </w:rPr>
            </w:pPr>
            <w:r>
              <w:rPr>
                <w:rFonts w:ascii="Arial" w:cs="Arial" w:eastAsia="Arial" w:hAnsi="Arial"/>
                <w:sz w:val="10"/>
                <w:szCs w:val="10"/>
                <w:color w:val="auto"/>
                <w:w w:val="94"/>
              </w:rPr>
              <w:t>-11.4%</w:t>
            </w:r>
          </w:p>
        </w:tc>
        <w:tc>
          <w:tcPr>
            <w:tcW w:w="1300" w:type="dxa"/>
            <w:vAlign w:val="bottom"/>
            <w:tcBorders>
              <w:right w:val="single" w:sz="8" w:color="auto"/>
            </w:tcBorders>
          </w:tcPr>
          <w:p>
            <w:pPr>
              <w:jc w:val="center"/>
              <w:ind w:left="212"/>
              <w:spacing w:after="0"/>
              <w:rPr>
                <w:sz w:val="20"/>
                <w:szCs w:val="20"/>
                <w:color w:val="auto"/>
              </w:rPr>
            </w:pPr>
            <w:r>
              <w:rPr>
                <w:rFonts w:ascii="Arial" w:cs="Arial" w:eastAsia="Arial" w:hAnsi="Arial"/>
                <w:sz w:val="10"/>
                <w:szCs w:val="10"/>
                <w:color w:val="auto"/>
              </w:rPr>
              <w:t>-13.4%</w:t>
            </w:r>
          </w:p>
        </w:tc>
      </w:tr>
      <w:tr>
        <w:trPr>
          <w:trHeight w:val="184"/>
        </w:trPr>
        <w:tc>
          <w:tcPr>
            <w:tcW w:w="5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Loans</w:t>
            </w:r>
          </w:p>
        </w:tc>
        <w:tc>
          <w:tcPr>
            <w:tcW w:w="1000" w:type="dxa"/>
            <w:vAlign w:val="bottom"/>
          </w:tcPr>
          <w:p>
            <w:pPr>
              <w:jc w:val="center"/>
              <w:spacing w:after="0"/>
              <w:rPr>
                <w:sz w:val="20"/>
                <w:szCs w:val="20"/>
                <w:color w:val="auto"/>
              </w:rPr>
            </w:pPr>
            <w:r>
              <w:rPr>
                <w:rFonts w:ascii="Arial" w:cs="Arial" w:eastAsia="Arial" w:hAnsi="Arial"/>
                <w:sz w:val="10"/>
                <w:szCs w:val="10"/>
                <w:color w:val="auto"/>
                <w:w w:val="93"/>
              </w:rPr>
              <w:t>130,175,792</w:t>
            </w:r>
          </w:p>
        </w:tc>
        <w:tc>
          <w:tcPr>
            <w:tcW w:w="1000" w:type="dxa"/>
            <w:vAlign w:val="bottom"/>
          </w:tcPr>
          <w:p>
            <w:pPr>
              <w:jc w:val="center"/>
              <w:spacing w:after="0"/>
              <w:rPr>
                <w:sz w:val="20"/>
                <w:szCs w:val="20"/>
                <w:color w:val="auto"/>
              </w:rPr>
            </w:pPr>
            <w:r>
              <w:rPr>
                <w:rFonts w:ascii="Arial" w:cs="Arial" w:eastAsia="Arial" w:hAnsi="Arial"/>
                <w:sz w:val="10"/>
                <w:szCs w:val="10"/>
                <w:color w:val="auto"/>
                <w:w w:val="93"/>
              </w:rPr>
              <w:t>127,359,955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7"/>
              </w:rPr>
              <w:t>132,958,919</w:t>
            </w:r>
          </w:p>
        </w:tc>
        <w:tc>
          <w:tcPr>
            <w:tcW w:w="720" w:type="dxa"/>
            <w:vAlign w:val="bottom"/>
          </w:tcPr>
          <w:p>
            <w:pPr>
              <w:jc w:val="center"/>
              <w:ind w:left="212"/>
              <w:spacing w:after="0"/>
              <w:rPr>
                <w:sz w:val="20"/>
                <w:szCs w:val="20"/>
                <w:color w:val="auto"/>
              </w:rPr>
            </w:pPr>
            <w:r>
              <w:rPr>
                <w:rFonts w:ascii="Arial" w:cs="Arial" w:eastAsia="Arial" w:hAnsi="Arial"/>
                <w:sz w:val="10"/>
                <w:szCs w:val="10"/>
                <w:color w:val="auto"/>
                <w:w w:val="96"/>
              </w:rPr>
              <w:t>4.4%</w:t>
            </w:r>
          </w:p>
        </w:tc>
        <w:tc>
          <w:tcPr>
            <w:tcW w:w="1300" w:type="dxa"/>
            <w:vAlign w:val="bottom"/>
            <w:tcBorders>
              <w:right w:val="single" w:sz="8" w:color="auto"/>
            </w:tcBorders>
          </w:tcPr>
          <w:p>
            <w:pPr>
              <w:jc w:val="center"/>
              <w:ind w:left="232"/>
              <w:spacing w:after="0"/>
              <w:rPr>
                <w:sz w:val="20"/>
                <w:szCs w:val="20"/>
                <w:color w:val="auto"/>
              </w:rPr>
            </w:pPr>
            <w:r>
              <w:rPr>
                <w:rFonts w:ascii="Arial" w:cs="Arial" w:eastAsia="Arial" w:hAnsi="Arial"/>
                <w:sz w:val="10"/>
                <w:szCs w:val="10"/>
                <w:color w:val="auto"/>
                <w:w w:val="96"/>
              </w:rPr>
              <w:t>2.1%</w:t>
            </w:r>
          </w:p>
        </w:tc>
      </w:tr>
      <w:tr>
        <w:trPr>
          <w:trHeight w:val="103"/>
        </w:trPr>
        <w:tc>
          <w:tcPr>
            <w:tcW w:w="510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Current</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3"/>
              </w:rPr>
              <w:t>124,488,630</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3"/>
              </w:rPr>
              <w:t>121,494,564</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7"/>
              </w:rPr>
              <w:t>127,103,518</w:t>
            </w:r>
          </w:p>
        </w:tc>
        <w:tc>
          <w:tcPr>
            <w:tcW w:w="720" w:type="dxa"/>
            <w:vAlign w:val="bottom"/>
          </w:tcPr>
          <w:p>
            <w:pPr>
              <w:jc w:val="center"/>
              <w:ind w:left="212"/>
              <w:spacing w:after="0" w:line="103" w:lineRule="exact"/>
              <w:rPr>
                <w:sz w:val="20"/>
                <w:szCs w:val="20"/>
                <w:color w:val="auto"/>
              </w:rPr>
            </w:pPr>
            <w:r>
              <w:rPr>
                <w:rFonts w:ascii="Arial" w:cs="Arial" w:eastAsia="Arial" w:hAnsi="Arial"/>
                <w:sz w:val="10"/>
                <w:szCs w:val="10"/>
                <w:color w:val="auto"/>
                <w:w w:val="96"/>
              </w:rPr>
              <w:t>4.6%</w:t>
            </w:r>
          </w:p>
        </w:tc>
        <w:tc>
          <w:tcPr>
            <w:tcW w:w="1300" w:type="dxa"/>
            <w:vAlign w:val="bottom"/>
            <w:tcBorders>
              <w:right w:val="single" w:sz="8" w:color="auto"/>
            </w:tcBorders>
          </w:tcPr>
          <w:p>
            <w:pPr>
              <w:jc w:val="center"/>
              <w:ind w:left="232"/>
              <w:spacing w:after="0" w:line="103" w:lineRule="exact"/>
              <w:rPr>
                <w:sz w:val="20"/>
                <w:szCs w:val="20"/>
                <w:color w:val="auto"/>
              </w:rPr>
            </w:pPr>
            <w:r>
              <w:rPr>
                <w:rFonts w:ascii="Arial" w:cs="Arial" w:eastAsia="Arial" w:hAnsi="Arial"/>
                <w:sz w:val="10"/>
                <w:szCs w:val="10"/>
                <w:color w:val="auto"/>
                <w:w w:val="96"/>
              </w:rPr>
              <w:t>2.1%</w:t>
            </w:r>
          </w:p>
        </w:tc>
      </w:tr>
      <w:tr>
        <w:trPr>
          <w:trHeight w:val="103"/>
        </w:trPr>
        <w:tc>
          <w:tcPr>
            <w:tcW w:w="510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Internal overdue loans</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8"/>
              </w:rPr>
              <w:t>5,687,162</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8"/>
              </w:rPr>
              <w:t>5,865,391</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5,855,401</w:t>
            </w:r>
          </w:p>
        </w:tc>
        <w:tc>
          <w:tcPr>
            <w:tcW w:w="720" w:type="dxa"/>
            <w:vAlign w:val="bottom"/>
          </w:tcPr>
          <w:p>
            <w:pPr>
              <w:jc w:val="center"/>
              <w:ind w:left="212"/>
              <w:spacing w:after="0" w:line="103" w:lineRule="exact"/>
              <w:rPr>
                <w:sz w:val="20"/>
                <w:szCs w:val="20"/>
                <w:color w:val="auto"/>
              </w:rPr>
            </w:pPr>
            <w:r>
              <w:rPr>
                <w:rFonts w:ascii="Arial" w:cs="Arial" w:eastAsia="Arial" w:hAnsi="Arial"/>
                <w:sz w:val="10"/>
                <w:szCs w:val="10"/>
                <w:color w:val="auto"/>
                <w:w w:val="99"/>
              </w:rPr>
              <w:t>-0.2%</w:t>
            </w:r>
          </w:p>
        </w:tc>
        <w:tc>
          <w:tcPr>
            <w:tcW w:w="1300" w:type="dxa"/>
            <w:vAlign w:val="bottom"/>
            <w:tcBorders>
              <w:right w:val="single" w:sz="8" w:color="auto"/>
            </w:tcBorders>
          </w:tcPr>
          <w:p>
            <w:pPr>
              <w:jc w:val="center"/>
              <w:ind w:left="232"/>
              <w:spacing w:after="0" w:line="103" w:lineRule="exact"/>
              <w:rPr>
                <w:sz w:val="20"/>
                <w:szCs w:val="20"/>
                <w:color w:val="auto"/>
              </w:rPr>
            </w:pPr>
            <w:r>
              <w:rPr>
                <w:rFonts w:ascii="Arial" w:cs="Arial" w:eastAsia="Arial" w:hAnsi="Arial"/>
                <w:sz w:val="10"/>
                <w:szCs w:val="10"/>
                <w:color w:val="auto"/>
                <w:w w:val="96"/>
              </w:rPr>
              <w:t>3.0%</w:t>
            </w:r>
          </w:p>
        </w:tc>
      </w:tr>
      <w:tr>
        <w:trPr>
          <w:trHeight w:val="103"/>
        </w:trPr>
        <w:tc>
          <w:tcPr>
            <w:tcW w:w="510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Less - allowance for loan losses</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3"/>
              </w:rPr>
              <w:t>(7,504,879)</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3"/>
              </w:rPr>
              <w:t>(7,663,849)</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7"/>
              </w:rPr>
              <w:t>(7,799,646)</w:t>
            </w:r>
          </w:p>
        </w:tc>
        <w:tc>
          <w:tcPr>
            <w:tcW w:w="720" w:type="dxa"/>
            <w:vAlign w:val="bottom"/>
          </w:tcPr>
          <w:p>
            <w:pPr>
              <w:jc w:val="center"/>
              <w:ind w:left="212"/>
              <w:spacing w:after="0" w:line="103" w:lineRule="exact"/>
              <w:rPr>
                <w:sz w:val="20"/>
                <w:szCs w:val="20"/>
                <w:color w:val="auto"/>
              </w:rPr>
            </w:pPr>
            <w:r>
              <w:rPr>
                <w:rFonts w:ascii="Arial" w:cs="Arial" w:eastAsia="Arial" w:hAnsi="Arial"/>
                <w:sz w:val="10"/>
                <w:szCs w:val="10"/>
                <w:color w:val="auto"/>
                <w:w w:val="96"/>
              </w:rPr>
              <w:t>1.8%</w:t>
            </w:r>
          </w:p>
        </w:tc>
        <w:tc>
          <w:tcPr>
            <w:tcW w:w="1300" w:type="dxa"/>
            <w:vAlign w:val="bottom"/>
            <w:tcBorders>
              <w:right w:val="single" w:sz="8" w:color="auto"/>
            </w:tcBorders>
          </w:tcPr>
          <w:p>
            <w:pPr>
              <w:jc w:val="center"/>
              <w:ind w:left="232"/>
              <w:spacing w:after="0" w:line="103" w:lineRule="exact"/>
              <w:rPr>
                <w:sz w:val="20"/>
                <w:szCs w:val="20"/>
                <w:color w:val="auto"/>
              </w:rPr>
            </w:pPr>
            <w:r>
              <w:rPr>
                <w:rFonts w:ascii="Arial" w:cs="Arial" w:eastAsia="Arial" w:hAnsi="Arial"/>
                <w:sz w:val="10"/>
                <w:szCs w:val="10"/>
                <w:color w:val="auto"/>
                <w:w w:val="96"/>
              </w:rPr>
              <w:t>3.9%</w:t>
            </w:r>
          </w:p>
        </w:tc>
      </w:tr>
      <w:tr>
        <w:trPr>
          <w:trHeight w:val="125"/>
        </w:trPr>
        <w:tc>
          <w:tcPr>
            <w:tcW w:w="5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Loans, net</w:t>
            </w:r>
          </w:p>
        </w:tc>
        <w:tc>
          <w:tcPr>
            <w:tcW w:w="1000" w:type="dxa"/>
            <w:vAlign w:val="bottom"/>
          </w:tcPr>
          <w:p>
            <w:pPr>
              <w:jc w:val="center"/>
              <w:spacing w:after="0"/>
              <w:rPr>
                <w:sz w:val="20"/>
                <w:szCs w:val="20"/>
                <w:color w:val="auto"/>
              </w:rPr>
            </w:pPr>
            <w:r>
              <w:rPr>
                <w:rFonts w:ascii="Arial" w:cs="Arial" w:eastAsia="Arial" w:hAnsi="Arial"/>
                <w:sz w:val="10"/>
                <w:szCs w:val="10"/>
                <w:color w:val="auto"/>
                <w:w w:val="93"/>
              </w:rPr>
              <w:t>122,670,913</w:t>
            </w:r>
          </w:p>
        </w:tc>
        <w:tc>
          <w:tcPr>
            <w:tcW w:w="1000" w:type="dxa"/>
            <w:vAlign w:val="bottom"/>
          </w:tcPr>
          <w:p>
            <w:pPr>
              <w:jc w:val="center"/>
              <w:spacing w:after="0"/>
              <w:rPr>
                <w:sz w:val="20"/>
                <w:szCs w:val="20"/>
                <w:color w:val="auto"/>
              </w:rPr>
            </w:pPr>
            <w:r>
              <w:rPr>
                <w:rFonts w:ascii="Arial" w:cs="Arial" w:eastAsia="Arial" w:hAnsi="Arial"/>
                <w:sz w:val="10"/>
                <w:szCs w:val="10"/>
                <w:color w:val="auto"/>
                <w:w w:val="93"/>
              </w:rPr>
              <w:t>119,696,106</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7"/>
              </w:rPr>
              <w:t>125,159,273</w:t>
            </w:r>
          </w:p>
        </w:tc>
        <w:tc>
          <w:tcPr>
            <w:tcW w:w="720" w:type="dxa"/>
            <w:vAlign w:val="bottom"/>
          </w:tcPr>
          <w:p>
            <w:pPr>
              <w:jc w:val="center"/>
              <w:ind w:left="212"/>
              <w:spacing w:after="0"/>
              <w:rPr>
                <w:sz w:val="20"/>
                <w:szCs w:val="20"/>
                <w:color w:val="auto"/>
              </w:rPr>
            </w:pPr>
            <w:r>
              <w:rPr>
                <w:rFonts w:ascii="Arial" w:cs="Arial" w:eastAsia="Arial" w:hAnsi="Arial"/>
                <w:sz w:val="10"/>
                <w:szCs w:val="10"/>
                <w:color w:val="auto"/>
                <w:w w:val="96"/>
              </w:rPr>
              <w:t>4.6%</w:t>
            </w:r>
          </w:p>
        </w:tc>
        <w:tc>
          <w:tcPr>
            <w:tcW w:w="1300" w:type="dxa"/>
            <w:vAlign w:val="bottom"/>
            <w:tcBorders>
              <w:right w:val="single" w:sz="8" w:color="auto"/>
            </w:tcBorders>
          </w:tcPr>
          <w:p>
            <w:pPr>
              <w:jc w:val="center"/>
              <w:ind w:left="232"/>
              <w:spacing w:after="0"/>
              <w:rPr>
                <w:sz w:val="20"/>
                <w:szCs w:val="20"/>
                <w:color w:val="auto"/>
              </w:rPr>
            </w:pPr>
            <w:r>
              <w:rPr>
                <w:rFonts w:ascii="Arial" w:cs="Arial" w:eastAsia="Arial" w:hAnsi="Arial"/>
                <w:sz w:val="10"/>
                <w:szCs w:val="10"/>
                <w:color w:val="auto"/>
                <w:w w:val="96"/>
              </w:rPr>
              <w:t>2.0%</w:t>
            </w:r>
          </w:p>
        </w:tc>
      </w:tr>
      <w:tr>
        <w:trPr>
          <w:trHeight w:val="184"/>
        </w:trPr>
        <w:tc>
          <w:tcPr>
            <w:tcW w:w="5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 xml:space="preserve">Property, furniture and equipment, net </w:t>
            </w:r>
            <w:r>
              <w:rPr>
                <w:rFonts w:ascii="Arial" w:cs="Arial" w:eastAsia="Arial" w:hAnsi="Arial"/>
                <w:sz w:val="15"/>
                <w:szCs w:val="15"/>
                <w:color w:val="auto"/>
                <w:vertAlign w:val="superscript"/>
              </w:rPr>
              <w:t>(1)</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1,460,108</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1,512,734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1,490,388</w:t>
            </w:r>
          </w:p>
        </w:tc>
        <w:tc>
          <w:tcPr>
            <w:tcW w:w="720" w:type="dxa"/>
            <w:vAlign w:val="bottom"/>
          </w:tcPr>
          <w:p>
            <w:pPr>
              <w:jc w:val="center"/>
              <w:ind w:left="212"/>
              <w:spacing w:after="0"/>
              <w:rPr>
                <w:sz w:val="20"/>
                <w:szCs w:val="20"/>
                <w:color w:val="auto"/>
              </w:rPr>
            </w:pPr>
            <w:r>
              <w:rPr>
                <w:rFonts w:ascii="Arial" w:cs="Arial" w:eastAsia="Arial" w:hAnsi="Arial"/>
                <w:sz w:val="10"/>
                <w:szCs w:val="10"/>
                <w:color w:val="auto"/>
                <w:w w:val="99"/>
              </w:rPr>
              <w:t>-1.5%</w:t>
            </w:r>
          </w:p>
        </w:tc>
        <w:tc>
          <w:tcPr>
            <w:tcW w:w="1300" w:type="dxa"/>
            <w:vAlign w:val="bottom"/>
            <w:tcBorders>
              <w:right w:val="single" w:sz="8" w:color="auto"/>
            </w:tcBorders>
          </w:tcPr>
          <w:p>
            <w:pPr>
              <w:jc w:val="center"/>
              <w:ind w:left="232"/>
              <w:spacing w:after="0"/>
              <w:rPr>
                <w:sz w:val="20"/>
                <w:szCs w:val="20"/>
                <w:color w:val="auto"/>
              </w:rPr>
            </w:pPr>
            <w:r>
              <w:rPr>
                <w:rFonts w:ascii="Arial" w:cs="Arial" w:eastAsia="Arial" w:hAnsi="Arial"/>
                <w:sz w:val="10"/>
                <w:szCs w:val="10"/>
                <w:color w:val="auto"/>
                <w:w w:val="96"/>
              </w:rPr>
              <w:t>2.1%</w:t>
            </w:r>
          </w:p>
        </w:tc>
      </w:tr>
      <w:tr>
        <w:trPr>
          <w:trHeight w:val="103"/>
        </w:trPr>
        <w:tc>
          <w:tcPr>
            <w:tcW w:w="510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Due from customers on acceptances</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9"/>
              </w:rPr>
              <w:t>226,161</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9"/>
              </w:rPr>
              <w:t>322,346</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3"/>
              </w:rPr>
              <w:t>473,382</w:t>
            </w:r>
          </w:p>
        </w:tc>
        <w:tc>
          <w:tcPr>
            <w:tcW w:w="720" w:type="dxa"/>
            <w:vAlign w:val="bottom"/>
          </w:tcPr>
          <w:p>
            <w:pPr>
              <w:jc w:val="center"/>
              <w:ind w:left="212"/>
              <w:spacing w:after="0" w:line="103" w:lineRule="exact"/>
              <w:rPr>
                <w:sz w:val="20"/>
                <w:szCs w:val="20"/>
                <w:color w:val="auto"/>
              </w:rPr>
            </w:pPr>
            <w:r>
              <w:rPr>
                <w:rFonts w:ascii="Arial" w:cs="Arial" w:eastAsia="Arial" w:hAnsi="Arial"/>
                <w:sz w:val="10"/>
                <w:szCs w:val="10"/>
                <w:color w:val="auto"/>
                <w:w w:val="91"/>
              </w:rPr>
              <w:t>46.9%</w:t>
            </w:r>
          </w:p>
        </w:tc>
        <w:tc>
          <w:tcPr>
            <w:tcW w:w="1300" w:type="dxa"/>
            <w:vAlign w:val="bottom"/>
            <w:tcBorders>
              <w:right w:val="single" w:sz="8" w:color="auto"/>
            </w:tcBorders>
          </w:tcPr>
          <w:p>
            <w:pPr>
              <w:jc w:val="center"/>
              <w:ind w:left="212"/>
              <w:spacing w:after="0" w:line="103" w:lineRule="exact"/>
              <w:rPr>
                <w:sz w:val="20"/>
                <w:szCs w:val="20"/>
                <w:color w:val="auto"/>
              </w:rPr>
            </w:pPr>
            <w:r>
              <w:rPr>
                <w:rFonts w:ascii="Arial" w:cs="Arial" w:eastAsia="Arial" w:hAnsi="Arial"/>
                <w:sz w:val="10"/>
                <w:szCs w:val="10"/>
                <w:color w:val="auto"/>
                <w:w w:val="94"/>
              </w:rPr>
              <w:t>109.3%</w:t>
            </w:r>
          </w:p>
        </w:tc>
      </w:tr>
      <w:tr>
        <w:trPr>
          <w:trHeight w:val="97"/>
        </w:trPr>
        <w:tc>
          <w:tcPr>
            <w:tcW w:w="5100" w:type="dxa"/>
            <w:vAlign w:val="bottom"/>
            <w:tcBorders>
              <w:left w:val="single" w:sz="8" w:color="auto"/>
              <w:right w:val="single" w:sz="8" w:color="auto"/>
            </w:tcBorders>
          </w:tcPr>
          <w:p>
            <w:pPr>
              <w:ind w:left="40"/>
              <w:spacing w:after="0" w:line="97" w:lineRule="exact"/>
              <w:rPr>
                <w:sz w:val="20"/>
                <w:szCs w:val="20"/>
                <w:color w:val="auto"/>
              </w:rPr>
            </w:pPr>
            <w:r>
              <w:rPr>
                <w:rFonts w:ascii="Arial" w:cs="Arial" w:eastAsia="Arial" w:hAnsi="Arial"/>
                <w:sz w:val="10"/>
                <w:szCs w:val="10"/>
                <w:color w:val="auto"/>
              </w:rPr>
              <w:t>Investments in associates</w:t>
            </w:r>
          </w:p>
        </w:tc>
        <w:tc>
          <w:tcPr>
            <w:tcW w:w="1000" w:type="dxa"/>
            <w:vAlign w:val="bottom"/>
          </w:tcPr>
          <w:p>
            <w:pPr>
              <w:jc w:val="center"/>
              <w:spacing w:after="0" w:line="97" w:lineRule="exact"/>
              <w:rPr>
                <w:sz w:val="20"/>
                <w:szCs w:val="20"/>
                <w:color w:val="auto"/>
              </w:rPr>
            </w:pPr>
            <w:r>
              <w:rPr>
                <w:rFonts w:ascii="Arial" w:cs="Arial" w:eastAsia="Arial" w:hAnsi="Arial"/>
                <w:sz w:val="10"/>
                <w:szCs w:val="10"/>
                <w:color w:val="auto"/>
                <w:w w:val="91"/>
              </w:rPr>
              <w:t>16,670</w:t>
            </w:r>
          </w:p>
        </w:tc>
        <w:tc>
          <w:tcPr>
            <w:tcW w:w="1000" w:type="dxa"/>
            <w:vAlign w:val="bottom"/>
          </w:tcPr>
          <w:p>
            <w:pPr>
              <w:jc w:val="center"/>
              <w:spacing w:after="0" w:line="97" w:lineRule="exact"/>
              <w:rPr>
                <w:sz w:val="20"/>
                <w:szCs w:val="20"/>
                <w:color w:val="auto"/>
              </w:rPr>
            </w:pPr>
            <w:r>
              <w:rPr>
                <w:rFonts w:ascii="Arial" w:cs="Arial" w:eastAsia="Arial" w:hAnsi="Arial"/>
                <w:sz w:val="10"/>
                <w:szCs w:val="10"/>
                <w:color w:val="auto"/>
                <w:w w:val="91"/>
              </w:rPr>
              <w:t>23,270</w:t>
            </w:r>
          </w:p>
        </w:tc>
        <w:tc>
          <w:tcPr>
            <w:tcW w:w="104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0"/>
                <w:szCs w:val="10"/>
                <w:color w:val="auto"/>
                <w:w w:val="97"/>
              </w:rPr>
              <w:t>26,754</w:t>
            </w:r>
          </w:p>
        </w:tc>
        <w:tc>
          <w:tcPr>
            <w:tcW w:w="720" w:type="dxa"/>
            <w:vAlign w:val="bottom"/>
          </w:tcPr>
          <w:p>
            <w:pPr>
              <w:jc w:val="center"/>
              <w:ind w:left="212"/>
              <w:spacing w:after="0" w:line="97" w:lineRule="exact"/>
              <w:rPr>
                <w:sz w:val="20"/>
                <w:szCs w:val="20"/>
                <w:color w:val="auto"/>
              </w:rPr>
            </w:pPr>
            <w:r>
              <w:rPr>
                <w:rFonts w:ascii="Arial" w:cs="Arial" w:eastAsia="Arial" w:hAnsi="Arial"/>
                <w:sz w:val="10"/>
                <w:szCs w:val="10"/>
                <w:color w:val="auto"/>
                <w:w w:val="91"/>
              </w:rPr>
              <w:t>15.0%</w:t>
            </w:r>
          </w:p>
        </w:tc>
        <w:tc>
          <w:tcPr>
            <w:tcW w:w="1300" w:type="dxa"/>
            <w:vAlign w:val="bottom"/>
            <w:tcBorders>
              <w:right w:val="single" w:sz="8" w:color="auto"/>
            </w:tcBorders>
          </w:tcPr>
          <w:p>
            <w:pPr>
              <w:jc w:val="center"/>
              <w:ind w:left="212"/>
              <w:spacing w:after="0" w:line="97" w:lineRule="exact"/>
              <w:rPr>
                <w:sz w:val="20"/>
                <w:szCs w:val="20"/>
                <w:color w:val="auto"/>
              </w:rPr>
            </w:pPr>
            <w:r>
              <w:rPr>
                <w:rFonts w:ascii="Arial" w:cs="Arial" w:eastAsia="Arial" w:hAnsi="Arial"/>
                <w:sz w:val="10"/>
                <w:szCs w:val="10"/>
                <w:color w:val="auto"/>
                <w:w w:val="98"/>
              </w:rPr>
              <w:t>60.5%</w:t>
            </w:r>
          </w:p>
        </w:tc>
      </w:tr>
      <w:tr>
        <w:trPr>
          <w:trHeight w:val="210"/>
        </w:trPr>
        <w:tc>
          <w:tcPr>
            <w:tcW w:w="5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 xml:space="preserve">Other assets </w:t>
            </w:r>
            <w:r>
              <w:rPr>
                <w:rFonts w:ascii="Arial" w:cs="Arial" w:eastAsia="Arial" w:hAnsi="Arial"/>
                <w:sz w:val="15"/>
                <w:szCs w:val="15"/>
                <w:color w:val="auto"/>
                <w:vertAlign w:val="superscript"/>
              </w:rPr>
              <w:t>(2)</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7,653,151</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6,955,937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1"/>
              </w:rPr>
              <w:t>11,830,099</w:t>
            </w:r>
          </w:p>
        </w:tc>
        <w:tc>
          <w:tcPr>
            <w:tcW w:w="720" w:type="dxa"/>
            <w:vAlign w:val="bottom"/>
          </w:tcPr>
          <w:p>
            <w:pPr>
              <w:jc w:val="center"/>
              <w:ind w:left="212"/>
              <w:spacing w:after="0"/>
              <w:rPr>
                <w:sz w:val="20"/>
                <w:szCs w:val="20"/>
                <w:color w:val="auto"/>
              </w:rPr>
            </w:pPr>
            <w:r>
              <w:rPr>
                <w:rFonts w:ascii="Arial" w:cs="Arial" w:eastAsia="Arial" w:hAnsi="Arial"/>
                <w:sz w:val="10"/>
                <w:szCs w:val="10"/>
                <w:color w:val="auto"/>
                <w:w w:val="91"/>
              </w:rPr>
              <w:t>70.1%</w:t>
            </w:r>
          </w:p>
        </w:tc>
        <w:tc>
          <w:tcPr>
            <w:tcW w:w="1300" w:type="dxa"/>
            <w:vAlign w:val="bottom"/>
            <w:tcBorders>
              <w:right w:val="single" w:sz="8" w:color="auto"/>
            </w:tcBorders>
          </w:tcPr>
          <w:p>
            <w:pPr>
              <w:jc w:val="center"/>
              <w:ind w:left="212"/>
              <w:spacing w:after="0"/>
              <w:rPr>
                <w:sz w:val="20"/>
                <w:szCs w:val="20"/>
                <w:color w:val="auto"/>
              </w:rPr>
            </w:pPr>
            <w:r>
              <w:rPr>
                <w:rFonts w:ascii="Arial" w:cs="Arial" w:eastAsia="Arial" w:hAnsi="Arial"/>
                <w:sz w:val="10"/>
                <w:szCs w:val="10"/>
                <w:color w:val="auto"/>
                <w:w w:val="98"/>
              </w:rPr>
              <w:t>54.6%</w:t>
            </w:r>
          </w:p>
        </w:tc>
      </w:tr>
      <w:tr>
        <w:trPr>
          <w:trHeight w:val="131"/>
        </w:trPr>
        <w:tc>
          <w:tcPr>
            <w:tcW w:w="5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Total Assets</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3"/>
              </w:rPr>
              <w:t>190,050,099</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3"/>
              </w:rPr>
              <w:t>196,403,479</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202,799,664</w:t>
            </w:r>
          </w:p>
        </w:tc>
        <w:tc>
          <w:tcPr>
            <w:tcW w:w="720" w:type="dxa"/>
            <w:vAlign w:val="bottom"/>
          </w:tcPr>
          <w:p>
            <w:pPr>
              <w:jc w:val="center"/>
              <w:ind w:left="212"/>
              <w:spacing w:after="0"/>
              <w:rPr>
                <w:sz w:val="20"/>
                <w:szCs w:val="20"/>
                <w:color w:val="auto"/>
              </w:rPr>
            </w:pPr>
            <w:r>
              <w:rPr>
                <w:rFonts w:ascii="Arial" w:cs="Arial" w:eastAsia="Arial" w:hAnsi="Arial"/>
                <w:sz w:val="10"/>
                <w:szCs w:val="10"/>
                <w:b w:val="1"/>
                <w:bCs w:val="1"/>
                <w:color w:val="auto"/>
                <w:w w:val="96"/>
              </w:rPr>
              <w:t>3.3%</w:t>
            </w:r>
          </w:p>
        </w:tc>
        <w:tc>
          <w:tcPr>
            <w:tcW w:w="1300" w:type="dxa"/>
            <w:vAlign w:val="bottom"/>
            <w:tcBorders>
              <w:right w:val="single" w:sz="8" w:color="auto"/>
            </w:tcBorders>
          </w:tcPr>
          <w:p>
            <w:pPr>
              <w:jc w:val="center"/>
              <w:ind w:left="232"/>
              <w:spacing w:after="0"/>
              <w:rPr>
                <w:sz w:val="20"/>
                <w:szCs w:val="20"/>
                <w:color w:val="auto"/>
              </w:rPr>
            </w:pPr>
            <w:r>
              <w:rPr>
                <w:rFonts w:ascii="Arial" w:cs="Arial" w:eastAsia="Arial" w:hAnsi="Arial"/>
                <w:sz w:val="10"/>
                <w:szCs w:val="10"/>
                <w:b w:val="1"/>
                <w:bCs w:val="1"/>
                <w:color w:val="auto"/>
                <w:w w:val="96"/>
              </w:rPr>
              <w:t>6.7%</w:t>
            </w:r>
          </w:p>
        </w:tc>
      </w:tr>
      <w:tr>
        <w:trPr>
          <w:trHeight w:val="180"/>
        </w:trPr>
        <w:tc>
          <w:tcPr>
            <w:tcW w:w="5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b w:val="1"/>
                <w:bCs w:val="1"/>
                <w:color w:val="auto"/>
              </w:rPr>
              <w:t>Liabilities and Equity</w:t>
            </w: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r>
      <w:tr>
        <w:trPr>
          <w:trHeight w:val="97"/>
        </w:trPr>
        <w:tc>
          <w:tcPr>
            <w:tcW w:w="5100" w:type="dxa"/>
            <w:vAlign w:val="bottom"/>
            <w:tcBorders>
              <w:left w:val="single" w:sz="8" w:color="auto"/>
              <w:right w:val="single" w:sz="8" w:color="auto"/>
            </w:tcBorders>
          </w:tcPr>
          <w:p>
            <w:pPr>
              <w:ind w:left="40"/>
              <w:spacing w:after="0" w:line="97" w:lineRule="exact"/>
              <w:rPr>
                <w:sz w:val="20"/>
                <w:szCs w:val="20"/>
                <w:color w:val="auto"/>
              </w:rPr>
            </w:pPr>
            <w:r>
              <w:rPr>
                <w:rFonts w:ascii="Arial" w:cs="Arial" w:eastAsia="Arial" w:hAnsi="Arial"/>
                <w:sz w:val="10"/>
                <w:szCs w:val="10"/>
                <w:color w:val="auto"/>
              </w:rPr>
              <w:t>Deposits and obligations</w:t>
            </w: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r>
      <w:tr>
        <w:trPr>
          <w:trHeight w:val="103"/>
        </w:trPr>
        <w:tc>
          <w:tcPr>
            <w:tcW w:w="510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7"/>
                <w:szCs w:val="7"/>
                <w:color w:val="auto"/>
              </w:rPr>
              <w:t xml:space="preserve">Non-interest bearing </w:t>
            </w:r>
            <w:r>
              <w:rPr>
                <w:rFonts w:ascii="Arial" w:cs="Arial" w:eastAsia="Arial" w:hAnsi="Arial"/>
                <w:sz w:val="11"/>
                <w:szCs w:val="11"/>
                <w:color w:val="auto"/>
                <w:vertAlign w:val="superscript"/>
              </w:rPr>
              <w:t>(1)</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5"/>
              </w:rPr>
              <w:t>36,484,571</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5"/>
              </w:rPr>
              <w:t>38,519,886</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5"/>
              </w:rPr>
              <w:t>41,187,095</w:t>
            </w:r>
          </w:p>
        </w:tc>
        <w:tc>
          <w:tcPr>
            <w:tcW w:w="720" w:type="dxa"/>
            <w:vAlign w:val="bottom"/>
          </w:tcPr>
          <w:p>
            <w:pPr>
              <w:jc w:val="center"/>
              <w:ind w:left="212"/>
              <w:spacing w:after="0" w:line="103" w:lineRule="exact"/>
              <w:rPr>
                <w:sz w:val="20"/>
                <w:szCs w:val="20"/>
                <w:color w:val="auto"/>
              </w:rPr>
            </w:pPr>
            <w:r>
              <w:rPr>
                <w:rFonts w:ascii="Arial" w:cs="Arial" w:eastAsia="Arial" w:hAnsi="Arial"/>
                <w:sz w:val="10"/>
                <w:szCs w:val="10"/>
                <w:color w:val="auto"/>
                <w:w w:val="96"/>
              </w:rPr>
              <w:t>6.9%</w:t>
            </w:r>
          </w:p>
        </w:tc>
        <w:tc>
          <w:tcPr>
            <w:tcW w:w="1300" w:type="dxa"/>
            <w:vAlign w:val="bottom"/>
            <w:tcBorders>
              <w:right w:val="single" w:sz="8" w:color="auto"/>
            </w:tcBorders>
          </w:tcPr>
          <w:p>
            <w:pPr>
              <w:jc w:val="center"/>
              <w:ind w:left="212"/>
              <w:spacing w:after="0" w:line="103" w:lineRule="exact"/>
              <w:rPr>
                <w:sz w:val="20"/>
                <w:szCs w:val="20"/>
                <w:color w:val="auto"/>
              </w:rPr>
            </w:pPr>
            <w:r>
              <w:rPr>
                <w:rFonts w:ascii="Arial" w:cs="Arial" w:eastAsia="Arial" w:hAnsi="Arial"/>
                <w:sz w:val="10"/>
                <w:szCs w:val="10"/>
                <w:color w:val="auto"/>
                <w:w w:val="98"/>
              </w:rPr>
              <w:t>12.9%</w:t>
            </w:r>
          </w:p>
        </w:tc>
      </w:tr>
      <w:tr>
        <w:trPr>
          <w:trHeight w:val="109"/>
        </w:trPr>
        <w:tc>
          <w:tcPr>
            <w:tcW w:w="5100" w:type="dxa"/>
            <w:vAlign w:val="bottom"/>
            <w:tcBorders>
              <w:left w:val="single" w:sz="8" w:color="auto"/>
              <w:right w:val="single" w:sz="8" w:color="auto"/>
            </w:tcBorders>
          </w:tcPr>
          <w:p>
            <w:pPr>
              <w:ind w:left="40"/>
              <w:spacing w:after="0" w:line="109" w:lineRule="exact"/>
              <w:rPr>
                <w:sz w:val="20"/>
                <w:szCs w:val="20"/>
                <w:color w:val="auto"/>
              </w:rPr>
            </w:pPr>
            <w:r>
              <w:rPr>
                <w:rFonts w:ascii="Arial" w:cs="Arial" w:eastAsia="Arial" w:hAnsi="Arial"/>
                <w:sz w:val="8"/>
                <w:szCs w:val="8"/>
                <w:color w:val="auto"/>
              </w:rPr>
              <w:t xml:space="preserve">Interest bearing </w:t>
            </w:r>
            <w:r>
              <w:rPr>
                <w:rFonts w:ascii="Arial" w:cs="Arial" w:eastAsia="Arial" w:hAnsi="Arial"/>
                <w:sz w:val="12"/>
                <w:szCs w:val="12"/>
                <w:color w:val="auto"/>
                <w:vertAlign w:val="superscript"/>
              </w:rPr>
              <w:t>(1)</w:t>
            </w:r>
          </w:p>
        </w:tc>
        <w:tc>
          <w:tcPr>
            <w:tcW w:w="1000" w:type="dxa"/>
            <w:vAlign w:val="bottom"/>
          </w:tcPr>
          <w:p>
            <w:pPr>
              <w:jc w:val="center"/>
              <w:spacing w:after="0" w:line="109" w:lineRule="exact"/>
              <w:rPr>
                <w:sz w:val="20"/>
                <w:szCs w:val="20"/>
                <w:color w:val="auto"/>
              </w:rPr>
            </w:pPr>
            <w:r>
              <w:rPr>
                <w:rFonts w:ascii="Arial" w:cs="Arial" w:eastAsia="Arial" w:hAnsi="Arial"/>
                <w:sz w:val="10"/>
                <w:szCs w:val="10"/>
                <w:color w:val="auto"/>
                <w:w w:val="95"/>
              </w:rPr>
              <w:t>91,074,922</w:t>
            </w:r>
          </w:p>
        </w:tc>
        <w:tc>
          <w:tcPr>
            <w:tcW w:w="1000" w:type="dxa"/>
            <w:vAlign w:val="bottom"/>
          </w:tcPr>
          <w:p>
            <w:pPr>
              <w:jc w:val="center"/>
              <w:spacing w:after="0" w:line="109" w:lineRule="exact"/>
              <w:rPr>
                <w:sz w:val="20"/>
                <w:szCs w:val="20"/>
                <w:color w:val="auto"/>
              </w:rPr>
            </w:pPr>
            <w:r>
              <w:rPr>
                <w:rFonts w:ascii="Arial" w:cs="Arial" w:eastAsia="Arial" w:hAnsi="Arial"/>
                <w:sz w:val="10"/>
                <w:szCs w:val="10"/>
                <w:color w:val="auto"/>
                <w:w w:val="95"/>
              </w:rPr>
              <w:t>94,436,692</w:t>
            </w:r>
          </w:p>
        </w:tc>
        <w:tc>
          <w:tcPr>
            <w:tcW w:w="1040" w:type="dxa"/>
            <w:vAlign w:val="bottom"/>
            <w:tcBorders>
              <w:right w:val="single" w:sz="8" w:color="auto"/>
            </w:tcBorders>
          </w:tcPr>
          <w:p>
            <w:pPr>
              <w:jc w:val="center"/>
              <w:spacing w:after="0" w:line="109" w:lineRule="exact"/>
              <w:rPr>
                <w:sz w:val="20"/>
                <w:szCs w:val="20"/>
                <w:color w:val="auto"/>
              </w:rPr>
            </w:pPr>
            <w:r>
              <w:rPr>
                <w:rFonts w:ascii="Arial" w:cs="Arial" w:eastAsia="Arial" w:hAnsi="Arial"/>
                <w:sz w:val="10"/>
                <w:szCs w:val="10"/>
                <w:color w:val="auto"/>
                <w:w w:val="95"/>
              </w:rPr>
              <w:t>96,391,919</w:t>
            </w:r>
          </w:p>
        </w:tc>
        <w:tc>
          <w:tcPr>
            <w:tcW w:w="720" w:type="dxa"/>
            <w:vAlign w:val="bottom"/>
          </w:tcPr>
          <w:p>
            <w:pPr>
              <w:jc w:val="center"/>
              <w:ind w:left="212"/>
              <w:spacing w:after="0" w:line="109" w:lineRule="exact"/>
              <w:rPr>
                <w:sz w:val="20"/>
                <w:szCs w:val="20"/>
                <w:color w:val="auto"/>
              </w:rPr>
            </w:pPr>
            <w:r>
              <w:rPr>
                <w:rFonts w:ascii="Arial" w:cs="Arial" w:eastAsia="Arial" w:hAnsi="Arial"/>
                <w:sz w:val="10"/>
                <w:szCs w:val="10"/>
                <w:color w:val="auto"/>
                <w:w w:val="96"/>
              </w:rPr>
              <w:t>2.1%</w:t>
            </w:r>
          </w:p>
        </w:tc>
        <w:tc>
          <w:tcPr>
            <w:tcW w:w="1300" w:type="dxa"/>
            <w:vAlign w:val="bottom"/>
            <w:tcBorders>
              <w:right w:val="single" w:sz="8" w:color="auto"/>
            </w:tcBorders>
          </w:tcPr>
          <w:p>
            <w:pPr>
              <w:jc w:val="center"/>
              <w:ind w:left="232"/>
              <w:spacing w:after="0" w:line="109" w:lineRule="exact"/>
              <w:rPr>
                <w:sz w:val="20"/>
                <w:szCs w:val="20"/>
                <w:color w:val="auto"/>
              </w:rPr>
            </w:pPr>
            <w:r>
              <w:rPr>
                <w:rFonts w:ascii="Arial" w:cs="Arial" w:eastAsia="Arial" w:hAnsi="Arial"/>
                <w:sz w:val="10"/>
                <w:szCs w:val="10"/>
                <w:color w:val="auto"/>
                <w:w w:val="96"/>
              </w:rPr>
              <w:t>5.8%</w:t>
            </w:r>
          </w:p>
        </w:tc>
      </w:tr>
      <w:tr>
        <w:trPr>
          <w:trHeight w:val="125"/>
        </w:trPr>
        <w:tc>
          <w:tcPr>
            <w:tcW w:w="5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Total deposits and obligations</w:t>
            </w:r>
          </w:p>
        </w:tc>
        <w:tc>
          <w:tcPr>
            <w:tcW w:w="1000" w:type="dxa"/>
            <w:vAlign w:val="bottom"/>
          </w:tcPr>
          <w:p>
            <w:pPr>
              <w:jc w:val="center"/>
              <w:spacing w:after="0"/>
              <w:rPr>
                <w:sz w:val="20"/>
                <w:szCs w:val="20"/>
                <w:color w:val="auto"/>
              </w:rPr>
            </w:pPr>
            <w:r>
              <w:rPr>
                <w:rFonts w:ascii="Arial" w:cs="Arial" w:eastAsia="Arial" w:hAnsi="Arial"/>
                <w:sz w:val="10"/>
                <w:szCs w:val="10"/>
                <w:color w:val="auto"/>
                <w:w w:val="93"/>
              </w:rPr>
              <w:t>127,559,493</w:t>
            </w:r>
          </w:p>
        </w:tc>
        <w:tc>
          <w:tcPr>
            <w:tcW w:w="1000" w:type="dxa"/>
            <w:vAlign w:val="bottom"/>
          </w:tcPr>
          <w:p>
            <w:pPr>
              <w:jc w:val="center"/>
              <w:spacing w:after="0"/>
              <w:rPr>
                <w:sz w:val="20"/>
                <w:szCs w:val="20"/>
                <w:color w:val="auto"/>
              </w:rPr>
            </w:pPr>
            <w:r>
              <w:rPr>
                <w:rFonts w:ascii="Arial" w:cs="Arial" w:eastAsia="Arial" w:hAnsi="Arial"/>
                <w:sz w:val="10"/>
                <w:szCs w:val="10"/>
                <w:color w:val="auto"/>
                <w:w w:val="93"/>
              </w:rPr>
              <w:t>132,956,578</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7"/>
              </w:rPr>
              <w:t>137,579,014</w:t>
            </w:r>
          </w:p>
        </w:tc>
        <w:tc>
          <w:tcPr>
            <w:tcW w:w="720" w:type="dxa"/>
            <w:vAlign w:val="bottom"/>
          </w:tcPr>
          <w:p>
            <w:pPr>
              <w:jc w:val="center"/>
              <w:ind w:left="212"/>
              <w:spacing w:after="0"/>
              <w:rPr>
                <w:sz w:val="20"/>
                <w:szCs w:val="20"/>
                <w:color w:val="auto"/>
              </w:rPr>
            </w:pPr>
            <w:r>
              <w:rPr>
                <w:rFonts w:ascii="Arial" w:cs="Arial" w:eastAsia="Arial" w:hAnsi="Arial"/>
                <w:sz w:val="10"/>
                <w:szCs w:val="10"/>
                <w:color w:val="auto"/>
                <w:w w:val="96"/>
              </w:rPr>
              <w:t>3.5%</w:t>
            </w:r>
          </w:p>
        </w:tc>
        <w:tc>
          <w:tcPr>
            <w:tcW w:w="1300" w:type="dxa"/>
            <w:vAlign w:val="bottom"/>
            <w:tcBorders>
              <w:right w:val="single" w:sz="8" w:color="auto"/>
            </w:tcBorders>
          </w:tcPr>
          <w:p>
            <w:pPr>
              <w:jc w:val="center"/>
              <w:ind w:left="232"/>
              <w:spacing w:after="0"/>
              <w:rPr>
                <w:sz w:val="20"/>
                <w:szCs w:val="20"/>
                <w:color w:val="auto"/>
              </w:rPr>
            </w:pPr>
            <w:r>
              <w:rPr>
                <w:rFonts w:ascii="Arial" w:cs="Arial" w:eastAsia="Arial" w:hAnsi="Arial"/>
                <w:sz w:val="10"/>
                <w:szCs w:val="10"/>
                <w:color w:val="auto"/>
                <w:w w:val="96"/>
              </w:rPr>
              <w:t>7.9%</w:t>
            </w:r>
          </w:p>
        </w:tc>
      </w:tr>
      <w:tr>
        <w:trPr>
          <w:trHeight w:val="184"/>
        </w:trPr>
        <w:tc>
          <w:tcPr>
            <w:tcW w:w="5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Payables from repurchase agreements and securities lending</w:t>
            </w:r>
          </w:p>
        </w:tc>
        <w:tc>
          <w:tcPr>
            <w:tcW w:w="1000" w:type="dxa"/>
            <w:vAlign w:val="bottom"/>
          </w:tcPr>
          <w:p>
            <w:pPr>
              <w:jc w:val="center"/>
              <w:spacing w:after="0"/>
              <w:rPr>
                <w:sz w:val="20"/>
                <w:szCs w:val="20"/>
                <w:color w:val="auto"/>
              </w:rPr>
            </w:pPr>
            <w:r>
              <w:rPr>
                <w:rFonts w:ascii="Arial" w:cs="Arial" w:eastAsia="Arial" w:hAnsi="Arial"/>
                <w:sz w:val="10"/>
                <w:szCs w:val="10"/>
                <w:color w:val="auto"/>
                <w:w w:val="95"/>
              </w:rPr>
              <w:t>12,310,396</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7,388,795</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6,095,858</w:t>
            </w:r>
          </w:p>
        </w:tc>
        <w:tc>
          <w:tcPr>
            <w:tcW w:w="720" w:type="dxa"/>
            <w:vAlign w:val="bottom"/>
          </w:tcPr>
          <w:p>
            <w:pPr>
              <w:jc w:val="center"/>
              <w:ind w:left="212"/>
              <w:spacing w:after="0"/>
              <w:rPr>
                <w:sz w:val="20"/>
                <w:szCs w:val="20"/>
                <w:color w:val="auto"/>
              </w:rPr>
            </w:pPr>
            <w:r>
              <w:rPr>
                <w:rFonts w:ascii="Arial" w:cs="Arial" w:eastAsia="Arial" w:hAnsi="Arial"/>
                <w:sz w:val="10"/>
                <w:szCs w:val="10"/>
                <w:color w:val="auto"/>
                <w:w w:val="94"/>
              </w:rPr>
              <w:t>-17.5%</w:t>
            </w:r>
          </w:p>
        </w:tc>
        <w:tc>
          <w:tcPr>
            <w:tcW w:w="1300" w:type="dxa"/>
            <w:vAlign w:val="bottom"/>
            <w:tcBorders>
              <w:right w:val="single" w:sz="8" w:color="auto"/>
            </w:tcBorders>
          </w:tcPr>
          <w:p>
            <w:pPr>
              <w:jc w:val="center"/>
              <w:ind w:left="212"/>
              <w:spacing w:after="0"/>
              <w:rPr>
                <w:sz w:val="20"/>
                <w:szCs w:val="20"/>
                <w:color w:val="auto"/>
              </w:rPr>
            </w:pPr>
            <w:r>
              <w:rPr>
                <w:rFonts w:ascii="Arial" w:cs="Arial" w:eastAsia="Arial" w:hAnsi="Arial"/>
                <w:sz w:val="10"/>
                <w:szCs w:val="10"/>
                <w:color w:val="auto"/>
              </w:rPr>
              <w:t>-50.5%</w:t>
            </w:r>
          </w:p>
        </w:tc>
      </w:tr>
      <w:tr>
        <w:trPr>
          <w:trHeight w:val="103"/>
        </w:trPr>
        <w:tc>
          <w:tcPr>
            <w:tcW w:w="510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BCRP instruments</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5"/>
              </w:rPr>
              <w:t>11,772,771</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8"/>
              </w:rPr>
              <w:t>6,854,368</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5,542,892</w:t>
            </w:r>
          </w:p>
        </w:tc>
        <w:tc>
          <w:tcPr>
            <w:tcW w:w="720" w:type="dxa"/>
            <w:vAlign w:val="bottom"/>
          </w:tcPr>
          <w:p>
            <w:pPr>
              <w:jc w:val="center"/>
              <w:ind w:left="212"/>
              <w:spacing w:after="0" w:line="103" w:lineRule="exact"/>
              <w:rPr>
                <w:sz w:val="20"/>
                <w:szCs w:val="20"/>
                <w:color w:val="auto"/>
              </w:rPr>
            </w:pPr>
            <w:r>
              <w:rPr>
                <w:rFonts w:ascii="Arial" w:cs="Arial" w:eastAsia="Arial" w:hAnsi="Arial"/>
                <w:sz w:val="10"/>
                <w:szCs w:val="10"/>
                <w:color w:val="auto"/>
                <w:w w:val="94"/>
              </w:rPr>
              <w:t>-19.1%</w:t>
            </w:r>
          </w:p>
        </w:tc>
        <w:tc>
          <w:tcPr>
            <w:tcW w:w="1300" w:type="dxa"/>
            <w:vAlign w:val="bottom"/>
            <w:tcBorders>
              <w:right w:val="single" w:sz="8" w:color="auto"/>
            </w:tcBorders>
          </w:tcPr>
          <w:p>
            <w:pPr>
              <w:jc w:val="center"/>
              <w:ind w:left="212"/>
              <w:spacing w:after="0" w:line="103" w:lineRule="exact"/>
              <w:rPr>
                <w:sz w:val="20"/>
                <w:szCs w:val="20"/>
                <w:color w:val="auto"/>
              </w:rPr>
            </w:pPr>
            <w:r>
              <w:rPr>
                <w:rFonts w:ascii="Arial" w:cs="Arial" w:eastAsia="Arial" w:hAnsi="Arial"/>
                <w:sz w:val="10"/>
                <w:szCs w:val="10"/>
                <w:color w:val="auto"/>
              </w:rPr>
              <w:t>-52.9%</w:t>
            </w:r>
          </w:p>
        </w:tc>
      </w:tr>
      <w:tr>
        <w:trPr>
          <w:trHeight w:val="125"/>
        </w:trPr>
        <w:tc>
          <w:tcPr>
            <w:tcW w:w="5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Repurchase agreements with third parties</w:t>
            </w:r>
          </w:p>
        </w:tc>
        <w:tc>
          <w:tcPr>
            <w:tcW w:w="1000" w:type="dxa"/>
            <w:vAlign w:val="bottom"/>
          </w:tcPr>
          <w:p>
            <w:pPr>
              <w:jc w:val="center"/>
              <w:spacing w:after="0"/>
              <w:rPr>
                <w:sz w:val="20"/>
                <w:szCs w:val="20"/>
                <w:color w:val="auto"/>
              </w:rPr>
            </w:pPr>
            <w:r>
              <w:rPr>
                <w:rFonts w:ascii="Arial" w:cs="Arial" w:eastAsia="Arial" w:hAnsi="Arial"/>
                <w:sz w:val="10"/>
                <w:szCs w:val="10"/>
                <w:color w:val="auto"/>
                <w:w w:val="99"/>
              </w:rPr>
              <w:t>537,625</w:t>
            </w:r>
          </w:p>
        </w:tc>
        <w:tc>
          <w:tcPr>
            <w:tcW w:w="1000" w:type="dxa"/>
            <w:vAlign w:val="bottom"/>
          </w:tcPr>
          <w:p>
            <w:pPr>
              <w:jc w:val="center"/>
              <w:spacing w:after="0"/>
              <w:rPr>
                <w:sz w:val="20"/>
                <w:szCs w:val="20"/>
                <w:color w:val="auto"/>
              </w:rPr>
            </w:pPr>
            <w:r>
              <w:rPr>
                <w:rFonts w:ascii="Arial" w:cs="Arial" w:eastAsia="Arial" w:hAnsi="Arial"/>
                <w:sz w:val="10"/>
                <w:szCs w:val="10"/>
                <w:color w:val="auto"/>
                <w:w w:val="99"/>
              </w:rPr>
              <w:t>534,427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552,966</w:t>
            </w:r>
          </w:p>
        </w:tc>
        <w:tc>
          <w:tcPr>
            <w:tcW w:w="720" w:type="dxa"/>
            <w:vAlign w:val="bottom"/>
          </w:tcPr>
          <w:p>
            <w:pPr>
              <w:jc w:val="center"/>
              <w:ind w:left="212"/>
              <w:spacing w:after="0"/>
              <w:rPr>
                <w:sz w:val="20"/>
                <w:szCs w:val="20"/>
                <w:color w:val="auto"/>
              </w:rPr>
            </w:pPr>
            <w:r>
              <w:rPr>
                <w:rFonts w:ascii="Arial" w:cs="Arial" w:eastAsia="Arial" w:hAnsi="Arial"/>
                <w:sz w:val="10"/>
                <w:szCs w:val="10"/>
                <w:color w:val="auto"/>
                <w:w w:val="96"/>
              </w:rPr>
              <w:t>3.5%</w:t>
            </w:r>
          </w:p>
        </w:tc>
        <w:tc>
          <w:tcPr>
            <w:tcW w:w="1300" w:type="dxa"/>
            <w:vAlign w:val="bottom"/>
            <w:tcBorders>
              <w:right w:val="single" w:sz="8" w:color="auto"/>
            </w:tcBorders>
          </w:tcPr>
          <w:p>
            <w:pPr>
              <w:jc w:val="center"/>
              <w:ind w:left="232"/>
              <w:spacing w:after="0"/>
              <w:rPr>
                <w:sz w:val="20"/>
                <w:szCs w:val="20"/>
                <w:color w:val="auto"/>
              </w:rPr>
            </w:pPr>
            <w:r>
              <w:rPr>
                <w:rFonts w:ascii="Arial" w:cs="Arial" w:eastAsia="Arial" w:hAnsi="Arial"/>
                <w:sz w:val="10"/>
                <w:szCs w:val="10"/>
                <w:color w:val="auto"/>
                <w:w w:val="96"/>
              </w:rPr>
              <w:t>2.9%</w:t>
            </w:r>
          </w:p>
        </w:tc>
      </w:tr>
      <w:tr>
        <w:trPr>
          <w:trHeight w:val="184"/>
        </w:trPr>
        <w:tc>
          <w:tcPr>
            <w:tcW w:w="5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Due to banks and correspondents</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9,704,721</w:t>
            </w:r>
          </w:p>
        </w:tc>
        <w:tc>
          <w:tcPr>
            <w:tcW w:w="1000" w:type="dxa"/>
            <w:vAlign w:val="bottom"/>
          </w:tcPr>
          <w:p>
            <w:pPr>
              <w:jc w:val="center"/>
              <w:spacing w:after="0"/>
              <w:rPr>
                <w:sz w:val="20"/>
                <w:szCs w:val="20"/>
                <w:color w:val="auto"/>
              </w:rPr>
            </w:pPr>
            <w:r>
              <w:rPr>
                <w:rFonts w:ascii="Arial" w:cs="Arial" w:eastAsia="Arial" w:hAnsi="Arial"/>
                <w:sz w:val="10"/>
                <w:szCs w:val="10"/>
                <w:color w:val="auto"/>
                <w:w w:val="95"/>
              </w:rPr>
              <w:t>10,160,253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5"/>
              </w:rPr>
              <w:t>12,141,299</w:t>
            </w:r>
          </w:p>
        </w:tc>
        <w:tc>
          <w:tcPr>
            <w:tcW w:w="720" w:type="dxa"/>
            <w:vAlign w:val="bottom"/>
          </w:tcPr>
          <w:p>
            <w:pPr>
              <w:jc w:val="center"/>
              <w:ind w:left="212"/>
              <w:spacing w:after="0"/>
              <w:rPr>
                <w:sz w:val="20"/>
                <w:szCs w:val="20"/>
                <w:color w:val="auto"/>
              </w:rPr>
            </w:pPr>
            <w:r>
              <w:rPr>
                <w:rFonts w:ascii="Arial" w:cs="Arial" w:eastAsia="Arial" w:hAnsi="Arial"/>
                <w:sz w:val="10"/>
                <w:szCs w:val="10"/>
                <w:color w:val="auto"/>
                <w:w w:val="91"/>
              </w:rPr>
              <w:t>19.5%</w:t>
            </w:r>
          </w:p>
        </w:tc>
        <w:tc>
          <w:tcPr>
            <w:tcW w:w="1300" w:type="dxa"/>
            <w:vAlign w:val="bottom"/>
            <w:tcBorders>
              <w:right w:val="single" w:sz="8" w:color="auto"/>
            </w:tcBorders>
          </w:tcPr>
          <w:p>
            <w:pPr>
              <w:jc w:val="center"/>
              <w:ind w:left="212"/>
              <w:spacing w:after="0"/>
              <w:rPr>
                <w:sz w:val="20"/>
                <w:szCs w:val="20"/>
                <w:color w:val="auto"/>
              </w:rPr>
            </w:pPr>
            <w:r>
              <w:rPr>
                <w:rFonts w:ascii="Arial" w:cs="Arial" w:eastAsia="Arial" w:hAnsi="Arial"/>
                <w:sz w:val="10"/>
                <w:szCs w:val="10"/>
                <w:color w:val="auto"/>
                <w:w w:val="98"/>
              </w:rPr>
              <w:t>25.1%</w:t>
            </w:r>
          </w:p>
        </w:tc>
      </w:tr>
      <w:tr>
        <w:trPr>
          <w:trHeight w:val="103"/>
        </w:trPr>
        <w:tc>
          <w:tcPr>
            <w:tcW w:w="510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Bonds and notes issued</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5"/>
              </w:rPr>
              <w:t>10,804,531</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5"/>
              </w:rPr>
              <w:t>13,833,480</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5"/>
              </w:rPr>
              <w:t>14,284,148</w:t>
            </w:r>
          </w:p>
        </w:tc>
        <w:tc>
          <w:tcPr>
            <w:tcW w:w="720" w:type="dxa"/>
            <w:vAlign w:val="bottom"/>
          </w:tcPr>
          <w:p>
            <w:pPr>
              <w:jc w:val="center"/>
              <w:ind w:left="212"/>
              <w:spacing w:after="0" w:line="103" w:lineRule="exact"/>
              <w:rPr>
                <w:sz w:val="20"/>
                <w:szCs w:val="20"/>
                <w:color w:val="auto"/>
              </w:rPr>
            </w:pPr>
            <w:r>
              <w:rPr>
                <w:rFonts w:ascii="Arial" w:cs="Arial" w:eastAsia="Arial" w:hAnsi="Arial"/>
                <w:sz w:val="10"/>
                <w:szCs w:val="10"/>
                <w:color w:val="auto"/>
                <w:w w:val="96"/>
              </w:rPr>
              <w:t>3.3%</w:t>
            </w:r>
          </w:p>
        </w:tc>
        <w:tc>
          <w:tcPr>
            <w:tcW w:w="1300" w:type="dxa"/>
            <w:vAlign w:val="bottom"/>
            <w:tcBorders>
              <w:right w:val="single" w:sz="8" w:color="auto"/>
            </w:tcBorders>
          </w:tcPr>
          <w:p>
            <w:pPr>
              <w:jc w:val="center"/>
              <w:ind w:left="212"/>
              <w:spacing w:after="0" w:line="103" w:lineRule="exact"/>
              <w:rPr>
                <w:sz w:val="20"/>
                <w:szCs w:val="20"/>
                <w:color w:val="auto"/>
              </w:rPr>
            </w:pPr>
            <w:r>
              <w:rPr>
                <w:rFonts w:ascii="Arial" w:cs="Arial" w:eastAsia="Arial" w:hAnsi="Arial"/>
                <w:sz w:val="10"/>
                <w:szCs w:val="10"/>
                <w:color w:val="auto"/>
                <w:w w:val="98"/>
              </w:rPr>
              <w:t>32.2%</w:t>
            </w:r>
          </w:p>
        </w:tc>
      </w:tr>
      <w:tr>
        <w:trPr>
          <w:trHeight w:val="103"/>
        </w:trPr>
        <w:tc>
          <w:tcPr>
            <w:tcW w:w="510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Banker’s acceptances outstanding</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9"/>
              </w:rPr>
              <w:t>226,161</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9"/>
              </w:rPr>
              <w:t>322,346</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3"/>
              </w:rPr>
              <w:t>473,382</w:t>
            </w:r>
          </w:p>
        </w:tc>
        <w:tc>
          <w:tcPr>
            <w:tcW w:w="720" w:type="dxa"/>
            <w:vAlign w:val="bottom"/>
          </w:tcPr>
          <w:p>
            <w:pPr>
              <w:jc w:val="center"/>
              <w:ind w:left="212"/>
              <w:spacing w:after="0" w:line="103" w:lineRule="exact"/>
              <w:rPr>
                <w:sz w:val="20"/>
                <w:szCs w:val="20"/>
                <w:color w:val="auto"/>
              </w:rPr>
            </w:pPr>
            <w:r>
              <w:rPr>
                <w:rFonts w:ascii="Arial" w:cs="Arial" w:eastAsia="Arial" w:hAnsi="Arial"/>
                <w:sz w:val="10"/>
                <w:szCs w:val="10"/>
                <w:color w:val="auto"/>
                <w:w w:val="91"/>
              </w:rPr>
              <w:t>46.9%</w:t>
            </w:r>
          </w:p>
        </w:tc>
        <w:tc>
          <w:tcPr>
            <w:tcW w:w="1300" w:type="dxa"/>
            <w:vAlign w:val="bottom"/>
            <w:tcBorders>
              <w:right w:val="single" w:sz="8" w:color="auto"/>
            </w:tcBorders>
          </w:tcPr>
          <w:p>
            <w:pPr>
              <w:jc w:val="center"/>
              <w:ind w:left="212"/>
              <w:spacing w:after="0" w:line="103" w:lineRule="exact"/>
              <w:rPr>
                <w:sz w:val="20"/>
                <w:szCs w:val="20"/>
                <w:color w:val="auto"/>
              </w:rPr>
            </w:pPr>
            <w:r>
              <w:rPr>
                <w:rFonts w:ascii="Arial" w:cs="Arial" w:eastAsia="Arial" w:hAnsi="Arial"/>
                <w:sz w:val="10"/>
                <w:szCs w:val="10"/>
                <w:color w:val="auto"/>
                <w:w w:val="94"/>
              </w:rPr>
              <w:t>109.3%</w:t>
            </w:r>
          </w:p>
        </w:tc>
      </w:tr>
      <w:tr>
        <w:trPr>
          <w:trHeight w:val="97"/>
        </w:trPr>
        <w:tc>
          <w:tcPr>
            <w:tcW w:w="5100" w:type="dxa"/>
            <w:vAlign w:val="bottom"/>
            <w:tcBorders>
              <w:left w:val="single" w:sz="8" w:color="auto"/>
              <w:right w:val="single" w:sz="8" w:color="auto"/>
            </w:tcBorders>
          </w:tcPr>
          <w:p>
            <w:pPr>
              <w:ind w:left="40"/>
              <w:spacing w:after="0" w:line="97" w:lineRule="exact"/>
              <w:rPr>
                <w:sz w:val="20"/>
                <w:szCs w:val="20"/>
                <w:color w:val="auto"/>
              </w:rPr>
            </w:pPr>
            <w:r>
              <w:rPr>
                <w:rFonts w:ascii="Arial" w:cs="Arial" w:eastAsia="Arial" w:hAnsi="Arial"/>
                <w:sz w:val="10"/>
                <w:szCs w:val="10"/>
                <w:color w:val="auto"/>
              </w:rPr>
              <w:t>Financial liabilities at fair value through profit or loss</w:t>
            </w:r>
          </w:p>
        </w:tc>
        <w:tc>
          <w:tcPr>
            <w:tcW w:w="1000" w:type="dxa"/>
            <w:vAlign w:val="bottom"/>
          </w:tcPr>
          <w:p>
            <w:pPr>
              <w:jc w:val="center"/>
              <w:spacing w:after="0" w:line="97" w:lineRule="exact"/>
              <w:rPr>
                <w:sz w:val="20"/>
                <w:szCs w:val="20"/>
                <w:color w:val="auto"/>
              </w:rPr>
            </w:pPr>
            <w:r>
              <w:rPr>
                <w:rFonts w:ascii="Arial" w:cs="Arial" w:eastAsia="Arial" w:hAnsi="Arial"/>
                <w:sz w:val="10"/>
                <w:szCs w:val="10"/>
                <w:color w:val="auto"/>
                <w:w w:val="99"/>
              </w:rPr>
              <w:t>138,339</w:t>
            </w:r>
          </w:p>
        </w:tc>
        <w:tc>
          <w:tcPr>
            <w:tcW w:w="1000" w:type="dxa"/>
            <w:vAlign w:val="bottom"/>
          </w:tcPr>
          <w:p>
            <w:pPr>
              <w:jc w:val="right"/>
              <w:ind w:right="472"/>
              <w:spacing w:after="0" w:line="97" w:lineRule="exact"/>
              <w:rPr>
                <w:sz w:val="20"/>
                <w:szCs w:val="20"/>
                <w:color w:val="auto"/>
              </w:rPr>
            </w:pPr>
            <w:r>
              <w:rPr>
                <w:rFonts w:ascii="Arial" w:cs="Arial" w:eastAsia="Arial" w:hAnsi="Arial"/>
                <w:sz w:val="10"/>
                <w:szCs w:val="10"/>
                <w:color w:val="auto"/>
              </w:rPr>
              <w:t>-</w:t>
            </w:r>
          </w:p>
        </w:tc>
        <w:tc>
          <w:tcPr>
            <w:tcW w:w="104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0"/>
                <w:szCs w:val="10"/>
                <w:color w:val="auto"/>
                <w:w w:val="93"/>
              </w:rPr>
              <w:t>468,746</w:t>
            </w:r>
          </w:p>
        </w:tc>
        <w:tc>
          <w:tcPr>
            <w:tcW w:w="720" w:type="dxa"/>
            <w:vAlign w:val="bottom"/>
          </w:tcPr>
          <w:p>
            <w:pPr>
              <w:jc w:val="center"/>
              <w:ind w:left="212"/>
              <w:spacing w:after="0" w:line="97" w:lineRule="exact"/>
              <w:rPr>
                <w:sz w:val="20"/>
                <w:szCs w:val="20"/>
                <w:color w:val="auto"/>
              </w:rPr>
            </w:pPr>
            <w:r>
              <w:rPr>
                <w:rFonts w:ascii="Arial" w:cs="Arial" w:eastAsia="Arial" w:hAnsi="Arial"/>
                <w:sz w:val="10"/>
                <w:szCs w:val="10"/>
                <w:color w:val="auto"/>
              </w:rPr>
              <w:t>n.a</w:t>
            </w:r>
          </w:p>
        </w:tc>
        <w:tc>
          <w:tcPr>
            <w:tcW w:w="1300" w:type="dxa"/>
            <w:vAlign w:val="bottom"/>
            <w:tcBorders>
              <w:right w:val="single" w:sz="8" w:color="auto"/>
            </w:tcBorders>
          </w:tcPr>
          <w:p>
            <w:pPr>
              <w:jc w:val="center"/>
              <w:ind w:left="212"/>
              <w:spacing w:after="0" w:line="97" w:lineRule="exact"/>
              <w:rPr>
                <w:sz w:val="20"/>
                <w:szCs w:val="20"/>
                <w:color w:val="auto"/>
              </w:rPr>
            </w:pPr>
            <w:r>
              <w:rPr>
                <w:rFonts w:ascii="Arial" w:cs="Arial" w:eastAsia="Arial" w:hAnsi="Arial"/>
                <w:sz w:val="10"/>
                <w:szCs w:val="10"/>
                <w:color w:val="auto"/>
                <w:w w:val="94"/>
              </w:rPr>
              <w:t>238.8%</w:t>
            </w:r>
          </w:p>
        </w:tc>
      </w:tr>
      <w:tr>
        <w:trPr>
          <w:trHeight w:val="107"/>
        </w:trPr>
        <w:tc>
          <w:tcPr>
            <w:tcW w:w="5100" w:type="dxa"/>
            <w:vAlign w:val="bottom"/>
            <w:tcBorders>
              <w:left w:val="single" w:sz="8" w:color="auto"/>
              <w:right w:val="single" w:sz="8" w:color="auto"/>
            </w:tcBorders>
          </w:tcPr>
          <w:p>
            <w:pPr>
              <w:ind w:left="40"/>
              <w:spacing w:after="0" w:line="107" w:lineRule="exact"/>
              <w:rPr>
                <w:sz w:val="20"/>
                <w:szCs w:val="20"/>
                <w:color w:val="auto"/>
              </w:rPr>
            </w:pPr>
            <w:r>
              <w:rPr>
                <w:rFonts w:ascii="Arial" w:cs="Arial" w:eastAsia="Arial" w:hAnsi="Arial"/>
                <w:sz w:val="8"/>
                <w:szCs w:val="8"/>
                <w:color w:val="auto"/>
              </w:rPr>
              <w:t xml:space="preserve">Other liabilities </w:t>
            </w:r>
            <w:r>
              <w:rPr>
                <w:rFonts w:ascii="Arial" w:cs="Arial" w:eastAsia="Arial" w:hAnsi="Arial"/>
                <w:sz w:val="12"/>
                <w:szCs w:val="12"/>
                <w:color w:val="auto"/>
                <w:vertAlign w:val="superscript"/>
              </w:rPr>
              <w:t>(3)</w:t>
            </w:r>
          </w:p>
        </w:tc>
        <w:tc>
          <w:tcPr>
            <w:tcW w:w="1000" w:type="dxa"/>
            <w:vAlign w:val="bottom"/>
          </w:tcPr>
          <w:p>
            <w:pPr>
              <w:jc w:val="center"/>
              <w:spacing w:after="0" w:line="107" w:lineRule="exact"/>
              <w:rPr>
                <w:sz w:val="20"/>
                <w:szCs w:val="20"/>
                <w:color w:val="auto"/>
              </w:rPr>
            </w:pPr>
            <w:r>
              <w:rPr>
                <w:rFonts w:ascii="Arial" w:cs="Arial" w:eastAsia="Arial" w:hAnsi="Arial"/>
                <w:sz w:val="10"/>
                <w:szCs w:val="10"/>
                <w:color w:val="auto"/>
                <w:w w:val="98"/>
              </w:rPr>
              <w:t>5,925,279</w:t>
            </w:r>
          </w:p>
        </w:tc>
        <w:tc>
          <w:tcPr>
            <w:tcW w:w="1000" w:type="dxa"/>
            <w:vAlign w:val="bottom"/>
          </w:tcPr>
          <w:p>
            <w:pPr>
              <w:jc w:val="center"/>
              <w:spacing w:after="0" w:line="107" w:lineRule="exact"/>
              <w:rPr>
                <w:sz w:val="20"/>
                <w:szCs w:val="20"/>
                <w:color w:val="auto"/>
              </w:rPr>
            </w:pPr>
            <w:r>
              <w:rPr>
                <w:rFonts w:ascii="Arial" w:cs="Arial" w:eastAsia="Arial" w:hAnsi="Arial"/>
                <w:sz w:val="10"/>
                <w:szCs w:val="10"/>
                <w:color w:val="auto"/>
                <w:w w:val="98"/>
              </w:rPr>
              <w:t>9,283,873</w:t>
            </w:r>
          </w:p>
        </w:tc>
        <w:tc>
          <w:tcPr>
            <w:tcW w:w="104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0"/>
                <w:szCs w:val="10"/>
                <w:color w:val="auto"/>
                <w:w w:val="94"/>
              </w:rPr>
              <w:t>7,987,914</w:t>
            </w:r>
          </w:p>
        </w:tc>
        <w:tc>
          <w:tcPr>
            <w:tcW w:w="720" w:type="dxa"/>
            <w:vAlign w:val="bottom"/>
          </w:tcPr>
          <w:p>
            <w:pPr>
              <w:jc w:val="center"/>
              <w:ind w:left="212"/>
              <w:spacing w:after="0" w:line="107" w:lineRule="exact"/>
              <w:rPr>
                <w:sz w:val="20"/>
                <w:szCs w:val="20"/>
                <w:color w:val="auto"/>
              </w:rPr>
            </w:pPr>
            <w:r>
              <w:rPr>
                <w:rFonts w:ascii="Arial" w:cs="Arial" w:eastAsia="Arial" w:hAnsi="Arial"/>
                <w:sz w:val="10"/>
                <w:szCs w:val="10"/>
                <w:color w:val="auto"/>
                <w:w w:val="94"/>
              </w:rPr>
              <w:t>-14.0%</w:t>
            </w:r>
          </w:p>
        </w:tc>
        <w:tc>
          <w:tcPr>
            <w:tcW w:w="1300" w:type="dxa"/>
            <w:vAlign w:val="bottom"/>
            <w:tcBorders>
              <w:right w:val="single" w:sz="8" w:color="auto"/>
            </w:tcBorders>
          </w:tcPr>
          <w:p>
            <w:pPr>
              <w:jc w:val="center"/>
              <w:ind w:left="212"/>
              <w:spacing w:after="0" w:line="107" w:lineRule="exact"/>
              <w:rPr>
                <w:sz w:val="20"/>
                <w:szCs w:val="20"/>
                <w:color w:val="auto"/>
              </w:rPr>
            </w:pPr>
            <w:r>
              <w:rPr>
                <w:rFonts w:ascii="Arial" w:cs="Arial" w:eastAsia="Arial" w:hAnsi="Arial"/>
                <w:sz w:val="10"/>
                <w:szCs w:val="10"/>
                <w:color w:val="auto"/>
                <w:w w:val="98"/>
              </w:rPr>
              <w:t>34.8%</w:t>
            </w:r>
          </w:p>
        </w:tc>
      </w:tr>
      <w:tr>
        <w:trPr>
          <w:trHeight w:val="105"/>
        </w:trPr>
        <w:tc>
          <w:tcPr>
            <w:tcW w:w="5100" w:type="dxa"/>
            <w:vAlign w:val="bottom"/>
            <w:tcBorders>
              <w:left w:val="single" w:sz="8" w:color="auto"/>
              <w:right w:val="single" w:sz="8" w:color="auto"/>
            </w:tcBorders>
          </w:tcPr>
          <w:p>
            <w:pPr>
              <w:jc w:val="center"/>
              <w:spacing w:after="0" w:line="105" w:lineRule="exact"/>
              <w:rPr>
                <w:sz w:val="20"/>
                <w:szCs w:val="20"/>
                <w:color w:val="auto"/>
              </w:rPr>
            </w:pPr>
            <w:r>
              <w:rPr>
                <w:rFonts w:ascii="Arial" w:cs="Arial" w:eastAsia="Arial" w:hAnsi="Arial"/>
                <w:sz w:val="10"/>
                <w:szCs w:val="10"/>
                <w:b w:val="1"/>
                <w:bCs w:val="1"/>
                <w:color w:val="auto"/>
                <w:w w:val="96"/>
              </w:rPr>
              <w:t>Total Liabilities</w:t>
            </w:r>
          </w:p>
        </w:tc>
        <w:tc>
          <w:tcPr>
            <w:tcW w:w="100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93"/>
              </w:rPr>
              <w:t>166,668,920</w:t>
            </w:r>
          </w:p>
        </w:tc>
        <w:tc>
          <w:tcPr>
            <w:tcW w:w="100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93"/>
              </w:rPr>
              <w:t>173,945,325</w:t>
            </w:r>
          </w:p>
        </w:tc>
        <w:tc>
          <w:tcPr>
            <w:tcW w:w="104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0"/>
                <w:szCs w:val="10"/>
                <w:b w:val="1"/>
                <w:bCs w:val="1"/>
                <w:color w:val="auto"/>
                <w:w w:val="97"/>
              </w:rPr>
              <w:t>179,030,361</w:t>
            </w:r>
          </w:p>
        </w:tc>
        <w:tc>
          <w:tcPr>
            <w:tcW w:w="720" w:type="dxa"/>
            <w:vAlign w:val="bottom"/>
          </w:tcPr>
          <w:p>
            <w:pPr>
              <w:jc w:val="center"/>
              <w:ind w:left="212"/>
              <w:spacing w:after="0" w:line="105" w:lineRule="exact"/>
              <w:rPr>
                <w:sz w:val="20"/>
                <w:szCs w:val="20"/>
                <w:color w:val="auto"/>
              </w:rPr>
            </w:pPr>
            <w:r>
              <w:rPr>
                <w:rFonts w:ascii="Arial" w:cs="Arial" w:eastAsia="Arial" w:hAnsi="Arial"/>
                <w:sz w:val="10"/>
                <w:szCs w:val="10"/>
                <w:b w:val="1"/>
                <w:bCs w:val="1"/>
                <w:color w:val="auto"/>
                <w:w w:val="96"/>
              </w:rPr>
              <w:t>2.9%</w:t>
            </w:r>
          </w:p>
        </w:tc>
        <w:tc>
          <w:tcPr>
            <w:tcW w:w="1300" w:type="dxa"/>
            <w:vAlign w:val="bottom"/>
            <w:tcBorders>
              <w:right w:val="single" w:sz="8" w:color="auto"/>
            </w:tcBorders>
          </w:tcPr>
          <w:p>
            <w:pPr>
              <w:jc w:val="center"/>
              <w:ind w:left="232"/>
              <w:spacing w:after="0" w:line="105" w:lineRule="exact"/>
              <w:rPr>
                <w:sz w:val="20"/>
                <w:szCs w:val="20"/>
                <w:color w:val="auto"/>
              </w:rPr>
            </w:pPr>
            <w:r>
              <w:rPr>
                <w:rFonts w:ascii="Arial" w:cs="Arial" w:eastAsia="Arial" w:hAnsi="Arial"/>
                <w:sz w:val="10"/>
                <w:szCs w:val="10"/>
                <w:b w:val="1"/>
                <w:bCs w:val="1"/>
                <w:color w:val="auto"/>
                <w:w w:val="96"/>
              </w:rPr>
              <w:t>7.4%</w:t>
            </w:r>
          </w:p>
        </w:tc>
      </w:tr>
      <w:tr>
        <w:trPr>
          <w:trHeight w:val="103"/>
        </w:trPr>
        <w:tc>
          <w:tcPr>
            <w:tcW w:w="510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Net equity</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5"/>
              </w:rPr>
              <w:t>23,226,061</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5"/>
              </w:rPr>
              <w:t>22,315,713</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5"/>
              </w:rPr>
              <w:t>23,624,852</w:t>
            </w:r>
          </w:p>
        </w:tc>
        <w:tc>
          <w:tcPr>
            <w:tcW w:w="720" w:type="dxa"/>
            <w:vAlign w:val="bottom"/>
          </w:tcPr>
          <w:p>
            <w:pPr>
              <w:jc w:val="center"/>
              <w:ind w:left="212"/>
              <w:spacing w:after="0" w:line="103" w:lineRule="exact"/>
              <w:rPr>
                <w:sz w:val="20"/>
                <w:szCs w:val="20"/>
                <w:color w:val="auto"/>
              </w:rPr>
            </w:pPr>
            <w:r>
              <w:rPr>
                <w:rFonts w:ascii="Arial" w:cs="Arial" w:eastAsia="Arial" w:hAnsi="Arial"/>
                <w:sz w:val="10"/>
                <w:szCs w:val="10"/>
                <w:color w:val="auto"/>
                <w:w w:val="96"/>
              </w:rPr>
              <w:t>5.9%</w:t>
            </w:r>
          </w:p>
        </w:tc>
        <w:tc>
          <w:tcPr>
            <w:tcW w:w="1300" w:type="dxa"/>
            <w:vAlign w:val="bottom"/>
            <w:tcBorders>
              <w:right w:val="single" w:sz="8" w:color="auto"/>
            </w:tcBorders>
          </w:tcPr>
          <w:p>
            <w:pPr>
              <w:jc w:val="center"/>
              <w:ind w:left="232"/>
              <w:spacing w:after="0" w:line="103" w:lineRule="exact"/>
              <w:rPr>
                <w:sz w:val="20"/>
                <w:szCs w:val="20"/>
                <w:color w:val="auto"/>
              </w:rPr>
            </w:pPr>
            <w:r>
              <w:rPr>
                <w:rFonts w:ascii="Arial" w:cs="Arial" w:eastAsia="Arial" w:hAnsi="Arial"/>
                <w:sz w:val="10"/>
                <w:szCs w:val="10"/>
                <w:color w:val="auto"/>
                <w:w w:val="96"/>
              </w:rPr>
              <w:t>1.7%</w:t>
            </w:r>
          </w:p>
        </w:tc>
      </w:tr>
      <w:tr>
        <w:trPr>
          <w:trHeight w:val="103"/>
        </w:trPr>
        <w:tc>
          <w:tcPr>
            <w:tcW w:w="5100" w:type="dxa"/>
            <w:vAlign w:val="bottom"/>
            <w:tcBorders>
              <w:left w:val="single" w:sz="8" w:color="auto"/>
              <w:right w:val="single" w:sz="8" w:color="auto"/>
            </w:tcBorders>
          </w:tcPr>
          <w:p>
            <w:pPr>
              <w:ind w:left="120"/>
              <w:spacing w:after="0" w:line="103" w:lineRule="exact"/>
              <w:rPr>
                <w:sz w:val="20"/>
                <w:szCs w:val="20"/>
                <w:color w:val="auto"/>
              </w:rPr>
            </w:pPr>
            <w:r>
              <w:rPr>
                <w:rFonts w:ascii="Arial" w:cs="Arial" w:eastAsia="Arial" w:hAnsi="Arial"/>
                <w:sz w:val="10"/>
                <w:szCs w:val="10"/>
                <w:color w:val="auto"/>
              </w:rPr>
              <w:t>Capital stock</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5"/>
              </w:rPr>
              <w:t>12,679,794</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5"/>
              </w:rPr>
              <w:t>12,679,794</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5"/>
              </w:rPr>
              <w:t>12,679,794</w:t>
            </w:r>
          </w:p>
        </w:tc>
        <w:tc>
          <w:tcPr>
            <w:tcW w:w="720" w:type="dxa"/>
            <w:vAlign w:val="bottom"/>
          </w:tcPr>
          <w:p>
            <w:pPr>
              <w:jc w:val="center"/>
              <w:ind w:left="212"/>
              <w:spacing w:after="0" w:line="103" w:lineRule="exact"/>
              <w:rPr>
                <w:sz w:val="20"/>
                <w:szCs w:val="20"/>
                <w:color w:val="auto"/>
              </w:rPr>
            </w:pPr>
            <w:r>
              <w:rPr>
                <w:rFonts w:ascii="Arial" w:cs="Arial" w:eastAsia="Arial" w:hAnsi="Arial"/>
                <w:sz w:val="10"/>
                <w:szCs w:val="10"/>
                <w:color w:val="auto"/>
                <w:w w:val="96"/>
              </w:rPr>
              <w:t>0.0%</w:t>
            </w:r>
          </w:p>
        </w:tc>
        <w:tc>
          <w:tcPr>
            <w:tcW w:w="1300" w:type="dxa"/>
            <w:vAlign w:val="bottom"/>
            <w:tcBorders>
              <w:right w:val="single" w:sz="8" w:color="auto"/>
            </w:tcBorders>
          </w:tcPr>
          <w:p>
            <w:pPr>
              <w:jc w:val="center"/>
              <w:ind w:left="232"/>
              <w:spacing w:after="0" w:line="103" w:lineRule="exact"/>
              <w:rPr>
                <w:sz w:val="20"/>
                <w:szCs w:val="20"/>
                <w:color w:val="auto"/>
              </w:rPr>
            </w:pPr>
            <w:r>
              <w:rPr>
                <w:rFonts w:ascii="Arial" w:cs="Arial" w:eastAsia="Arial" w:hAnsi="Arial"/>
                <w:sz w:val="10"/>
                <w:szCs w:val="10"/>
                <w:color w:val="auto"/>
                <w:w w:val="96"/>
              </w:rPr>
              <w:t>0.0%</w:t>
            </w:r>
          </w:p>
        </w:tc>
      </w:tr>
      <w:tr>
        <w:trPr>
          <w:trHeight w:val="103"/>
        </w:trPr>
        <w:tc>
          <w:tcPr>
            <w:tcW w:w="510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Reserves</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8"/>
              </w:rPr>
              <w:t>6,820,497</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8"/>
              </w:rPr>
              <w:t>6,372,059</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6,372,468</w:t>
            </w:r>
          </w:p>
        </w:tc>
        <w:tc>
          <w:tcPr>
            <w:tcW w:w="720" w:type="dxa"/>
            <w:vAlign w:val="bottom"/>
          </w:tcPr>
          <w:p>
            <w:pPr>
              <w:jc w:val="center"/>
              <w:ind w:left="212"/>
              <w:spacing w:after="0" w:line="103" w:lineRule="exact"/>
              <w:rPr>
                <w:sz w:val="20"/>
                <w:szCs w:val="20"/>
                <w:color w:val="auto"/>
              </w:rPr>
            </w:pPr>
            <w:r>
              <w:rPr>
                <w:rFonts w:ascii="Arial" w:cs="Arial" w:eastAsia="Arial" w:hAnsi="Arial"/>
                <w:sz w:val="10"/>
                <w:szCs w:val="10"/>
                <w:color w:val="auto"/>
                <w:w w:val="96"/>
              </w:rPr>
              <w:t>0.0%</w:t>
            </w:r>
          </w:p>
        </w:tc>
        <w:tc>
          <w:tcPr>
            <w:tcW w:w="1300" w:type="dxa"/>
            <w:vAlign w:val="bottom"/>
            <w:tcBorders>
              <w:right w:val="single" w:sz="8" w:color="auto"/>
            </w:tcBorders>
          </w:tcPr>
          <w:p>
            <w:pPr>
              <w:jc w:val="center"/>
              <w:ind w:left="212"/>
              <w:spacing w:after="0" w:line="103" w:lineRule="exact"/>
              <w:rPr>
                <w:sz w:val="20"/>
                <w:szCs w:val="20"/>
                <w:color w:val="auto"/>
              </w:rPr>
            </w:pPr>
            <w:r>
              <w:rPr>
                <w:rFonts w:ascii="Arial" w:cs="Arial" w:eastAsia="Arial" w:hAnsi="Arial"/>
                <w:sz w:val="10"/>
                <w:szCs w:val="10"/>
                <w:color w:val="auto"/>
                <w:w w:val="91"/>
              </w:rPr>
              <w:t>-6.6%</w:t>
            </w:r>
          </w:p>
        </w:tc>
      </w:tr>
      <w:tr>
        <w:trPr>
          <w:trHeight w:val="103"/>
        </w:trPr>
        <w:tc>
          <w:tcPr>
            <w:tcW w:w="5100" w:type="dxa"/>
            <w:vAlign w:val="bottom"/>
            <w:tcBorders>
              <w:left w:val="single" w:sz="8" w:color="auto"/>
              <w:right w:val="single" w:sz="8" w:color="auto"/>
            </w:tcBorders>
          </w:tcPr>
          <w:p>
            <w:pPr>
              <w:ind w:left="120"/>
              <w:spacing w:after="0" w:line="103" w:lineRule="exact"/>
              <w:rPr>
                <w:sz w:val="20"/>
                <w:szCs w:val="20"/>
                <w:color w:val="auto"/>
              </w:rPr>
            </w:pPr>
            <w:r>
              <w:rPr>
                <w:rFonts w:ascii="Arial" w:cs="Arial" w:eastAsia="Arial" w:hAnsi="Arial"/>
                <w:sz w:val="10"/>
                <w:szCs w:val="10"/>
                <w:color w:val="auto"/>
              </w:rPr>
              <w:t>Unrealized gains and losses</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3"/>
              </w:rPr>
              <w:t>(274,021)</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3"/>
              </w:rPr>
              <w:t>(159,740)</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1"/>
              </w:rPr>
              <w:t>(95,961)</w:t>
            </w:r>
          </w:p>
        </w:tc>
        <w:tc>
          <w:tcPr>
            <w:tcW w:w="720" w:type="dxa"/>
            <w:vAlign w:val="bottom"/>
          </w:tcPr>
          <w:p>
            <w:pPr>
              <w:jc w:val="center"/>
              <w:ind w:left="212"/>
              <w:spacing w:after="0" w:line="103" w:lineRule="exact"/>
              <w:rPr>
                <w:sz w:val="20"/>
                <w:szCs w:val="20"/>
                <w:color w:val="auto"/>
              </w:rPr>
            </w:pPr>
            <w:r>
              <w:rPr>
                <w:rFonts w:ascii="Arial" w:cs="Arial" w:eastAsia="Arial" w:hAnsi="Arial"/>
                <w:sz w:val="10"/>
                <w:szCs w:val="10"/>
                <w:color w:val="auto"/>
                <w:w w:val="94"/>
              </w:rPr>
              <w:t>-39.9%</w:t>
            </w:r>
          </w:p>
        </w:tc>
        <w:tc>
          <w:tcPr>
            <w:tcW w:w="1300" w:type="dxa"/>
            <w:vAlign w:val="bottom"/>
            <w:tcBorders>
              <w:right w:val="single" w:sz="8" w:color="auto"/>
            </w:tcBorders>
          </w:tcPr>
          <w:p>
            <w:pPr>
              <w:jc w:val="center"/>
              <w:ind w:left="212"/>
              <w:spacing w:after="0" w:line="103" w:lineRule="exact"/>
              <w:rPr>
                <w:sz w:val="20"/>
                <w:szCs w:val="20"/>
                <w:color w:val="auto"/>
              </w:rPr>
            </w:pPr>
            <w:r>
              <w:rPr>
                <w:rFonts w:ascii="Arial" w:cs="Arial" w:eastAsia="Arial" w:hAnsi="Arial"/>
                <w:sz w:val="10"/>
                <w:szCs w:val="10"/>
                <w:color w:val="auto"/>
              </w:rPr>
              <w:t>-65.0%</w:t>
            </w:r>
          </w:p>
        </w:tc>
      </w:tr>
      <w:tr>
        <w:trPr>
          <w:trHeight w:val="125"/>
        </w:trPr>
        <w:tc>
          <w:tcPr>
            <w:tcW w:w="51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0"/>
                <w:szCs w:val="10"/>
                <w:color w:val="auto"/>
              </w:rPr>
              <w:t>Retained earnings</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3,999,791</w:t>
            </w:r>
          </w:p>
        </w:tc>
        <w:tc>
          <w:tcPr>
            <w:tcW w:w="1000" w:type="dxa"/>
            <w:vAlign w:val="bottom"/>
          </w:tcPr>
          <w:p>
            <w:pPr>
              <w:jc w:val="center"/>
              <w:spacing w:after="0"/>
              <w:rPr>
                <w:sz w:val="20"/>
                <w:szCs w:val="20"/>
                <w:color w:val="auto"/>
              </w:rPr>
            </w:pPr>
            <w:r>
              <w:rPr>
                <w:rFonts w:ascii="Arial" w:cs="Arial" w:eastAsia="Arial" w:hAnsi="Arial"/>
                <w:sz w:val="10"/>
                <w:szCs w:val="10"/>
                <w:color w:val="auto"/>
                <w:w w:val="98"/>
              </w:rPr>
              <w:t>3,423,600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4"/>
              </w:rPr>
              <w:t>4,668,551</w:t>
            </w:r>
          </w:p>
        </w:tc>
        <w:tc>
          <w:tcPr>
            <w:tcW w:w="720" w:type="dxa"/>
            <w:vAlign w:val="bottom"/>
          </w:tcPr>
          <w:p>
            <w:pPr>
              <w:jc w:val="center"/>
              <w:ind w:left="212"/>
              <w:spacing w:after="0"/>
              <w:rPr>
                <w:sz w:val="20"/>
                <w:szCs w:val="20"/>
                <w:color w:val="auto"/>
              </w:rPr>
            </w:pPr>
            <w:r>
              <w:rPr>
                <w:rFonts w:ascii="Arial" w:cs="Arial" w:eastAsia="Arial" w:hAnsi="Arial"/>
                <w:sz w:val="10"/>
                <w:szCs w:val="10"/>
                <w:color w:val="auto"/>
                <w:w w:val="91"/>
              </w:rPr>
              <w:t>36.4%</w:t>
            </w:r>
          </w:p>
        </w:tc>
        <w:tc>
          <w:tcPr>
            <w:tcW w:w="1300" w:type="dxa"/>
            <w:vAlign w:val="bottom"/>
            <w:tcBorders>
              <w:right w:val="single" w:sz="8" w:color="auto"/>
            </w:tcBorders>
          </w:tcPr>
          <w:p>
            <w:pPr>
              <w:jc w:val="center"/>
              <w:ind w:left="212"/>
              <w:spacing w:after="0"/>
              <w:rPr>
                <w:sz w:val="20"/>
                <w:szCs w:val="20"/>
                <w:color w:val="auto"/>
              </w:rPr>
            </w:pPr>
            <w:r>
              <w:rPr>
                <w:rFonts w:ascii="Arial" w:cs="Arial" w:eastAsia="Arial" w:hAnsi="Arial"/>
                <w:sz w:val="10"/>
                <w:szCs w:val="10"/>
                <w:color w:val="auto"/>
                <w:w w:val="98"/>
              </w:rPr>
              <w:t>16.7%</w:t>
            </w:r>
          </w:p>
        </w:tc>
      </w:tr>
      <w:tr>
        <w:trPr>
          <w:trHeight w:val="206"/>
        </w:trPr>
        <w:tc>
          <w:tcPr>
            <w:tcW w:w="5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Non-controlling interest</w:t>
            </w:r>
          </w:p>
        </w:tc>
        <w:tc>
          <w:tcPr>
            <w:tcW w:w="1000" w:type="dxa"/>
            <w:vAlign w:val="bottom"/>
          </w:tcPr>
          <w:p>
            <w:pPr>
              <w:jc w:val="center"/>
              <w:spacing w:after="0"/>
              <w:rPr>
                <w:sz w:val="20"/>
                <w:szCs w:val="20"/>
                <w:color w:val="auto"/>
              </w:rPr>
            </w:pPr>
            <w:r>
              <w:rPr>
                <w:rFonts w:ascii="Arial" w:cs="Arial" w:eastAsia="Arial" w:hAnsi="Arial"/>
                <w:sz w:val="10"/>
                <w:szCs w:val="10"/>
                <w:color w:val="auto"/>
                <w:w w:val="93"/>
              </w:rPr>
              <w:t>155,118</w:t>
            </w:r>
          </w:p>
        </w:tc>
        <w:tc>
          <w:tcPr>
            <w:tcW w:w="1000" w:type="dxa"/>
            <w:vAlign w:val="bottom"/>
          </w:tcPr>
          <w:p>
            <w:pPr>
              <w:jc w:val="center"/>
              <w:spacing w:after="0"/>
              <w:rPr>
                <w:sz w:val="20"/>
                <w:szCs w:val="20"/>
                <w:color w:val="auto"/>
              </w:rPr>
            </w:pPr>
            <w:r>
              <w:rPr>
                <w:rFonts w:ascii="Arial" w:cs="Arial" w:eastAsia="Arial" w:hAnsi="Arial"/>
                <w:sz w:val="10"/>
                <w:szCs w:val="10"/>
                <w:color w:val="auto"/>
                <w:w w:val="99"/>
              </w:rPr>
              <w:t>142,441</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3"/>
              </w:rPr>
              <w:t>144,451</w:t>
            </w:r>
          </w:p>
        </w:tc>
        <w:tc>
          <w:tcPr>
            <w:tcW w:w="720" w:type="dxa"/>
            <w:vAlign w:val="bottom"/>
          </w:tcPr>
          <w:p>
            <w:pPr>
              <w:jc w:val="center"/>
              <w:ind w:left="212"/>
              <w:spacing w:after="0"/>
              <w:rPr>
                <w:sz w:val="20"/>
                <w:szCs w:val="20"/>
                <w:color w:val="auto"/>
              </w:rPr>
            </w:pPr>
            <w:r>
              <w:rPr>
                <w:rFonts w:ascii="Arial" w:cs="Arial" w:eastAsia="Arial" w:hAnsi="Arial"/>
                <w:sz w:val="10"/>
                <w:szCs w:val="10"/>
                <w:color w:val="auto"/>
                <w:w w:val="96"/>
              </w:rPr>
              <w:t>1.4%</w:t>
            </w:r>
          </w:p>
        </w:tc>
        <w:tc>
          <w:tcPr>
            <w:tcW w:w="1300" w:type="dxa"/>
            <w:vAlign w:val="bottom"/>
            <w:tcBorders>
              <w:right w:val="single" w:sz="8" w:color="auto"/>
            </w:tcBorders>
          </w:tcPr>
          <w:p>
            <w:pPr>
              <w:jc w:val="center"/>
              <w:ind w:left="212"/>
              <w:spacing w:after="0"/>
              <w:rPr>
                <w:sz w:val="20"/>
                <w:szCs w:val="20"/>
                <w:color w:val="auto"/>
              </w:rPr>
            </w:pPr>
            <w:r>
              <w:rPr>
                <w:rFonts w:ascii="Arial" w:cs="Arial" w:eastAsia="Arial" w:hAnsi="Arial"/>
                <w:sz w:val="10"/>
                <w:szCs w:val="10"/>
                <w:color w:val="auto"/>
                <w:w w:val="91"/>
              </w:rPr>
              <w:t>-6.9%</w:t>
            </w:r>
          </w:p>
        </w:tc>
      </w:tr>
      <w:tr>
        <w:trPr>
          <w:trHeight w:val="210"/>
        </w:trPr>
        <w:tc>
          <w:tcPr>
            <w:tcW w:w="5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Total Net Equity</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5"/>
              </w:rPr>
              <w:t>23,381,179</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5"/>
              </w:rPr>
              <w:t>22,458,154</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23,769,303</w:t>
            </w:r>
          </w:p>
        </w:tc>
        <w:tc>
          <w:tcPr>
            <w:tcW w:w="720" w:type="dxa"/>
            <w:vAlign w:val="bottom"/>
          </w:tcPr>
          <w:p>
            <w:pPr>
              <w:jc w:val="center"/>
              <w:ind w:left="212"/>
              <w:spacing w:after="0"/>
              <w:rPr>
                <w:sz w:val="20"/>
                <w:szCs w:val="20"/>
                <w:color w:val="auto"/>
              </w:rPr>
            </w:pPr>
            <w:r>
              <w:rPr>
                <w:rFonts w:ascii="Arial" w:cs="Arial" w:eastAsia="Arial" w:hAnsi="Arial"/>
                <w:sz w:val="10"/>
                <w:szCs w:val="10"/>
                <w:b w:val="1"/>
                <w:bCs w:val="1"/>
                <w:color w:val="auto"/>
                <w:w w:val="96"/>
              </w:rPr>
              <w:t>5.8%</w:t>
            </w:r>
          </w:p>
        </w:tc>
        <w:tc>
          <w:tcPr>
            <w:tcW w:w="1300" w:type="dxa"/>
            <w:vAlign w:val="bottom"/>
            <w:tcBorders>
              <w:right w:val="single" w:sz="8" w:color="auto"/>
            </w:tcBorders>
          </w:tcPr>
          <w:p>
            <w:pPr>
              <w:jc w:val="center"/>
              <w:ind w:left="232"/>
              <w:spacing w:after="0"/>
              <w:rPr>
                <w:sz w:val="20"/>
                <w:szCs w:val="20"/>
                <w:color w:val="auto"/>
              </w:rPr>
            </w:pPr>
            <w:r>
              <w:rPr>
                <w:rFonts w:ascii="Arial" w:cs="Arial" w:eastAsia="Arial" w:hAnsi="Arial"/>
                <w:sz w:val="10"/>
                <w:szCs w:val="10"/>
                <w:b w:val="1"/>
                <w:bCs w:val="1"/>
                <w:color w:val="auto"/>
                <w:w w:val="96"/>
              </w:rPr>
              <w:t>1.7%</w:t>
            </w:r>
          </w:p>
        </w:tc>
      </w:tr>
      <w:tr>
        <w:trPr>
          <w:trHeight w:val="206"/>
        </w:trPr>
        <w:tc>
          <w:tcPr>
            <w:tcW w:w="5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b w:val="1"/>
                <w:bCs w:val="1"/>
                <w:color w:val="auto"/>
              </w:rPr>
              <w:t>Total liabilities and equity</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3"/>
              </w:rPr>
              <w:t>190,050,099</w:t>
            </w: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93"/>
              </w:rPr>
              <w:t>196,403,479</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202,799,664</w:t>
            </w:r>
          </w:p>
        </w:tc>
        <w:tc>
          <w:tcPr>
            <w:tcW w:w="720" w:type="dxa"/>
            <w:vAlign w:val="bottom"/>
          </w:tcPr>
          <w:p>
            <w:pPr>
              <w:jc w:val="center"/>
              <w:ind w:left="212"/>
              <w:spacing w:after="0"/>
              <w:rPr>
                <w:sz w:val="20"/>
                <w:szCs w:val="20"/>
                <w:color w:val="auto"/>
              </w:rPr>
            </w:pPr>
            <w:r>
              <w:rPr>
                <w:rFonts w:ascii="Arial" w:cs="Arial" w:eastAsia="Arial" w:hAnsi="Arial"/>
                <w:sz w:val="10"/>
                <w:szCs w:val="10"/>
                <w:b w:val="1"/>
                <w:bCs w:val="1"/>
                <w:color w:val="auto"/>
                <w:w w:val="96"/>
              </w:rPr>
              <w:t>3.3%</w:t>
            </w:r>
          </w:p>
        </w:tc>
        <w:tc>
          <w:tcPr>
            <w:tcW w:w="1300" w:type="dxa"/>
            <w:vAlign w:val="bottom"/>
            <w:tcBorders>
              <w:right w:val="single" w:sz="8" w:color="auto"/>
            </w:tcBorders>
          </w:tcPr>
          <w:p>
            <w:pPr>
              <w:jc w:val="center"/>
              <w:ind w:left="232"/>
              <w:spacing w:after="0"/>
              <w:rPr>
                <w:sz w:val="20"/>
                <w:szCs w:val="20"/>
                <w:color w:val="auto"/>
              </w:rPr>
            </w:pPr>
            <w:r>
              <w:rPr>
                <w:rFonts w:ascii="Arial" w:cs="Arial" w:eastAsia="Arial" w:hAnsi="Arial"/>
                <w:sz w:val="10"/>
                <w:szCs w:val="10"/>
                <w:b w:val="1"/>
                <w:bCs w:val="1"/>
                <w:color w:val="auto"/>
                <w:w w:val="96"/>
              </w:rPr>
              <w:t>6.7%</w:t>
            </w:r>
          </w:p>
        </w:tc>
      </w:tr>
      <w:tr>
        <w:trPr>
          <w:trHeight w:val="180"/>
        </w:trPr>
        <w:tc>
          <w:tcPr>
            <w:tcW w:w="51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b w:val="1"/>
                <w:bCs w:val="1"/>
                <w:color w:val="auto"/>
              </w:rPr>
              <w:t>Off-balance sheet</w:t>
            </w:r>
          </w:p>
        </w:tc>
        <w:tc>
          <w:tcPr>
            <w:tcW w:w="1000" w:type="dxa"/>
            <w:vAlign w:val="bottom"/>
          </w:tcPr>
          <w:p>
            <w:pPr>
              <w:jc w:val="center"/>
              <w:spacing w:after="0"/>
              <w:rPr>
                <w:sz w:val="20"/>
                <w:szCs w:val="20"/>
                <w:color w:val="auto"/>
              </w:rPr>
            </w:pPr>
            <w:r>
              <w:rPr>
                <w:rFonts w:ascii="Arial" w:cs="Arial" w:eastAsia="Arial" w:hAnsi="Arial"/>
                <w:sz w:val="10"/>
                <w:szCs w:val="10"/>
                <w:color w:val="auto"/>
                <w:w w:val="93"/>
              </w:rPr>
              <w:t>142,443,947</w:t>
            </w:r>
          </w:p>
        </w:tc>
        <w:tc>
          <w:tcPr>
            <w:tcW w:w="1000" w:type="dxa"/>
            <w:vAlign w:val="bottom"/>
          </w:tcPr>
          <w:p>
            <w:pPr>
              <w:jc w:val="center"/>
              <w:spacing w:after="0"/>
              <w:rPr>
                <w:sz w:val="20"/>
                <w:szCs w:val="20"/>
                <w:color w:val="auto"/>
              </w:rPr>
            </w:pPr>
            <w:r>
              <w:rPr>
                <w:rFonts w:ascii="Arial" w:cs="Arial" w:eastAsia="Arial" w:hAnsi="Arial"/>
                <w:sz w:val="10"/>
                <w:szCs w:val="10"/>
                <w:color w:val="auto"/>
                <w:w w:val="93"/>
              </w:rPr>
              <w:t>151,042,451</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7"/>
              </w:rPr>
              <w:t>152,205,005</w:t>
            </w:r>
          </w:p>
        </w:tc>
        <w:tc>
          <w:tcPr>
            <w:tcW w:w="720" w:type="dxa"/>
            <w:vAlign w:val="bottom"/>
          </w:tcPr>
          <w:p>
            <w:pPr>
              <w:jc w:val="center"/>
              <w:ind w:left="212"/>
              <w:spacing w:after="0"/>
              <w:rPr>
                <w:sz w:val="20"/>
                <w:szCs w:val="20"/>
                <w:color w:val="auto"/>
              </w:rPr>
            </w:pPr>
            <w:r>
              <w:rPr>
                <w:rFonts w:ascii="Arial" w:cs="Arial" w:eastAsia="Arial" w:hAnsi="Arial"/>
                <w:sz w:val="10"/>
                <w:szCs w:val="10"/>
                <w:color w:val="auto"/>
                <w:w w:val="96"/>
              </w:rPr>
              <w:t>0.8%</w:t>
            </w:r>
          </w:p>
        </w:tc>
        <w:tc>
          <w:tcPr>
            <w:tcW w:w="1300" w:type="dxa"/>
            <w:vAlign w:val="bottom"/>
            <w:tcBorders>
              <w:right w:val="single" w:sz="8" w:color="auto"/>
            </w:tcBorders>
          </w:tcPr>
          <w:p>
            <w:pPr>
              <w:jc w:val="center"/>
              <w:ind w:left="232"/>
              <w:spacing w:after="0"/>
              <w:rPr>
                <w:sz w:val="20"/>
                <w:szCs w:val="20"/>
                <w:color w:val="auto"/>
              </w:rPr>
            </w:pPr>
            <w:r>
              <w:rPr>
                <w:rFonts w:ascii="Arial" w:cs="Arial" w:eastAsia="Arial" w:hAnsi="Arial"/>
                <w:sz w:val="10"/>
                <w:szCs w:val="10"/>
                <w:color w:val="auto"/>
                <w:w w:val="96"/>
              </w:rPr>
              <w:t>6.9%</w:t>
            </w:r>
          </w:p>
        </w:tc>
      </w:tr>
      <w:tr>
        <w:trPr>
          <w:trHeight w:val="103"/>
        </w:trPr>
        <w:tc>
          <w:tcPr>
            <w:tcW w:w="510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Total performance bonds, stand-by and L/Cs.</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5"/>
              </w:rPr>
              <w:t>17,955,475</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5"/>
              </w:rPr>
              <w:t>19,720,490</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5"/>
              </w:rPr>
              <w:t>20,008,285</w:t>
            </w:r>
          </w:p>
        </w:tc>
        <w:tc>
          <w:tcPr>
            <w:tcW w:w="720" w:type="dxa"/>
            <w:vAlign w:val="bottom"/>
          </w:tcPr>
          <w:p>
            <w:pPr>
              <w:jc w:val="center"/>
              <w:ind w:left="212"/>
              <w:spacing w:after="0" w:line="103" w:lineRule="exact"/>
              <w:rPr>
                <w:sz w:val="20"/>
                <w:szCs w:val="20"/>
                <w:color w:val="auto"/>
              </w:rPr>
            </w:pPr>
            <w:r>
              <w:rPr>
                <w:rFonts w:ascii="Arial" w:cs="Arial" w:eastAsia="Arial" w:hAnsi="Arial"/>
                <w:sz w:val="10"/>
                <w:szCs w:val="10"/>
                <w:color w:val="auto"/>
                <w:w w:val="96"/>
              </w:rPr>
              <w:t>1.5%</w:t>
            </w:r>
          </w:p>
        </w:tc>
        <w:tc>
          <w:tcPr>
            <w:tcW w:w="1300" w:type="dxa"/>
            <w:vAlign w:val="bottom"/>
            <w:tcBorders>
              <w:right w:val="single" w:sz="8" w:color="auto"/>
            </w:tcBorders>
          </w:tcPr>
          <w:p>
            <w:pPr>
              <w:jc w:val="center"/>
              <w:ind w:left="212"/>
              <w:spacing w:after="0" w:line="103" w:lineRule="exact"/>
              <w:rPr>
                <w:sz w:val="20"/>
                <w:szCs w:val="20"/>
                <w:color w:val="auto"/>
              </w:rPr>
            </w:pPr>
            <w:r>
              <w:rPr>
                <w:rFonts w:ascii="Arial" w:cs="Arial" w:eastAsia="Arial" w:hAnsi="Arial"/>
                <w:sz w:val="10"/>
                <w:szCs w:val="10"/>
                <w:color w:val="auto"/>
                <w:w w:val="98"/>
              </w:rPr>
              <w:t>11.4%</w:t>
            </w:r>
          </w:p>
        </w:tc>
      </w:tr>
      <w:tr>
        <w:trPr>
          <w:trHeight w:val="103"/>
        </w:trPr>
        <w:tc>
          <w:tcPr>
            <w:tcW w:w="510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Undrawn credit lines, advised but not committed</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5"/>
              </w:rPr>
              <w:t>76,331,482</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5"/>
              </w:rPr>
              <w:t>78,799,124</w:t>
            </w:r>
          </w:p>
        </w:tc>
        <w:tc>
          <w:tcPr>
            <w:tcW w:w="104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5"/>
              </w:rPr>
              <w:t>79,567,802</w:t>
            </w:r>
          </w:p>
        </w:tc>
        <w:tc>
          <w:tcPr>
            <w:tcW w:w="720" w:type="dxa"/>
            <w:vAlign w:val="bottom"/>
          </w:tcPr>
          <w:p>
            <w:pPr>
              <w:jc w:val="center"/>
              <w:ind w:left="212"/>
              <w:spacing w:after="0" w:line="103" w:lineRule="exact"/>
              <w:rPr>
                <w:sz w:val="20"/>
                <w:szCs w:val="20"/>
                <w:color w:val="auto"/>
              </w:rPr>
            </w:pPr>
            <w:r>
              <w:rPr>
                <w:rFonts w:ascii="Arial" w:cs="Arial" w:eastAsia="Arial" w:hAnsi="Arial"/>
                <w:sz w:val="10"/>
                <w:szCs w:val="10"/>
                <w:color w:val="auto"/>
                <w:w w:val="96"/>
              </w:rPr>
              <w:t>1.0%</w:t>
            </w:r>
          </w:p>
        </w:tc>
        <w:tc>
          <w:tcPr>
            <w:tcW w:w="1300" w:type="dxa"/>
            <w:vAlign w:val="bottom"/>
            <w:tcBorders>
              <w:right w:val="single" w:sz="8" w:color="auto"/>
            </w:tcBorders>
          </w:tcPr>
          <w:p>
            <w:pPr>
              <w:jc w:val="center"/>
              <w:ind w:left="232"/>
              <w:spacing w:after="0" w:line="103" w:lineRule="exact"/>
              <w:rPr>
                <w:sz w:val="20"/>
                <w:szCs w:val="20"/>
                <w:color w:val="auto"/>
              </w:rPr>
            </w:pPr>
            <w:r>
              <w:rPr>
                <w:rFonts w:ascii="Arial" w:cs="Arial" w:eastAsia="Arial" w:hAnsi="Arial"/>
                <w:sz w:val="10"/>
                <w:szCs w:val="10"/>
                <w:color w:val="auto"/>
                <w:w w:val="96"/>
              </w:rPr>
              <w:t>4.2%</w:t>
            </w:r>
          </w:p>
        </w:tc>
      </w:tr>
      <w:tr>
        <w:trPr>
          <w:trHeight w:val="115"/>
        </w:trPr>
        <w:tc>
          <w:tcPr>
            <w:tcW w:w="51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Total derivatives (notional) and others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48,156,990</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52,522,837</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5"/>
              </w:rPr>
              <w:t>52,628,918</w:t>
            </w:r>
          </w:p>
        </w:tc>
        <w:tc>
          <w:tcPr>
            <w:tcW w:w="720" w:type="dxa"/>
            <w:vAlign w:val="bottom"/>
            <w:tcBorders>
              <w:bottom w:val="single" w:sz="8" w:color="auto"/>
            </w:tcBorders>
          </w:tcPr>
          <w:p>
            <w:pPr>
              <w:jc w:val="center"/>
              <w:ind w:left="212"/>
              <w:spacing w:after="0"/>
              <w:rPr>
                <w:sz w:val="20"/>
                <w:szCs w:val="20"/>
                <w:color w:val="auto"/>
              </w:rPr>
            </w:pPr>
            <w:r>
              <w:rPr>
                <w:rFonts w:ascii="Arial" w:cs="Arial" w:eastAsia="Arial" w:hAnsi="Arial"/>
                <w:sz w:val="10"/>
                <w:szCs w:val="10"/>
                <w:color w:val="auto"/>
                <w:w w:val="96"/>
              </w:rPr>
              <w:t>0.2%</w:t>
            </w:r>
          </w:p>
        </w:tc>
        <w:tc>
          <w:tcPr>
            <w:tcW w:w="1300" w:type="dxa"/>
            <w:vAlign w:val="bottom"/>
            <w:tcBorders>
              <w:bottom w:val="single" w:sz="8" w:color="auto"/>
              <w:right w:val="single" w:sz="8" w:color="auto"/>
            </w:tcBorders>
          </w:tcPr>
          <w:p>
            <w:pPr>
              <w:jc w:val="center"/>
              <w:ind w:left="232"/>
              <w:spacing w:after="0"/>
              <w:rPr>
                <w:sz w:val="20"/>
                <w:szCs w:val="20"/>
                <w:color w:val="auto"/>
              </w:rPr>
            </w:pPr>
            <w:r>
              <w:rPr>
                <w:rFonts w:ascii="Arial" w:cs="Arial" w:eastAsia="Arial" w:hAnsi="Arial"/>
                <w:sz w:val="10"/>
                <w:szCs w:val="10"/>
                <w:color w:val="auto"/>
                <w:w w:val="96"/>
              </w:rPr>
              <w:t>9.3%</w:t>
            </w:r>
          </w:p>
        </w:tc>
      </w:tr>
    </w:tbl>
    <w:p>
      <w:pPr>
        <w:spacing w:after="0" w:line="148" w:lineRule="exact"/>
        <w:rPr>
          <w:sz w:val="20"/>
          <w:szCs w:val="20"/>
          <w:color w:val="auto"/>
        </w:rPr>
      </w:pPr>
    </w:p>
    <w:p>
      <w:pPr>
        <w:ind w:left="700" w:hanging="135"/>
        <w:spacing w:after="0"/>
        <w:tabs>
          <w:tab w:leader="none" w:pos="700" w:val="left"/>
        </w:tabs>
        <w:numPr>
          <w:ilvl w:val="0"/>
          <w:numId w:val="53"/>
        </w:numPr>
        <w:rPr>
          <w:rFonts w:ascii="Arial" w:cs="Arial" w:eastAsia="Arial" w:hAnsi="Arial"/>
          <w:sz w:val="10"/>
          <w:szCs w:val="10"/>
          <w:color w:val="auto"/>
        </w:rPr>
      </w:pPr>
      <w:r>
        <w:rPr>
          <w:rFonts w:ascii="Arial" w:cs="Arial" w:eastAsia="Arial" w:hAnsi="Arial"/>
          <w:sz w:val="10"/>
          <w:szCs w:val="10"/>
          <w:color w:val="auto"/>
        </w:rPr>
        <w:t>Right of use asset of lease contracts is included by application of IFRS 16.</w:t>
      </w:r>
    </w:p>
    <w:p>
      <w:pPr>
        <w:ind w:left="700" w:hanging="135"/>
        <w:spacing w:after="0" w:line="214" w:lineRule="auto"/>
        <w:tabs>
          <w:tab w:leader="none" w:pos="700" w:val="left"/>
        </w:tabs>
        <w:numPr>
          <w:ilvl w:val="0"/>
          <w:numId w:val="53"/>
        </w:numPr>
        <w:rPr>
          <w:rFonts w:ascii="Arial" w:cs="Arial" w:eastAsia="Arial" w:hAnsi="Arial"/>
          <w:sz w:val="10"/>
          <w:szCs w:val="10"/>
          <w:color w:val="auto"/>
        </w:rPr>
      </w:pPr>
      <w:r>
        <w:rPr>
          <w:rFonts w:ascii="Arial" w:cs="Arial" w:eastAsia="Arial" w:hAnsi="Arial"/>
          <w:sz w:val="10"/>
          <w:szCs w:val="10"/>
          <w:color w:val="auto"/>
        </w:rPr>
        <w:t>Mainly includes intangible assets, other accounts receivable and tax credit.</w:t>
      </w:r>
    </w:p>
    <w:p>
      <w:pPr>
        <w:ind w:left="700" w:hanging="135"/>
        <w:spacing w:after="0"/>
        <w:tabs>
          <w:tab w:leader="none" w:pos="700" w:val="left"/>
        </w:tabs>
        <w:numPr>
          <w:ilvl w:val="0"/>
          <w:numId w:val="53"/>
        </w:numPr>
        <w:rPr>
          <w:rFonts w:ascii="Arial" w:cs="Arial" w:eastAsia="Arial" w:hAnsi="Arial"/>
          <w:sz w:val="10"/>
          <w:szCs w:val="10"/>
          <w:color w:val="auto"/>
        </w:rPr>
      </w:pPr>
      <w:r>
        <w:rPr>
          <w:rFonts w:ascii="Arial" w:cs="Arial" w:eastAsia="Arial" w:hAnsi="Arial"/>
          <w:sz w:val="10"/>
          <w:szCs w:val="10"/>
          <w:color w:val="auto"/>
        </w:rPr>
        <w:t>Mainly includes other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628650</wp:posOffset>
            </wp:positionV>
            <wp:extent cx="7164705" cy="133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-86995</wp:posOffset>
            </wp:positionH>
            <wp:positionV relativeFrom="paragraph">
              <wp:posOffset>99695</wp:posOffset>
            </wp:positionV>
            <wp:extent cx="1502410" cy="4438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217170</wp:posOffset>
            </wp:positionV>
            <wp:extent cx="1750695" cy="3263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750695" cy="326390"/>
                    </a:xfrm>
                    <a:prstGeom prst="rect">
                      <a:avLst/>
                    </a:prstGeom>
                    <a:noFill/>
                  </pic:spPr>
                </pic:pic>
              </a:graphicData>
            </a:graphic>
          </wp:anchor>
        </w:drawing>
      </w:r>
    </w:p>
    <w:p>
      <w:pPr>
        <w:sectPr>
          <w:pgSz w:w="11900" w:h="16838" w:orient="portrait"/>
          <w:cols w:equalWidth="0" w:num="1">
            <w:col w:w="10580"/>
          </w:cols>
          <w:pgMar w:left="440" w:top="300" w:right="879" w:bottom="1440" w:gutter="0" w:footer="0" w:header="0"/>
        </w:sectPr>
      </w:pPr>
    </w:p>
    <w:bookmarkStart w:id="62" w:name="page63"/>
    <w:bookmarkEnd w:id="62"/>
    <w:p>
      <w:pPr>
        <w:ind w:left="2500"/>
        <w:spacing w:after="0"/>
        <w:tabs>
          <w:tab w:leader="none" w:pos="2700" w:val="left"/>
          <w:tab w:leader="none" w:pos="7700"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102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64705" cy="581025"/>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12. Appendix</w:t>
      </w:r>
    </w:p>
    <w:p>
      <w:pPr>
        <w:spacing w:after="0" w:line="258"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Consolidated Statement of Income</w:t>
      </w:r>
    </w:p>
    <w:p>
      <w:pPr>
        <w:spacing w:after="0" w:line="18"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(S/ Thousands, IFRS)</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92"/>
        </w:trPr>
        <w:tc>
          <w:tcPr>
            <w:tcW w:w="4300" w:type="dxa"/>
            <w:vAlign w:val="bottom"/>
            <w:tcBorders>
              <w:top w:val="single" w:sz="8" w:color="auto"/>
              <w:left w:val="single" w:sz="8" w:color="auto"/>
              <w:right w:val="single" w:sz="8" w:color="auto"/>
            </w:tcBorders>
            <w:shd w:val="clear" w:color="auto" w:fill="2AD2C9"/>
          </w:tcPr>
          <w:p>
            <w:pPr>
              <w:spacing w:after="0"/>
              <w:rPr>
                <w:sz w:val="8"/>
                <w:szCs w:val="8"/>
                <w:color w:val="auto"/>
              </w:rPr>
            </w:pPr>
          </w:p>
        </w:tc>
        <w:tc>
          <w:tcPr>
            <w:tcW w:w="880" w:type="dxa"/>
            <w:vAlign w:val="bottom"/>
            <w:tcBorders>
              <w:top w:val="single" w:sz="8" w:color="auto"/>
            </w:tcBorders>
            <w:shd w:val="clear" w:color="auto" w:fill="2AD2C9"/>
          </w:tcPr>
          <w:p>
            <w:pPr>
              <w:spacing w:after="0"/>
              <w:rPr>
                <w:sz w:val="8"/>
                <w:szCs w:val="8"/>
                <w:color w:val="auto"/>
              </w:rPr>
            </w:pPr>
          </w:p>
        </w:tc>
        <w:tc>
          <w:tcPr>
            <w:tcW w:w="900" w:type="dxa"/>
            <w:vAlign w:val="bottom"/>
            <w:tcBorders>
              <w:top w:val="single" w:sz="8" w:color="auto"/>
            </w:tcBorders>
            <w:shd w:val="clear" w:color="auto" w:fill="2AD2C9"/>
          </w:tcPr>
          <w:p>
            <w:pPr>
              <w:ind w:left="320"/>
              <w:spacing w:after="0"/>
              <w:rPr>
                <w:sz w:val="20"/>
                <w:szCs w:val="20"/>
                <w:color w:val="auto"/>
              </w:rPr>
            </w:pPr>
            <w:r>
              <w:rPr>
                <w:rFonts w:ascii="Arial" w:cs="Arial" w:eastAsia="Arial" w:hAnsi="Arial"/>
                <w:sz w:val="8"/>
                <w:szCs w:val="8"/>
                <w:b w:val="1"/>
                <w:bCs w:val="1"/>
                <w:color w:val="FFFFFF"/>
              </w:rPr>
              <w:t>Quarter</w:t>
            </w:r>
          </w:p>
        </w:tc>
        <w:tc>
          <w:tcPr>
            <w:tcW w:w="940" w:type="dxa"/>
            <w:vAlign w:val="bottom"/>
            <w:tcBorders>
              <w:top w:val="single" w:sz="8" w:color="auto"/>
              <w:right w:val="single" w:sz="8" w:color="auto"/>
            </w:tcBorders>
            <w:shd w:val="clear" w:color="auto" w:fill="2AD2C9"/>
          </w:tcPr>
          <w:p>
            <w:pPr>
              <w:spacing w:after="0"/>
              <w:rPr>
                <w:sz w:val="8"/>
                <w:szCs w:val="8"/>
                <w:color w:val="auto"/>
              </w:rPr>
            </w:pPr>
          </w:p>
        </w:tc>
        <w:tc>
          <w:tcPr>
            <w:tcW w:w="1100" w:type="dxa"/>
            <w:vAlign w:val="bottom"/>
            <w:tcBorders>
              <w:top w:val="single" w:sz="8" w:color="auto"/>
              <w:right w:val="single" w:sz="8" w:color="auto"/>
            </w:tcBorders>
            <w:gridSpan w:val="2"/>
            <w:shd w:val="clear" w:color="auto" w:fill="2AD2C9"/>
          </w:tcPr>
          <w:p>
            <w:pPr>
              <w:ind w:left="340"/>
              <w:spacing w:after="0"/>
              <w:rPr>
                <w:sz w:val="20"/>
                <w:szCs w:val="20"/>
                <w:color w:val="auto"/>
              </w:rPr>
            </w:pPr>
            <w:r>
              <w:rPr>
                <w:rFonts w:ascii="Arial" w:cs="Arial" w:eastAsia="Arial" w:hAnsi="Arial"/>
                <w:sz w:val="8"/>
                <w:szCs w:val="8"/>
                <w:b w:val="1"/>
                <w:bCs w:val="1"/>
                <w:color w:val="FFFFFF"/>
              </w:rPr>
              <w:t>% change</w:t>
            </w:r>
          </w:p>
        </w:tc>
        <w:tc>
          <w:tcPr>
            <w:tcW w:w="720" w:type="dxa"/>
            <w:vAlign w:val="bottom"/>
            <w:tcBorders>
              <w:top w:val="single" w:sz="8" w:color="auto"/>
            </w:tcBorders>
            <w:shd w:val="clear" w:color="auto" w:fill="2AD2C9"/>
          </w:tcPr>
          <w:p>
            <w:pPr>
              <w:spacing w:after="0"/>
              <w:rPr>
                <w:sz w:val="8"/>
                <w:szCs w:val="8"/>
                <w:color w:val="auto"/>
              </w:rPr>
            </w:pPr>
          </w:p>
        </w:tc>
        <w:tc>
          <w:tcPr>
            <w:tcW w:w="1100" w:type="dxa"/>
            <w:vAlign w:val="bottom"/>
            <w:tcBorders>
              <w:top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8"/>
                <w:szCs w:val="8"/>
                <w:b w:val="1"/>
                <w:bCs w:val="1"/>
                <w:color w:val="FFFFFF"/>
              </w:rPr>
              <w:t>Up to</w:t>
            </w:r>
          </w:p>
        </w:tc>
        <w:tc>
          <w:tcPr>
            <w:tcW w:w="90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rPr>
              <w:t>% Change</w:t>
            </w:r>
          </w:p>
        </w:tc>
      </w:tr>
      <w:tr>
        <w:trPr>
          <w:trHeight w:val="103"/>
        </w:trPr>
        <w:tc>
          <w:tcPr>
            <w:tcW w:w="4300" w:type="dxa"/>
            <w:vAlign w:val="bottom"/>
            <w:tcBorders>
              <w:left w:val="single" w:sz="8" w:color="auto"/>
              <w:bottom w:val="single" w:sz="8" w:color="auto"/>
              <w:right w:val="single" w:sz="8" w:color="auto"/>
            </w:tcBorders>
            <w:shd w:val="clear" w:color="auto" w:fill="2AD2C9"/>
          </w:tcPr>
          <w:p>
            <w:pPr>
              <w:spacing w:after="0"/>
              <w:rPr>
                <w:sz w:val="8"/>
                <w:szCs w:val="8"/>
                <w:color w:val="auto"/>
              </w:rPr>
            </w:pPr>
          </w:p>
        </w:tc>
        <w:tc>
          <w:tcPr>
            <w:tcW w:w="8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rPr>
              <w:t>2Q23</w:t>
            </w:r>
          </w:p>
        </w:tc>
        <w:tc>
          <w:tcPr>
            <w:tcW w:w="9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rPr>
              <w:t>1Q24</w:t>
            </w:r>
          </w:p>
        </w:tc>
        <w:tc>
          <w:tcPr>
            <w:tcW w:w="9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rPr>
              <w:t>2Q24</w:t>
            </w:r>
          </w:p>
        </w:tc>
        <w:tc>
          <w:tcPr>
            <w:tcW w:w="5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rPr>
              <w:t>QoQ</w:t>
            </w:r>
          </w:p>
        </w:tc>
        <w:tc>
          <w:tcPr>
            <w:tcW w:w="560" w:type="dxa"/>
            <w:vAlign w:val="bottom"/>
            <w:tcBorders>
              <w:bottom w:val="single" w:sz="8" w:color="auto"/>
              <w:right w:val="single" w:sz="8" w:color="auto"/>
            </w:tcBorders>
            <w:shd w:val="clear" w:color="auto" w:fill="2AD2C9"/>
          </w:tcPr>
          <w:p>
            <w:pPr>
              <w:ind w:left="180"/>
              <w:spacing w:after="0"/>
              <w:rPr>
                <w:sz w:val="20"/>
                <w:szCs w:val="20"/>
                <w:color w:val="auto"/>
              </w:rPr>
            </w:pPr>
            <w:r>
              <w:rPr>
                <w:rFonts w:ascii="Arial" w:cs="Arial" w:eastAsia="Arial" w:hAnsi="Arial"/>
                <w:sz w:val="8"/>
                <w:szCs w:val="8"/>
                <w:b w:val="1"/>
                <w:bCs w:val="1"/>
                <w:color w:val="FFFFFF"/>
              </w:rPr>
              <w:t>YoY</w:t>
            </w:r>
          </w:p>
        </w:tc>
        <w:tc>
          <w:tcPr>
            <w:tcW w:w="720" w:type="dxa"/>
            <w:vAlign w:val="bottom"/>
            <w:tcBorders>
              <w:bottom w:val="single" w:sz="8" w:color="auto"/>
            </w:tcBorders>
            <w:shd w:val="clear" w:color="auto" w:fill="2AD2C9"/>
          </w:tcPr>
          <w:p>
            <w:pPr>
              <w:jc w:val="center"/>
              <w:ind w:left="119"/>
              <w:spacing w:after="0"/>
              <w:rPr>
                <w:sz w:val="20"/>
                <w:szCs w:val="20"/>
                <w:color w:val="auto"/>
              </w:rPr>
            </w:pPr>
            <w:r>
              <w:rPr>
                <w:rFonts w:ascii="Arial" w:cs="Arial" w:eastAsia="Arial" w:hAnsi="Arial"/>
                <w:sz w:val="8"/>
                <w:szCs w:val="8"/>
                <w:b w:val="1"/>
                <w:bCs w:val="1"/>
                <w:color w:val="FFFFFF"/>
              </w:rPr>
              <w:t>1H23</w:t>
            </w:r>
          </w:p>
        </w:tc>
        <w:tc>
          <w:tcPr>
            <w:tcW w:w="1100" w:type="dxa"/>
            <w:vAlign w:val="bottom"/>
            <w:tcBorders>
              <w:bottom w:val="single" w:sz="8" w:color="auto"/>
              <w:right w:val="single" w:sz="8" w:color="auto"/>
            </w:tcBorders>
            <w:shd w:val="clear" w:color="auto" w:fill="2AD2C9"/>
          </w:tcPr>
          <w:p>
            <w:pPr>
              <w:jc w:val="center"/>
              <w:ind w:left="99"/>
              <w:spacing w:after="0"/>
              <w:rPr>
                <w:sz w:val="20"/>
                <w:szCs w:val="20"/>
                <w:color w:val="auto"/>
              </w:rPr>
            </w:pPr>
            <w:r>
              <w:rPr>
                <w:rFonts w:ascii="Arial" w:cs="Arial" w:eastAsia="Arial" w:hAnsi="Arial"/>
                <w:sz w:val="8"/>
                <w:szCs w:val="8"/>
                <w:b w:val="1"/>
                <w:bCs w:val="1"/>
                <w:color w:val="FFFFFF"/>
              </w:rPr>
              <w:t>1H24</w:t>
            </w:r>
          </w:p>
        </w:tc>
        <w:tc>
          <w:tcPr>
            <w:tcW w:w="9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rPr>
              <w:t>1H24 / 1H23</w:t>
            </w:r>
          </w:p>
        </w:tc>
      </w:tr>
      <w:tr>
        <w:trPr>
          <w:trHeight w:val="72"/>
        </w:trPr>
        <w:tc>
          <w:tcPr>
            <w:tcW w:w="4300" w:type="dxa"/>
            <w:vAlign w:val="bottom"/>
            <w:tcBorders>
              <w:left w:val="single" w:sz="8" w:color="auto"/>
              <w:right w:val="single" w:sz="8" w:color="auto"/>
            </w:tcBorders>
          </w:tcPr>
          <w:p>
            <w:pPr>
              <w:ind w:left="40"/>
              <w:spacing w:after="0" w:line="73" w:lineRule="exact"/>
              <w:rPr>
                <w:sz w:val="20"/>
                <w:szCs w:val="20"/>
                <w:color w:val="auto"/>
              </w:rPr>
            </w:pPr>
            <w:r>
              <w:rPr>
                <w:rFonts w:ascii="Arial" w:cs="Arial" w:eastAsia="Arial" w:hAnsi="Arial"/>
                <w:sz w:val="8"/>
                <w:szCs w:val="8"/>
                <w:b w:val="1"/>
                <w:bCs w:val="1"/>
                <w:color w:val="auto"/>
              </w:rPr>
              <w:t>Interest income and expense</w:t>
            </w:r>
          </w:p>
        </w:tc>
        <w:tc>
          <w:tcPr>
            <w:tcW w:w="880" w:type="dxa"/>
            <w:vAlign w:val="bottom"/>
          </w:tcPr>
          <w:p>
            <w:pPr>
              <w:spacing w:after="0"/>
              <w:rPr>
                <w:sz w:val="6"/>
                <w:szCs w:val="6"/>
                <w:color w:val="auto"/>
              </w:rPr>
            </w:pPr>
          </w:p>
        </w:tc>
        <w:tc>
          <w:tcPr>
            <w:tcW w:w="900" w:type="dxa"/>
            <w:vAlign w:val="bottom"/>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r>
      <w:tr>
        <w:trPr>
          <w:trHeight w:val="86"/>
        </w:trPr>
        <w:tc>
          <w:tcPr>
            <w:tcW w:w="4300" w:type="dxa"/>
            <w:vAlign w:val="bottom"/>
            <w:tcBorders>
              <w:left w:val="single" w:sz="8" w:color="auto"/>
              <w:right w:val="single" w:sz="8" w:color="auto"/>
            </w:tcBorders>
          </w:tcPr>
          <w:p>
            <w:pPr>
              <w:ind w:left="160"/>
              <w:spacing w:after="0" w:line="87" w:lineRule="exact"/>
              <w:rPr>
                <w:sz w:val="20"/>
                <w:szCs w:val="20"/>
                <w:color w:val="auto"/>
              </w:rPr>
            </w:pPr>
            <w:r>
              <w:rPr>
                <w:rFonts w:ascii="Arial" w:cs="Arial" w:eastAsia="Arial" w:hAnsi="Arial"/>
                <w:sz w:val="8"/>
                <w:szCs w:val="8"/>
                <w:color w:val="auto"/>
              </w:rPr>
              <w:t>Interest and similar income</w:t>
            </w:r>
          </w:p>
        </w:tc>
        <w:tc>
          <w:tcPr>
            <w:tcW w:w="880" w:type="dxa"/>
            <w:vAlign w:val="bottom"/>
          </w:tcPr>
          <w:p>
            <w:pPr>
              <w:jc w:val="center"/>
              <w:spacing w:after="0" w:line="87" w:lineRule="exact"/>
              <w:rPr>
                <w:sz w:val="20"/>
                <w:szCs w:val="20"/>
                <w:color w:val="auto"/>
              </w:rPr>
            </w:pPr>
            <w:r>
              <w:rPr>
                <w:rFonts w:ascii="Arial" w:cs="Arial" w:eastAsia="Arial" w:hAnsi="Arial"/>
                <w:sz w:val="8"/>
                <w:szCs w:val="8"/>
                <w:color w:val="auto"/>
              </w:rPr>
              <w:t>4,066,734</w:t>
            </w:r>
          </w:p>
        </w:tc>
        <w:tc>
          <w:tcPr>
            <w:tcW w:w="900" w:type="dxa"/>
            <w:vAlign w:val="bottom"/>
          </w:tcPr>
          <w:p>
            <w:pPr>
              <w:jc w:val="center"/>
              <w:spacing w:after="0" w:line="87" w:lineRule="exact"/>
              <w:rPr>
                <w:sz w:val="20"/>
                <w:szCs w:val="20"/>
                <w:color w:val="auto"/>
              </w:rPr>
            </w:pPr>
            <w:r>
              <w:rPr>
                <w:rFonts w:ascii="Arial" w:cs="Arial" w:eastAsia="Arial" w:hAnsi="Arial"/>
                <w:sz w:val="8"/>
                <w:szCs w:val="8"/>
                <w:color w:val="auto"/>
              </w:rPr>
              <w:t>4,278,901</w:t>
            </w:r>
          </w:p>
        </w:tc>
        <w:tc>
          <w:tcPr>
            <w:tcW w:w="940" w:type="dxa"/>
            <w:vAlign w:val="bottom"/>
            <w:tcBorders>
              <w:right w:val="single" w:sz="8" w:color="auto"/>
            </w:tcBorders>
          </w:tcPr>
          <w:p>
            <w:pPr>
              <w:jc w:val="center"/>
              <w:spacing w:after="0" w:line="87" w:lineRule="exact"/>
              <w:rPr>
                <w:sz w:val="20"/>
                <w:szCs w:val="20"/>
                <w:color w:val="auto"/>
              </w:rPr>
            </w:pPr>
            <w:r>
              <w:rPr>
                <w:rFonts w:ascii="Arial" w:cs="Arial" w:eastAsia="Arial" w:hAnsi="Arial"/>
                <w:sz w:val="8"/>
                <w:szCs w:val="8"/>
                <w:color w:val="auto"/>
              </w:rPr>
              <w:t>4,321,539</w:t>
            </w:r>
          </w:p>
        </w:tc>
        <w:tc>
          <w:tcPr>
            <w:tcW w:w="540" w:type="dxa"/>
            <w:vAlign w:val="bottom"/>
          </w:tcPr>
          <w:p>
            <w:pPr>
              <w:jc w:val="center"/>
              <w:spacing w:after="0" w:line="87" w:lineRule="exact"/>
              <w:rPr>
                <w:sz w:val="20"/>
                <w:szCs w:val="20"/>
                <w:color w:val="auto"/>
              </w:rPr>
            </w:pPr>
            <w:r>
              <w:rPr>
                <w:rFonts w:ascii="Arial" w:cs="Arial" w:eastAsia="Arial" w:hAnsi="Arial"/>
                <w:sz w:val="8"/>
                <w:szCs w:val="8"/>
                <w:color w:val="auto"/>
                <w:w w:val="98"/>
              </w:rPr>
              <w:t>1.0%</w:t>
            </w:r>
          </w:p>
        </w:tc>
        <w:tc>
          <w:tcPr>
            <w:tcW w:w="560" w:type="dxa"/>
            <w:vAlign w:val="bottom"/>
            <w:tcBorders>
              <w:right w:val="single" w:sz="8" w:color="auto"/>
            </w:tcBorders>
          </w:tcPr>
          <w:p>
            <w:pPr>
              <w:jc w:val="center"/>
              <w:spacing w:after="0" w:line="87" w:lineRule="exact"/>
              <w:rPr>
                <w:sz w:val="20"/>
                <w:szCs w:val="20"/>
                <w:color w:val="auto"/>
              </w:rPr>
            </w:pPr>
            <w:r>
              <w:rPr>
                <w:rFonts w:ascii="Arial" w:cs="Arial" w:eastAsia="Arial" w:hAnsi="Arial"/>
                <w:sz w:val="8"/>
                <w:szCs w:val="8"/>
                <w:color w:val="auto"/>
                <w:w w:val="98"/>
              </w:rPr>
              <w:t>6.3%</w:t>
            </w:r>
          </w:p>
        </w:tc>
        <w:tc>
          <w:tcPr>
            <w:tcW w:w="720" w:type="dxa"/>
            <w:vAlign w:val="bottom"/>
          </w:tcPr>
          <w:p>
            <w:pPr>
              <w:jc w:val="center"/>
              <w:ind w:left="119"/>
              <w:spacing w:after="0" w:line="87" w:lineRule="exact"/>
              <w:rPr>
                <w:sz w:val="20"/>
                <w:szCs w:val="20"/>
                <w:color w:val="auto"/>
              </w:rPr>
            </w:pPr>
            <w:r>
              <w:rPr>
                <w:rFonts w:ascii="Arial" w:cs="Arial" w:eastAsia="Arial" w:hAnsi="Arial"/>
                <w:sz w:val="8"/>
                <w:szCs w:val="8"/>
                <w:color w:val="auto"/>
              </w:rPr>
              <w:t>7,969,545</w:t>
            </w:r>
          </w:p>
        </w:tc>
        <w:tc>
          <w:tcPr>
            <w:tcW w:w="1100" w:type="dxa"/>
            <w:vAlign w:val="bottom"/>
            <w:tcBorders>
              <w:right w:val="single" w:sz="8" w:color="auto"/>
            </w:tcBorders>
          </w:tcPr>
          <w:p>
            <w:pPr>
              <w:jc w:val="center"/>
              <w:ind w:left="99"/>
              <w:spacing w:after="0" w:line="87" w:lineRule="exact"/>
              <w:rPr>
                <w:sz w:val="20"/>
                <w:szCs w:val="20"/>
                <w:color w:val="auto"/>
              </w:rPr>
            </w:pPr>
            <w:r>
              <w:rPr>
                <w:rFonts w:ascii="Arial" w:cs="Arial" w:eastAsia="Arial" w:hAnsi="Arial"/>
                <w:sz w:val="8"/>
                <w:szCs w:val="8"/>
                <w:color w:val="auto"/>
              </w:rPr>
              <w:t>8,600,440</w:t>
            </w:r>
          </w:p>
        </w:tc>
        <w:tc>
          <w:tcPr>
            <w:tcW w:w="900" w:type="dxa"/>
            <w:vAlign w:val="bottom"/>
            <w:tcBorders>
              <w:right w:val="single" w:sz="8" w:color="auto"/>
            </w:tcBorders>
          </w:tcPr>
          <w:p>
            <w:pPr>
              <w:jc w:val="center"/>
              <w:spacing w:after="0" w:line="87" w:lineRule="exact"/>
              <w:rPr>
                <w:sz w:val="20"/>
                <w:szCs w:val="20"/>
                <w:color w:val="auto"/>
              </w:rPr>
            </w:pPr>
            <w:r>
              <w:rPr>
                <w:rFonts w:ascii="Arial" w:cs="Arial" w:eastAsia="Arial" w:hAnsi="Arial"/>
                <w:sz w:val="8"/>
                <w:szCs w:val="8"/>
                <w:color w:val="auto"/>
              </w:rPr>
              <w:t>7.9%</w:t>
            </w:r>
          </w:p>
        </w:tc>
      </w:tr>
      <w:tr>
        <w:trPr>
          <w:trHeight w:val="99"/>
        </w:trPr>
        <w:tc>
          <w:tcPr>
            <w:tcW w:w="4300" w:type="dxa"/>
            <w:vAlign w:val="bottom"/>
            <w:tcBorders>
              <w:left w:val="single" w:sz="8" w:color="auto"/>
              <w:right w:val="single" w:sz="8" w:color="auto"/>
            </w:tcBorders>
          </w:tcPr>
          <w:p>
            <w:pPr>
              <w:ind w:left="160"/>
              <w:spacing w:after="0" w:line="99" w:lineRule="exact"/>
              <w:rPr>
                <w:sz w:val="20"/>
                <w:szCs w:val="20"/>
                <w:color w:val="auto"/>
              </w:rPr>
            </w:pPr>
            <w:r>
              <w:rPr>
                <w:rFonts w:ascii="Arial" w:cs="Arial" w:eastAsia="Arial" w:hAnsi="Arial"/>
                <w:sz w:val="7"/>
                <w:szCs w:val="7"/>
                <w:color w:val="auto"/>
              </w:rPr>
              <w:t xml:space="preserve">Interest and similar expense </w:t>
            </w:r>
            <w:r>
              <w:rPr>
                <w:rFonts w:ascii="Arial" w:cs="Arial" w:eastAsia="Arial" w:hAnsi="Arial"/>
                <w:sz w:val="11"/>
                <w:szCs w:val="11"/>
                <w:color w:val="auto"/>
                <w:vertAlign w:val="superscript"/>
              </w:rPr>
              <w:t>(1)</w:t>
            </w:r>
          </w:p>
        </w:tc>
        <w:tc>
          <w:tcPr>
            <w:tcW w:w="880" w:type="dxa"/>
            <w:vAlign w:val="bottom"/>
          </w:tcPr>
          <w:p>
            <w:pPr>
              <w:jc w:val="center"/>
              <w:spacing w:after="0"/>
              <w:rPr>
                <w:sz w:val="20"/>
                <w:szCs w:val="20"/>
                <w:color w:val="auto"/>
              </w:rPr>
            </w:pPr>
            <w:r>
              <w:rPr>
                <w:rFonts w:ascii="Arial" w:cs="Arial" w:eastAsia="Arial" w:hAnsi="Arial"/>
                <w:sz w:val="8"/>
                <w:szCs w:val="8"/>
                <w:color w:val="auto"/>
                <w:w w:val="97"/>
              </w:rPr>
              <w:t>(1,112,623)</w:t>
            </w:r>
          </w:p>
        </w:tc>
        <w:tc>
          <w:tcPr>
            <w:tcW w:w="900" w:type="dxa"/>
            <w:vAlign w:val="bottom"/>
          </w:tcPr>
          <w:p>
            <w:pPr>
              <w:jc w:val="center"/>
              <w:spacing w:after="0"/>
              <w:rPr>
                <w:sz w:val="20"/>
                <w:szCs w:val="20"/>
                <w:color w:val="auto"/>
              </w:rPr>
            </w:pPr>
            <w:r>
              <w:rPr>
                <w:rFonts w:ascii="Arial" w:cs="Arial" w:eastAsia="Arial" w:hAnsi="Arial"/>
                <w:sz w:val="8"/>
                <w:szCs w:val="8"/>
                <w:color w:val="auto"/>
              </w:rPr>
              <w:t>(1,119,658)</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(1,101,415)</w:t>
            </w:r>
          </w:p>
        </w:tc>
        <w:tc>
          <w:tcPr>
            <w:tcW w:w="540" w:type="dxa"/>
            <w:vAlign w:val="bottom"/>
          </w:tcPr>
          <w:p>
            <w:pPr>
              <w:jc w:val="center"/>
              <w:spacing w:after="0"/>
              <w:rPr>
                <w:sz w:val="20"/>
                <w:szCs w:val="20"/>
                <w:color w:val="auto"/>
              </w:rPr>
            </w:pPr>
            <w:r>
              <w:rPr>
                <w:rFonts w:ascii="Arial" w:cs="Arial" w:eastAsia="Arial" w:hAnsi="Arial"/>
                <w:sz w:val="8"/>
                <w:szCs w:val="8"/>
                <w:color w:val="auto"/>
              </w:rPr>
              <w:t>-1.6%</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-1.0%</w:t>
            </w:r>
          </w:p>
        </w:tc>
        <w:tc>
          <w:tcPr>
            <w:tcW w:w="720" w:type="dxa"/>
            <w:vAlign w:val="bottom"/>
          </w:tcPr>
          <w:p>
            <w:pPr>
              <w:jc w:val="center"/>
              <w:ind w:left="139"/>
              <w:spacing w:after="0"/>
              <w:rPr>
                <w:sz w:val="20"/>
                <w:szCs w:val="20"/>
                <w:color w:val="auto"/>
              </w:rPr>
            </w:pPr>
            <w:r>
              <w:rPr>
                <w:rFonts w:ascii="Arial" w:cs="Arial" w:eastAsia="Arial" w:hAnsi="Arial"/>
                <w:sz w:val="8"/>
                <w:szCs w:val="8"/>
                <w:color w:val="auto"/>
              </w:rPr>
              <w:t>(2,107,459)</w:t>
            </w:r>
          </w:p>
        </w:tc>
        <w:tc>
          <w:tcPr>
            <w:tcW w:w="1100" w:type="dxa"/>
            <w:vAlign w:val="bottom"/>
            <w:tcBorders>
              <w:right w:val="single" w:sz="8" w:color="auto"/>
            </w:tcBorders>
          </w:tcPr>
          <w:p>
            <w:pPr>
              <w:jc w:val="center"/>
              <w:ind w:left="119"/>
              <w:spacing w:after="0"/>
              <w:rPr>
                <w:sz w:val="20"/>
                <w:szCs w:val="20"/>
                <w:color w:val="auto"/>
              </w:rPr>
            </w:pPr>
            <w:r>
              <w:rPr>
                <w:rFonts w:ascii="Arial" w:cs="Arial" w:eastAsia="Arial" w:hAnsi="Arial"/>
                <w:sz w:val="8"/>
                <w:szCs w:val="8"/>
                <w:color w:val="auto"/>
              </w:rPr>
              <w:t>(2,221,073)</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5.4%</w:t>
            </w:r>
          </w:p>
        </w:tc>
      </w:tr>
      <w:tr>
        <w:trPr>
          <w:trHeight w:val="112"/>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8"/>
                <w:szCs w:val="8"/>
                <w:b w:val="1"/>
                <w:bCs w:val="1"/>
                <w:color w:val="auto"/>
              </w:rPr>
              <w:t>Net interest income</w:t>
            </w:r>
          </w:p>
        </w:tc>
        <w:tc>
          <w:tcPr>
            <w:tcW w:w="880" w:type="dxa"/>
            <w:vAlign w:val="bottom"/>
          </w:tcPr>
          <w:p>
            <w:pPr>
              <w:jc w:val="center"/>
              <w:spacing w:after="0"/>
              <w:rPr>
                <w:sz w:val="20"/>
                <w:szCs w:val="20"/>
                <w:color w:val="auto"/>
              </w:rPr>
            </w:pPr>
            <w:r>
              <w:rPr>
                <w:rFonts w:ascii="Arial" w:cs="Arial" w:eastAsia="Arial" w:hAnsi="Arial"/>
                <w:sz w:val="8"/>
                <w:szCs w:val="8"/>
                <w:color w:val="auto"/>
              </w:rPr>
              <w:t>2,954,111</w:t>
            </w:r>
          </w:p>
        </w:tc>
        <w:tc>
          <w:tcPr>
            <w:tcW w:w="900" w:type="dxa"/>
            <w:vAlign w:val="bottom"/>
          </w:tcPr>
          <w:p>
            <w:pPr>
              <w:jc w:val="center"/>
              <w:spacing w:after="0"/>
              <w:rPr>
                <w:sz w:val="20"/>
                <w:szCs w:val="20"/>
                <w:color w:val="auto"/>
              </w:rPr>
            </w:pPr>
            <w:r>
              <w:rPr>
                <w:rFonts w:ascii="Arial" w:cs="Arial" w:eastAsia="Arial" w:hAnsi="Arial"/>
                <w:sz w:val="8"/>
                <w:szCs w:val="8"/>
                <w:color w:val="auto"/>
              </w:rPr>
              <w:t>3,159,243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3,220,124</w:t>
            </w:r>
          </w:p>
        </w:tc>
        <w:tc>
          <w:tcPr>
            <w:tcW w:w="540" w:type="dxa"/>
            <w:vAlign w:val="bottom"/>
          </w:tcPr>
          <w:p>
            <w:pPr>
              <w:jc w:val="center"/>
              <w:spacing w:after="0"/>
              <w:rPr>
                <w:sz w:val="20"/>
                <w:szCs w:val="20"/>
                <w:color w:val="auto"/>
              </w:rPr>
            </w:pPr>
            <w:r>
              <w:rPr>
                <w:rFonts w:ascii="Arial" w:cs="Arial" w:eastAsia="Arial" w:hAnsi="Arial"/>
                <w:sz w:val="8"/>
                <w:szCs w:val="8"/>
                <w:color w:val="auto"/>
                <w:w w:val="98"/>
              </w:rPr>
              <w:t>1.9%</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9.0%</w:t>
            </w:r>
          </w:p>
        </w:tc>
        <w:tc>
          <w:tcPr>
            <w:tcW w:w="720" w:type="dxa"/>
            <w:vAlign w:val="bottom"/>
          </w:tcPr>
          <w:p>
            <w:pPr>
              <w:jc w:val="center"/>
              <w:ind w:left="119"/>
              <w:spacing w:after="0"/>
              <w:rPr>
                <w:sz w:val="20"/>
                <w:szCs w:val="20"/>
                <w:color w:val="auto"/>
              </w:rPr>
            </w:pPr>
            <w:r>
              <w:rPr>
                <w:rFonts w:ascii="Arial" w:cs="Arial" w:eastAsia="Arial" w:hAnsi="Arial"/>
                <w:sz w:val="8"/>
                <w:szCs w:val="8"/>
                <w:color w:val="auto"/>
              </w:rPr>
              <w:t>5,862,086</w:t>
            </w:r>
          </w:p>
        </w:tc>
        <w:tc>
          <w:tcPr>
            <w:tcW w:w="110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rPr>
              <w:t>6,379,367</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8.8%</w:t>
            </w:r>
          </w:p>
        </w:tc>
      </w:tr>
      <w:tr>
        <w:trPr>
          <w:trHeight w:val="165"/>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8"/>
                <w:szCs w:val="8"/>
                <w:color w:val="auto"/>
              </w:rPr>
              <w:t>Provision for credit losses on loan portfolio</w:t>
            </w:r>
          </w:p>
        </w:tc>
        <w:tc>
          <w:tcPr>
            <w:tcW w:w="880" w:type="dxa"/>
            <w:vAlign w:val="bottom"/>
          </w:tcPr>
          <w:p>
            <w:pPr>
              <w:jc w:val="center"/>
              <w:spacing w:after="0"/>
              <w:rPr>
                <w:sz w:val="20"/>
                <w:szCs w:val="20"/>
                <w:color w:val="auto"/>
              </w:rPr>
            </w:pPr>
            <w:r>
              <w:rPr>
                <w:rFonts w:ascii="Arial" w:cs="Arial" w:eastAsia="Arial" w:hAnsi="Arial"/>
                <w:sz w:val="8"/>
                <w:szCs w:val="8"/>
                <w:color w:val="auto"/>
              </w:rPr>
              <w:t>(864,243)</w:t>
            </w:r>
          </w:p>
        </w:tc>
        <w:tc>
          <w:tcPr>
            <w:tcW w:w="900" w:type="dxa"/>
            <w:vAlign w:val="bottom"/>
          </w:tcPr>
          <w:p>
            <w:pPr>
              <w:jc w:val="center"/>
              <w:spacing w:after="0"/>
              <w:rPr>
                <w:sz w:val="20"/>
                <w:szCs w:val="20"/>
                <w:color w:val="auto"/>
              </w:rPr>
            </w:pPr>
            <w:r>
              <w:rPr>
                <w:rFonts w:ascii="Arial" w:cs="Arial" w:eastAsia="Arial" w:hAnsi="Arial"/>
                <w:sz w:val="8"/>
                <w:szCs w:val="8"/>
                <w:color w:val="auto"/>
              </w:rPr>
              <w:t>(844,151)</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7"/>
              </w:rPr>
              <w:t>(1,117,597)</w:t>
            </w:r>
          </w:p>
        </w:tc>
        <w:tc>
          <w:tcPr>
            <w:tcW w:w="540" w:type="dxa"/>
            <w:vAlign w:val="bottom"/>
          </w:tcPr>
          <w:p>
            <w:pPr>
              <w:jc w:val="center"/>
              <w:spacing w:after="0"/>
              <w:rPr>
                <w:sz w:val="20"/>
                <w:szCs w:val="20"/>
                <w:color w:val="auto"/>
              </w:rPr>
            </w:pPr>
            <w:r>
              <w:rPr>
                <w:rFonts w:ascii="Arial" w:cs="Arial" w:eastAsia="Arial" w:hAnsi="Arial"/>
                <w:sz w:val="8"/>
                <w:szCs w:val="8"/>
                <w:color w:val="auto"/>
              </w:rPr>
              <w:t>32.4%</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29.3%</w:t>
            </w:r>
          </w:p>
        </w:tc>
        <w:tc>
          <w:tcPr>
            <w:tcW w:w="720" w:type="dxa"/>
            <w:vAlign w:val="bottom"/>
          </w:tcPr>
          <w:p>
            <w:pPr>
              <w:jc w:val="center"/>
              <w:ind w:left="139"/>
              <w:spacing w:after="0"/>
              <w:rPr>
                <w:sz w:val="20"/>
                <w:szCs w:val="20"/>
                <w:color w:val="auto"/>
              </w:rPr>
            </w:pPr>
            <w:r>
              <w:rPr>
                <w:rFonts w:ascii="Arial" w:cs="Arial" w:eastAsia="Arial" w:hAnsi="Arial"/>
                <w:sz w:val="8"/>
                <w:szCs w:val="8"/>
                <w:color w:val="auto"/>
              </w:rPr>
              <w:t>(1,646,322)</w:t>
            </w:r>
          </w:p>
        </w:tc>
        <w:tc>
          <w:tcPr>
            <w:tcW w:w="1100" w:type="dxa"/>
            <w:vAlign w:val="bottom"/>
            <w:tcBorders>
              <w:right w:val="single" w:sz="8" w:color="auto"/>
            </w:tcBorders>
          </w:tcPr>
          <w:p>
            <w:pPr>
              <w:jc w:val="center"/>
              <w:ind w:left="119"/>
              <w:spacing w:after="0"/>
              <w:rPr>
                <w:sz w:val="20"/>
                <w:szCs w:val="20"/>
                <w:color w:val="auto"/>
              </w:rPr>
            </w:pPr>
            <w:r>
              <w:rPr>
                <w:rFonts w:ascii="Arial" w:cs="Arial" w:eastAsia="Arial" w:hAnsi="Arial"/>
                <w:sz w:val="8"/>
                <w:szCs w:val="8"/>
                <w:color w:val="auto"/>
              </w:rPr>
              <w:t>(1,961,748)</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19.2%</w:t>
            </w:r>
          </w:p>
        </w:tc>
      </w:tr>
      <w:tr>
        <w:trPr>
          <w:trHeight w:val="93"/>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8"/>
                <w:szCs w:val="8"/>
                <w:color w:val="auto"/>
              </w:rPr>
              <w:t>Recoveries of written-off loans</w:t>
            </w:r>
          </w:p>
        </w:tc>
        <w:tc>
          <w:tcPr>
            <w:tcW w:w="880" w:type="dxa"/>
            <w:vAlign w:val="bottom"/>
          </w:tcPr>
          <w:p>
            <w:pPr>
              <w:jc w:val="center"/>
              <w:spacing w:after="0"/>
              <w:rPr>
                <w:sz w:val="20"/>
                <w:szCs w:val="20"/>
                <w:color w:val="auto"/>
              </w:rPr>
            </w:pPr>
            <w:r>
              <w:rPr>
                <w:rFonts w:ascii="Arial" w:cs="Arial" w:eastAsia="Arial" w:hAnsi="Arial"/>
                <w:sz w:val="8"/>
                <w:szCs w:val="8"/>
                <w:color w:val="auto"/>
                <w:w w:val="97"/>
              </w:rPr>
              <w:t>77,154</w:t>
            </w:r>
          </w:p>
        </w:tc>
        <w:tc>
          <w:tcPr>
            <w:tcW w:w="900" w:type="dxa"/>
            <w:vAlign w:val="bottom"/>
          </w:tcPr>
          <w:p>
            <w:pPr>
              <w:jc w:val="center"/>
              <w:spacing w:after="0"/>
              <w:rPr>
                <w:sz w:val="20"/>
                <w:szCs w:val="20"/>
                <w:color w:val="auto"/>
              </w:rPr>
            </w:pPr>
            <w:r>
              <w:rPr>
                <w:rFonts w:ascii="Arial" w:cs="Arial" w:eastAsia="Arial" w:hAnsi="Arial"/>
                <w:sz w:val="8"/>
                <w:szCs w:val="8"/>
                <w:color w:val="auto"/>
              </w:rPr>
              <w:t>90,798</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7"/>
              </w:rPr>
              <w:t>95,174</w:t>
            </w:r>
          </w:p>
        </w:tc>
        <w:tc>
          <w:tcPr>
            <w:tcW w:w="540" w:type="dxa"/>
            <w:vAlign w:val="bottom"/>
          </w:tcPr>
          <w:p>
            <w:pPr>
              <w:jc w:val="center"/>
              <w:spacing w:after="0"/>
              <w:rPr>
                <w:sz w:val="20"/>
                <w:szCs w:val="20"/>
                <w:color w:val="auto"/>
              </w:rPr>
            </w:pPr>
            <w:r>
              <w:rPr>
                <w:rFonts w:ascii="Arial" w:cs="Arial" w:eastAsia="Arial" w:hAnsi="Arial"/>
                <w:sz w:val="8"/>
                <w:szCs w:val="8"/>
                <w:color w:val="auto"/>
                <w:w w:val="98"/>
              </w:rPr>
              <w:t>4.8%</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23.4%</w:t>
            </w:r>
          </w:p>
        </w:tc>
        <w:tc>
          <w:tcPr>
            <w:tcW w:w="720" w:type="dxa"/>
            <w:vAlign w:val="bottom"/>
          </w:tcPr>
          <w:p>
            <w:pPr>
              <w:jc w:val="center"/>
              <w:ind w:left="119"/>
              <w:spacing w:after="0"/>
              <w:rPr>
                <w:sz w:val="20"/>
                <w:szCs w:val="20"/>
                <w:color w:val="auto"/>
              </w:rPr>
            </w:pPr>
            <w:r>
              <w:rPr>
                <w:rFonts w:ascii="Arial" w:cs="Arial" w:eastAsia="Arial" w:hAnsi="Arial"/>
                <w:sz w:val="8"/>
                <w:szCs w:val="8"/>
                <w:color w:val="auto"/>
                <w:w w:val="96"/>
              </w:rPr>
              <w:t>146,848</w:t>
            </w:r>
          </w:p>
        </w:tc>
        <w:tc>
          <w:tcPr>
            <w:tcW w:w="110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w w:val="96"/>
              </w:rPr>
              <w:t>185,972</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26.6%</w:t>
            </w:r>
          </w:p>
        </w:tc>
      </w:tr>
      <w:tr>
        <w:trPr>
          <w:trHeight w:val="112"/>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8"/>
                <w:szCs w:val="8"/>
                <w:b w:val="1"/>
                <w:bCs w:val="1"/>
                <w:color w:val="auto"/>
              </w:rPr>
              <w:t>Provision for credit losses on loan portfolio, net of recoveries</w:t>
            </w:r>
          </w:p>
        </w:tc>
        <w:tc>
          <w:tcPr>
            <w:tcW w:w="880" w:type="dxa"/>
            <w:vAlign w:val="bottom"/>
          </w:tcPr>
          <w:p>
            <w:pPr>
              <w:jc w:val="center"/>
              <w:spacing w:after="0"/>
              <w:rPr>
                <w:sz w:val="20"/>
                <w:szCs w:val="20"/>
                <w:color w:val="auto"/>
              </w:rPr>
            </w:pPr>
            <w:r>
              <w:rPr>
                <w:rFonts w:ascii="Arial" w:cs="Arial" w:eastAsia="Arial" w:hAnsi="Arial"/>
                <w:sz w:val="8"/>
                <w:szCs w:val="8"/>
                <w:color w:val="auto"/>
              </w:rPr>
              <w:t>(787,089)</w:t>
            </w:r>
          </w:p>
        </w:tc>
        <w:tc>
          <w:tcPr>
            <w:tcW w:w="900" w:type="dxa"/>
            <w:vAlign w:val="bottom"/>
          </w:tcPr>
          <w:p>
            <w:pPr>
              <w:jc w:val="center"/>
              <w:spacing w:after="0"/>
              <w:rPr>
                <w:sz w:val="20"/>
                <w:szCs w:val="20"/>
                <w:color w:val="auto"/>
              </w:rPr>
            </w:pPr>
            <w:r>
              <w:rPr>
                <w:rFonts w:ascii="Arial" w:cs="Arial" w:eastAsia="Arial" w:hAnsi="Arial"/>
                <w:sz w:val="8"/>
                <w:szCs w:val="8"/>
                <w:color w:val="auto"/>
              </w:rPr>
              <w:t>(753,353)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(1,022,423)</w:t>
            </w:r>
          </w:p>
        </w:tc>
        <w:tc>
          <w:tcPr>
            <w:tcW w:w="540" w:type="dxa"/>
            <w:vAlign w:val="bottom"/>
          </w:tcPr>
          <w:p>
            <w:pPr>
              <w:jc w:val="center"/>
              <w:spacing w:after="0"/>
              <w:rPr>
                <w:sz w:val="20"/>
                <w:szCs w:val="20"/>
                <w:color w:val="auto"/>
              </w:rPr>
            </w:pPr>
            <w:r>
              <w:rPr>
                <w:rFonts w:ascii="Arial" w:cs="Arial" w:eastAsia="Arial" w:hAnsi="Arial"/>
                <w:sz w:val="8"/>
                <w:szCs w:val="8"/>
                <w:color w:val="auto"/>
              </w:rPr>
              <w:t>35.7%</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29.9%</w:t>
            </w:r>
          </w:p>
        </w:tc>
        <w:tc>
          <w:tcPr>
            <w:tcW w:w="720" w:type="dxa"/>
            <w:vAlign w:val="bottom"/>
          </w:tcPr>
          <w:p>
            <w:pPr>
              <w:jc w:val="center"/>
              <w:ind w:left="139"/>
              <w:spacing w:after="0"/>
              <w:rPr>
                <w:sz w:val="20"/>
                <w:szCs w:val="20"/>
                <w:color w:val="auto"/>
              </w:rPr>
            </w:pPr>
            <w:r>
              <w:rPr>
                <w:rFonts w:ascii="Arial" w:cs="Arial" w:eastAsia="Arial" w:hAnsi="Arial"/>
                <w:sz w:val="8"/>
                <w:szCs w:val="8"/>
                <w:color w:val="auto"/>
              </w:rPr>
              <w:t>(1,499,474)</w:t>
            </w:r>
          </w:p>
        </w:tc>
        <w:tc>
          <w:tcPr>
            <w:tcW w:w="1100" w:type="dxa"/>
            <w:vAlign w:val="bottom"/>
            <w:tcBorders>
              <w:right w:val="single" w:sz="8" w:color="auto"/>
            </w:tcBorders>
          </w:tcPr>
          <w:p>
            <w:pPr>
              <w:jc w:val="center"/>
              <w:ind w:left="119"/>
              <w:spacing w:after="0"/>
              <w:rPr>
                <w:sz w:val="20"/>
                <w:szCs w:val="20"/>
                <w:color w:val="auto"/>
              </w:rPr>
            </w:pPr>
            <w:r>
              <w:rPr>
                <w:rFonts w:ascii="Arial" w:cs="Arial" w:eastAsia="Arial" w:hAnsi="Arial"/>
                <w:sz w:val="8"/>
                <w:szCs w:val="8"/>
                <w:color w:val="auto"/>
              </w:rPr>
              <w:t>(1,775,776)</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18.4%</w:t>
            </w:r>
          </w:p>
        </w:tc>
      </w:tr>
      <w:tr>
        <w:trPr>
          <w:trHeight w:val="185"/>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8"/>
                <w:szCs w:val="8"/>
                <w:b w:val="1"/>
                <w:bCs w:val="1"/>
                <w:color w:val="auto"/>
              </w:rPr>
              <w:t>Risk-adjusted net interest income</w:t>
            </w:r>
          </w:p>
        </w:tc>
        <w:tc>
          <w:tcPr>
            <w:tcW w:w="880" w:type="dxa"/>
            <w:vAlign w:val="bottom"/>
          </w:tcPr>
          <w:p>
            <w:pPr>
              <w:jc w:val="center"/>
              <w:spacing w:after="0"/>
              <w:rPr>
                <w:sz w:val="20"/>
                <w:szCs w:val="20"/>
                <w:color w:val="auto"/>
              </w:rPr>
            </w:pPr>
            <w:r>
              <w:rPr>
                <w:rFonts w:ascii="Arial" w:cs="Arial" w:eastAsia="Arial" w:hAnsi="Arial"/>
                <w:sz w:val="8"/>
                <w:szCs w:val="8"/>
                <w:color w:val="auto"/>
              </w:rPr>
              <w:t>2,167,022</w:t>
            </w:r>
          </w:p>
        </w:tc>
        <w:tc>
          <w:tcPr>
            <w:tcW w:w="900" w:type="dxa"/>
            <w:vAlign w:val="bottom"/>
          </w:tcPr>
          <w:p>
            <w:pPr>
              <w:jc w:val="center"/>
              <w:spacing w:after="0"/>
              <w:rPr>
                <w:sz w:val="20"/>
                <w:szCs w:val="20"/>
                <w:color w:val="auto"/>
              </w:rPr>
            </w:pPr>
            <w:r>
              <w:rPr>
                <w:rFonts w:ascii="Arial" w:cs="Arial" w:eastAsia="Arial" w:hAnsi="Arial"/>
                <w:sz w:val="8"/>
                <w:szCs w:val="8"/>
                <w:color w:val="auto"/>
              </w:rPr>
              <w:t>2,405,890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2,197,701</w:t>
            </w:r>
          </w:p>
        </w:tc>
        <w:tc>
          <w:tcPr>
            <w:tcW w:w="540" w:type="dxa"/>
            <w:vAlign w:val="bottom"/>
          </w:tcPr>
          <w:p>
            <w:pPr>
              <w:jc w:val="center"/>
              <w:spacing w:after="0"/>
              <w:rPr>
                <w:sz w:val="20"/>
                <w:szCs w:val="20"/>
                <w:color w:val="auto"/>
              </w:rPr>
            </w:pPr>
            <w:r>
              <w:rPr>
                <w:rFonts w:ascii="Arial" w:cs="Arial" w:eastAsia="Arial" w:hAnsi="Arial"/>
                <w:sz w:val="8"/>
                <w:szCs w:val="8"/>
                <w:color w:val="auto"/>
              </w:rPr>
              <w:t>-8.7%</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1.4%</w:t>
            </w:r>
          </w:p>
        </w:tc>
        <w:tc>
          <w:tcPr>
            <w:tcW w:w="720" w:type="dxa"/>
            <w:vAlign w:val="bottom"/>
          </w:tcPr>
          <w:p>
            <w:pPr>
              <w:jc w:val="center"/>
              <w:ind w:left="119"/>
              <w:spacing w:after="0"/>
              <w:rPr>
                <w:sz w:val="20"/>
                <w:szCs w:val="20"/>
                <w:color w:val="auto"/>
              </w:rPr>
            </w:pPr>
            <w:r>
              <w:rPr>
                <w:rFonts w:ascii="Arial" w:cs="Arial" w:eastAsia="Arial" w:hAnsi="Arial"/>
                <w:sz w:val="8"/>
                <w:szCs w:val="8"/>
                <w:color w:val="auto"/>
              </w:rPr>
              <w:t>4,362,612</w:t>
            </w:r>
          </w:p>
        </w:tc>
        <w:tc>
          <w:tcPr>
            <w:tcW w:w="110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rPr>
              <w:t>4,603,591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5.5%</w:t>
            </w:r>
          </w:p>
        </w:tc>
      </w:tr>
      <w:tr>
        <w:trPr>
          <w:trHeight w:val="165"/>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8"/>
                <w:szCs w:val="8"/>
                <w:b w:val="1"/>
                <w:bCs w:val="1"/>
                <w:color w:val="auto"/>
              </w:rPr>
              <w:t>Non-financial income</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r>
      <w:tr>
        <w:trPr>
          <w:trHeight w:val="93"/>
        </w:trPr>
        <w:tc>
          <w:tcPr>
            <w:tcW w:w="4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Fee income</w:t>
            </w:r>
          </w:p>
        </w:tc>
        <w:tc>
          <w:tcPr>
            <w:tcW w:w="880" w:type="dxa"/>
            <w:vAlign w:val="bottom"/>
          </w:tcPr>
          <w:p>
            <w:pPr>
              <w:jc w:val="center"/>
              <w:spacing w:after="0"/>
              <w:rPr>
                <w:sz w:val="20"/>
                <w:szCs w:val="20"/>
                <w:color w:val="auto"/>
              </w:rPr>
            </w:pPr>
            <w:r>
              <w:rPr>
                <w:rFonts w:ascii="Arial" w:cs="Arial" w:eastAsia="Arial" w:hAnsi="Arial"/>
                <w:sz w:val="8"/>
                <w:szCs w:val="8"/>
                <w:color w:val="auto"/>
                <w:w w:val="96"/>
              </w:rPr>
              <w:t>754,473</w:t>
            </w:r>
          </w:p>
        </w:tc>
        <w:tc>
          <w:tcPr>
            <w:tcW w:w="900" w:type="dxa"/>
            <w:vAlign w:val="bottom"/>
          </w:tcPr>
          <w:p>
            <w:pPr>
              <w:jc w:val="center"/>
              <w:spacing w:after="0"/>
              <w:rPr>
                <w:sz w:val="20"/>
                <w:szCs w:val="20"/>
                <w:color w:val="auto"/>
              </w:rPr>
            </w:pPr>
            <w:r>
              <w:rPr>
                <w:rFonts w:ascii="Arial" w:cs="Arial" w:eastAsia="Arial" w:hAnsi="Arial"/>
                <w:sz w:val="8"/>
                <w:szCs w:val="8"/>
                <w:color w:val="auto"/>
              </w:rPr>
              <w:t>796,536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834,543</w:t>
            </w:r>
          </w:p>
        </w:tc>
        <w:tc>
          <w:tcPr>
            <w:tcW w:w="540" w:type="dxa"/>
            <w:vAlign w:val="bottom"/>
          </w:tcPr>
          <w:p>
            <w:pPr>
              <w:jc w:val="center"/>
              <w:spacing w:after="0"/>
              <w:rPr>
                <w:sz w:val="20"/>
                <w:szCs w:val="20"/>
                <w:color w:val="auto"/>
              </w:rPr>
            </w:pPr>
            <w:r>
              <w:rPr>
                <w:rFonts w:ascii="Arial" w:cs="Arial" w:eastAsia="Arial" w:hAnsi="Arial"/>
                <w:sz w:val="8"/>
                <w:szCs w:val="8"/>
                <w:color w:val="auto"/>
                <w:w w:val="98"/>
              </w:rPr>
              <w:t>4.8%</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10.6%</w:t>
            </w:r>
          </w:p>
        </w:tc>
        <w:tc>
          <w:tcPr>
            <w:tcW w:w="720" w:type="dxa"/>
            <w:vAlign w:val="bottom"/>
          </w:tcPr>
          <w:p>
            <w:pPr>
              <w:jc w:val="center"/>
              <w:ind w:left="119"/>
              <w:spacing w:after="0"/>
              <w:rPr>
                <w:sz w:val="20"/>
                <w:szCs w:val="20"/>
                <w:color w:val="auto"/>
              </w:rPr>
            </w:pPr>
            <w:r>
              <w:rPr>
                <w:rFonts w:ascii="Arial" w:cs="Arial" w:eastAsia="Arial" w:hAnsi="Arial"/>
                <w:sz w:val="8"/>
                <w:szCs w:val="8"/>
                <w:color w:val="auto"/>
              </w:rPr>
              <w:t>1,481,962</w:t>
            </w:r>
          </w:p>
        </w:tc>
        <w:tc>
          <w:tcPr>
            <w:tcW w:w="110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rPr>
              <w:t>1,631,079</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10.1%</w:t>
            </w:r>
          </w:p>
        </w:tc>
      </w:tr>
      <w:tr>
        <w:trPr>
          <w:trHeight w:val="93"/>
        </w:trPr>
        <w:tc>
          <w:tcPr>
            <w:tcW w:w="4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Net gain on foreign exchange transactions</w:t>
            </w:r>
          </w:p>
        </w:tc>
        <w:tc>
          <w:tcPr>
            <w:tcW w:w="880" w:type="dxa"/>
            <w:vAlign w:val="bottom"/>
          </w:tcPr>
          <w:p>
            <w:pPr>
              <w:jc w:val="center"/>
              <w:spacing w:after="0"/>
              <w:rPr>
                <w:sz w:val="20"/>
                <w:szCs w:val="20"/>
                <w:color w:val="auto"/>
              </w:rPr>
            </w:pPr>
            <w:r>
              <w:rPr>
                <w:rFonts w:ascii="Arial" w:cs="Arial" w:eastAsia="Arial" w:hAnsi="Arial"/>
                <w:sz w:val="8"/>
                <w:szCs w:val="8"/>
                <w:color w:val="auto"/>
                <w:w w:val="96"/>
              </w:rPr>
              <w:t>246,228</w:t>
            </w:r>
          </w:p>
        </w:tc>
        <w:tc>
          <w:tcPr>
            <w:tcW w:w="900" w:type="dxa"/>
            <w:vAlign w:val="bottom"/>
          </w:tcPr>
          <w:p>
            <w:pPr>
              <w:jc w:val="center"/>
              <w:spacing w:after="0"/>
              <w:rPr>
                <w:sz w:val="20"/>
                <w:szCs w:val="20"/>
                <w:color w:val="auto"/>
              </w:rPr>
            </w:pPr>
            <w:r>
              <w:rPr>
                <w:rFonts w:ascii="Arial" w:cs="Arial" w:eastAsia="Arial" w:hAnsi="Arial"/>
                <w:sz w:val="8"/>
                <w:szCs w:val="8"/>
                <w:color w:val="auto"/>
              </w:rPr>
              <w:t>261,882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291,722</w:t>
            </w:r>
          </w:p>
        </w:tc>
        <w:tc>
          <w:tcPr>
            <w:tcW w:w="540" w:type="dxa"/>
            <w:vAlign w:val="bottom"/>
          </w:tcPr>
          <w:p>
            <w:pPr>
              <w:jc w:val="center"/>
              <w:spacing w:after="0"/>
              <w:rPr>
                <w:sz w:val="20"/>
                <w:szCs w:val="20"/>
                <w:color w:val="auto"/>
              </w:rPr>
            </w:pPr>
            <w:r>
              <w:rPr>
                <w:rFonts w:ascii="Arial" w:cs="Arial" w:eastAsia="Arial" w:hAnsi="Arial"/>
                <w:sz w:val="8"/>
                <w:szCs w:val="8"/>
                <w:color w:val="auto"/>
                <w:w w:val="96"/>
              </w:rPr>
              <w:t>11.4%</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18.5%</w:t>
            </w:r>
          </w:p>
        </w:tc>
        <w:tc>
          <w:tcPr>
            <w:tcW w:w="720" w:type="dxa"/>
            <w:vAlign w:val="bottom"/>
          </w:tcPr>
          <w:p>
            <w:pPr>
              <w:jc w:val="center"/>
              <w:ind w:left="119"/>
              <w:spacing w:after="0"/>
              <w:rPr>
                <w:sz w:val="20"/>
                <w:szCs w:val="20"/>
                <w:color w:val="auto"/>
              </w:rPr>
            </w:pPr>
            <w:r>
              <w:rPr>
                <w:rFonts w:ascii="Arial" w:cs="Arial" w:eastAsia="Arial" w:hAnsi="Arial"/>
                <w:sz w:val="8"/>
                <w:szCs w:val="8"/>
                <w:color w:val="auto"/>
                <w:w w:val="96"/>
              </w:rPr>
              <w:t>488,798</w:t>
            </w:r>
          </w:p>
        </w:tc>
        <w:tc>
          <w:tcPr>
            <w:tcW w:w="110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w w:val="96"/>
              </w:rPr>
              <w:t>553,604</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13.3%</w:t>
            </w:r>
          </w:p>
        </w:tc>
      </w:tr>
      <w:tr>
        <w:trPr>
          <w:trHeight w:val="93"/>
        </w:trPr>
        <w:tc>
          <w:tcPr>
            <w:tcW w:w="4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Net gain (loss) on securities</w:t>
            </w:r>
          </w:p>
        </w:tc>
        <w:tc>
          <w:tcPr>
            <w:tcW w:w="880" w:type="dxa"/>
            <w:vAlign w:val="bottom"/>
          </w:tcPr>
          <w:p>
            <w:pPr>
              <w:jc w:val="center"/>
              <w:spacing w:after="0"/>
              <w:rPr>
                <w:sz w:val="20"/>
                <w:szCs w:val="20"/>
                <w:color w:val="auto"/>
              </w:rPr>
            </w:pPr>
            <w:r>
              <w:rPr>
                <w:rFonts w:ascii="Arial" w:cs="Arial" w:eastAsia="Arial" w:hAnsi="Arial"/>
                <w:sz w:val="8"/>
                <w:szCs w:val="8"/>
                <w:color w:val="auto"/>
                <w:w w:val="93"/>
              </w:rPr>
              <w:t>(29,111)</w:t>
            </w:r>
          </w:p>
        </w:tc>
        <w:tc>
          <w:tcPr>
            <w:tcW w:w="900" w:type="dxa"/>
            <w:vAlign w:val="bottom"/>
          </w:tcPr>
          <w:p>
            <w:pPr>
              <w:jc w:val="center"/>
              <w:spacing w:after="0"/>
              <w:rPr>
                <w:sz w:val="20"/>
                <w:szCs w:val="20"/>
                <w:color w:val="auto"/>
              </w:rPr>
            </w:pPr>
            <w:r>
              <w:rPr>
                <w:rFonts w:ascii="Arial" w:cs="Arial" w:eastAsia="Arial" w:hAnsi="Arial"/>
                <w:sz w:val="8"/>
                <w:szCs w:val="8"/>
                <w:color w:val="auto"/>
              </w:rPr>
              <w:t>(10,529)</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7"/>
              </w:rPr>
              <w:t>33,920</w:t>
            </w:r>
          </w:p>
        </w:tc>
        <w:tc>
          <w:tcPr>
            <w:tcW w:w="540" w:type="dxa"/>
            <w:vAlign w:val="bottom"/>
          </w:tcPr>
          <w:p>
            <w:pPr>
              <w:jc w:val="center"/>
              <w:spacing w:after="0"/>
              <w:rPr>
                <w:sz w:val="20"/>
                <w:szCs w:val="20"/>
                <w:color w:val="auto"/>
              </w:rPr>
            </w:pPr>
            <w:r>
              <w:rPr>
                <w:rFonts w:ascii="Arial" w:cs="Arial" w:eastAsia="Arial" w:hAnsi="Arial"/>
                <w:sz w:val="8"/>
                <w:szCs w:val="8"/>
                <w:color w:val="auto"/>
              </w:rPr>
              <w:t>n.a.</w:t>
            </w:r>
          </w:p>
        </w:tc>
        <w:tc>
          <w:tcPr>
            <w:tcW w:w="560" w:type="dxa"/>
            <w:vAlign w:val="bottom"/>
            <w:tcBorders>
              <w:right w:val="single" w:sz="8" w:color="auto"/>
            </w:tcBorders>
          </w:tcPr>
          <w:p>
            <w:pPr>
              <w:ind w:left="200"/>
              <w:spacing w:after="0"/>
              <w:rPr>
                <w:sz w:val="20"/>
                <w:szCs w:val="20"/>
                <w:color w:val="auto"/>
              </w:rPr>
            </w:pPr>
            <w:r>
              <w:rPr>
                <w:rFonts w:ascii="Arial" w:cs="Arial" w:eastAsia="Arial" w:hAnsi="Arial"/>
                <w:sz w:val="8"/>
                <w:szCs w:val="8"/>
                <w:color w:val="auto"/>
              </w:rPr>
              <w:t>n.a.</w:t>
            </w:r>
          </w:p>
        </w:tc>
        <w:tc>
          <w:tcPr>
            <w:tcW w:w="720" w:type="dxa"/>
            <w:vAlign w:val="bottom"/>
          </w:tcPr>
          <w:p>
            <w:pPr>
              <w:jc w:val="center"/>
              <w:ind w:left="119"/>
              <w:spacing w:after="0"/>
              <w:rPr>
                <w:sz w:val="20"/>
                <w:szCs w:val="20"/>
                <w:color w:val="auto"/>
              </w:rPr>
            </w:pPr>
            <w:r>
              <w:rPr>
                <w:rFonts w:ascii="Arial" w:cs="Arial" w:eastAsia="Arial" w:hAnsi="Arial"/>
                <w:sz w:val="8"/>
                <w:szCs w:val="8"/>
                <w:color w:val="auto"/>
              </w:rPr>
              <w:t>(31,695)</w:t>
            </w:r>
          </w:p>
        </w:tc>
        <w:tc>
          <w:tcPr>
            <w:tcW w:w="110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w w:val="97"/>
              </w:rPr>
              <w:t>23,391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n.a.</w:t>
            </w:r>
          </w:p>
        </w:tc>
      </w:tr>
      <w:tr>
        <w:trPr>
          <w:trHeight w:val="93"/>
        </w:trPr>
        <w:tc>
          <w:tcPr>
            <w:tcW w:w="4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Net gain on derivatives held for trading</w:t>
            </w:r>
          </w:p>
        </w:tc>
        <w:tc>
          <w:tcPr>
            <w:tcW w:w="880" w:type="dxa"/>
            <w:vAlign w:val="bottom"/>
          </w:tcPr>
          <w:p>
            <w:pPr>
              <w:jc w:val="center"/>
              <w:spacing w:after="0"/>
              <w:rPr>
                <w:sz w:val="20"/>
                <w:szCs w:val="20"/>
                <w:color w:val="auto"/>
              </w:rPr>
            </w:pPr>
            <w:r>
              <w:rPr>
                <w:rFonts w:ascii="Arial" w:cs="Arial" w:eastAsia="Arial" w:hAnsi="Arial"/>
                <w:sz w:val="8"/>
                <w:szCs w:val="8"/>
                <w:color w:val="auto"/>
                <w:w w:val="97"/>
              </w:rPr>
              <w:t>38,344</w:t>
            </w:r>
          </w:p>
        </w:tc>
        <w:tc>
          <w:tcPr>
            <w:tcW w:w="900" w:type="dxa"/>
            <w:vAlign w:val="bottom"/>
          </w:tcPr>
          <w:p>
            <w:pPr>
              <w:jc w:val="center"/>
              <w:spacing w:after="0"/>
              <w:rPr>
                <w:sz w:val="20"/>
                <w:szCs w:val="20"/>
                <w:color w:val="auto"/>
              </w:rPr>
            </w:pPr>
            <w:r>
              <w:rPr>
                <w:rFonts w:ascii="Arial" w:cs="Arial" w:eastAsia="Arial" w:hAnsi="Arial"/>
                <w:sz w:val="8"/>
                <w:szCs w:val="8"/>
                <w:color w:val="auto"/>
              </w:rPr>
              <w:t>17,956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7"/>
              </w:rPr>
              <w:t>21,197</w:t>
            </w:r>
          </w:p>
        </w:tc>
        <w:tc>
          <w:tcPr>
            <w:tcW w:w="540" w:type="dxa"/>
            <w:vAlign w:val="bottom"/>
          </w:tcPr>
          <w:p>
            <w:pPr>
              <w:jc w:val="center"/>
              <w:spacing w:after="0"/>
              <w:rPr>
                <w:sz w:val="20"/>
                <w:szCs w:val="20"/>
                <w:color w:val="auto"/>
              </w:rPr>
            </w:pPr>
            <w:r>
              <w:rPr>
                <w:rFonts w:ascii="Arial" w:cs="Arial" w:eastAsia="Arial" w:hAnsi="Arial"/>
                <w:sz w:val="8"/>
                <w:szCs w:val="8"/>
                <w:color w:val="auto"/>
              </w:rPr>
              <w:t>18.0%</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-44.7%</w:t>
            </w:r>
          </w:p>
        </w:tc>
        <w:tc>
          <w:tcPr>
            <w:tcW w:w="720" w:type="dxa"/>
            <w:vAlign w:val="bottom"/>
          </w:tcPr>
          <w:p>
            <w:pPr>
              <w:jc w:val="center"/>
              <w:ind w:left="119"/>
              <w:spacing w:after="0"/>
              <w:rPr>
                <w:sz w:val="20"/>
                <w:szCs w:val="20"/>
                <w:color w:val="auto"/>
              </w:rPr>
            </w:pPr>
            <w:r>
              <w:rPr>
                <w:rFonts w:ascii="Arial" w:cs="Arial" w:eastAsia="Arial" w:hAnsi="Arial"/>
                <w:sz w:val="8"/>
                <w:szCs w:val="8"/>
                <w:color w:val="auto"/>
                <w:w w:val="97"/>
              </w:rPr>
              <w:t>60,632</w:t>
            </w:r>
          </w:p>
        </w:tc>
        <w:tc>
          <w:tcPr>
            <w:tcW w:w="110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w w:val="97"/>
              </w:rPr>
              <w:t>39,153</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-35.4%</w:t>
            </w:r>
          </w:p>
        </w:tc>
      </w:tr>
      <w:tr>
        <w:trPr>
          <w:trHeight w:val="93"/>
        </w:trPr>
        <w:tc>
          <w:tcPr>
            <w:tcW w:w="4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Net gain from exchange differences</w:t>
            </w:r>
          </w:p>
        </w:tc>
        <w:tc>
          <w:tcPr>
            <w:tcW w:w="880" w:type="dxa"/>
            <w:vAlign w:val="bottom"/>
          </w:tcPr>
          <w:p>
            <w:pPr>
              <w:jc w:val="center"/>
              <w:spacing w:after="0"/>
              <w:rPr>
                <w:sz w:val="20"/>
                <w:szCs w:val="20"/>
                <w:color w:val="auto"/>
              </w:rPr>
            </w:pPr>
            <w:r>
              <w:rPr>
                <w:rFonts w:ascii="Arial" w:cs="Arial" w:eastAsia="Arial" w:hAnsi="Arial"/>
                <w:sz w:val="8"/>
                <w:szCs w:val="8"/>
                <w:color w:val="auto"/>
                <w:w w:val="99"/>
              </w:rPr>
              <w:t>5,663</w:t>
            </w:r>
          </w:p>
        </w:tc>
        <w:tc>
          <w:tcPr>
            <w:tcW w:w="900" w:type="dxa"/>
            <w:vAlign w:val="bottom"/>
          </w:tcPr>
          <w:p>
            <w:pPr>
              <w:jc w:val="center"/>
              <w:spacing w:after="0"/>
              <w:rPr>
                <w:sz w:val="20"/>
                <w:szCs w:val="20"/>
                <w:color w:val="auto"/>
              </w:rPr>
            </w:pPr>
            <w:r>
              <w:rPr>
                <w:rFonts w:ascii="Arial" w:cs="Arial" w:eastAsia="Arial" w:hAnsi="Arial"/>
                <w:sz w:val="8"/>
                <w:szCs w:val="8"/>
                <w:color w:val="auto"/>
                <w:w w:val="99"/>
              </w:rPr>
              <w:t>6,526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89"/>
              </w:rPr>
              <w:t>723</w:t>
            </w:r>
          </w:p>
        </w:tc>
        <w:tc>
          <w:tcPr>
            <w:tcW w:w="540" w:type="dxa"/>
            <w:vAlign w:val="bottom"/>
          </w:tcPr>
          <w:p>
            <w:pPr>
              <w:jc w:val="center"/>
              <w:spacing w:after="0"/>
              <w:rPr>
                <w:sz w:val="20"/>
                <w:szCs w:val="20"/>
                <w:color w:val="auto"/>
              </w:rPr>
            </w:pPr>
            <w:r>
              <w:rPr>
                <w:rFonts w:ascii="Arial" w:cs="Arial" w:eastAsia="Arial" w:hAnsi="Arial"/>
                <w:sz w:val="8"/>
                <w:szCs w:val="8"/>
                <w:color w:val="auto"/>
              </w:rPr>
              <w:t>-88.9%</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-87.2%</w:t>
            </w:r>
          </w:p>
        </w:tc>
        <w:tc>
          <w:tcPr>
            <w:tcW w:w="720" w:type="dxa"/>
            <w:vAlign w:val="bottom"/>
          </w:tcPr>
          <w:p>
            <w:pPr>
              <w:jc w:val="center"/>
              <w:ind w:left="119"/>
              <w:spacing w:after="0"/>
              <w:rPr>
                <w:sz w:val="20"/>
                <w:szCs w:val="20"/>
                <w:color w:val="auto"/>
              </w:rPr>
            </w:pPr>
            <w:r>
              <w:rPr>
                <w:rFonts w:ascii="Arial" w:cs="Arial" w:eastAsia="Arial" w:hAnsi="Arial"/>
                <w:sz w:val="8"/>
                <w:szCs w:val="8"/>
                <w:color w:val="auto"/>
                <w:w w:val="99"/>
              </w:rPr>
              <w:t>9,971</w:t>
            </w:r>
          </w:p>
        </w:tc>
        <w:tc>
          <w:tcPr>
            <w:tcW w:w="110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w w:val="99"/>
              </w:rPr>
              <w:t>7,249</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-27.3%</w:t>
            </w:r>
          </w:p>
        </w:tc>
      </w:tr>
      <w:tr>
        <w:trPr>
          <w:trHeight w:val="93"/>
        </w:trPr>
        <w:tc>
          <w:tcPr>
            <w:tcW w:w="4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Others</w:t>
            </w:r>
          </w:p>
        </w:tc>
        <w:tc>
          <w:tcPr>
            <w:tcW w:w="880" w:type="dxa"/>
            <w:vAlign w:val="bottom"/>
          </w:tcPr>
          <w:p>
            <w:pPr>
              <w:jc w:val="center"/>
              <w:spacing w:after="0"/>
              <w:rPr>
                <w:sz w:val="20"/>
                <w:szCs w:val="20"/>
                <w:color w:val="auto"/>
              </w:rPr>
            </w:pPr>
            <w:r>
              <w:rPr>
                <w:rFonts w:ascii="Arial" w:cs="Arial" w:eastAsia="Arial" w:hAnsi="Arial"/>
                <w:sz w:val="8"/>
                <w:szCs w:val="8"/>
                <w:color w:val="auto"/>
                <w:w w:val="96"/>
              </w:rPr>
              <w:t>118,211</w:t>
            </w:r>
          </w:p>
        </w:tc>
        <w:tc>
          <w:tcPr>
            <w:tcW w:w="900" w:type="dxa"/>
            <w:vAlign w:val="bottom"/>
          </w:tcPr>
          <w:p>
            <w:pPr>
              <w:jc w:val="center"/>
              <w:spacing w:after="0"/>
              <w:rPr>
                <w:sz w:val="20"/>
                <w:szCs w:val="20"/>
                <w:color w:val="auto"/>
              </w:rPr>
            </w:pPr>
            <w:r>
              <w:rPr>
                <w:rFonts w:ascii="Arial" w:cs="Arial" w:eastAsia="Arial" w:hAnsi="Arial"/>
                <w:sz w:val="8"/>
                <w:szCs w:val="8"/>
                <w:color w:val="auto"/>
              </w:rPr>
              <w:t>56,936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7"/>
              </w:rPr>
              <w:t>74,705</w:t>
            </w:r>
          </w:p>
        </w:tc>
        <w:tc>
          <w:tcPr>
            <w:tcW w:w="540" w:type="dxa"/>
            <w:vAlign w:val="bottom"/>
          </w:tcPr>
          <w:p>
            <w:pPr>
              <w:jc w:val="center"/>
              <w:spacing w:after="0"/>
              <w:rPr>
                <w:sz w:val="20"/>
                <w:szCs w:val="20"/>
                <w:color w:val="auto"/>
              </w:rPr>
            </w:pPr>
            <w:r>
              <w:rPr>
                <w:rFonts w:ascii="Arial" w:cs="Arial" w:eastAsia="Arial" w:hAnsi="Arial"/>
                <w:sz w:val="8"/>
                <w:szCs w:val="8"/>
                <w:color w:val="auto"/>
              </w:rPr>
              <w:t>31.2%</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-36.8%</w:t>
            </w:r>
          </w:p>
        </w:tc>
        <w:tc>
          <w:tcPr>
            <w:tcW w:w="720" w:type="dxa"/>
            <w:vAlign w:val="bottom"/>
          </w:tcPr>
          <w:p>
            <w:pPr>
              <w:jc w:val="center"/>
              <w:ind w:left="119"/>
              <w:spacing w:after="0"/>
              <w:rPr>
                <w:sz w:val="20"/>
                <w:szCs w:val="20"/>
                <w:color w:val="auto"/>
              </w:rPr>
            </w:pPr>
            <w:r>
              <w:rPr>
                <w:rFonts w:ascii="Arial" w:cs="Arial" w:eastAsia="Arial" w:hAnsi="Arial"/>
                <w:sz w:val="8"/>
                <w:szCs w:val="8"/>
                <w:color w:val="auto"/>
                <w:w w:val="96"/>
              </w:rPr>
              <w:t>189,488</w:t>
            </w:r>
          </w:p>
        </w:tc>
        <w:tc>
          <w:tcPr>
            <w:tcW w:w="110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w w:val="96"/>
              </w:rPr>
              <w:t>131,641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-30.5%</w:t>
            </w:r>
          </w:p>
        </w:tc>
      </w:tr>
      <w:tr>
        <w:trPr>
          <w:trHeight w:val="108"/>
        </w:trPr>
        <w:tc>
          <w:tcPr>
            <w:tcW w:w="4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Total other income</w:t>
            </w:r>
          </w:p>
        </w:tc>
        <w:tc>
          <w:tcPr>
            <w:tcW w:w="880" w:type="dxa"/>
            <w:vAlign w:val="bottom"/>
          </w:tcPr>
          <w:p>
            <w:pPr>
              <w:jc w:val="center"/>
              <w:spacing w:after="0"/>
              <w:rPr>
                <w:sz w:val="20"/>
                <w:szCs w:val="20"/>
                <w:color w:val="auto"/>
              </w:rPr>
            </w:pPr>
            <w:r>
              <w:rPr>
                <w:rFonts w:ascii="Arial" w:cs="Arial" w:eastAsia="Arial" w:hAnsi="Arial"/>
                <w:sz w:val="8"/>
                <w:szCs w:val="8"/>
                <w:color w:val="auto"/>
              </w:rPr>
              <w:t>1,133,808</w:t>
            </w:r>
          </w:p>
        </w:tc>
        <w:tc>
          <w:tcPr>
            <w:tcW w:w="900" w:type="dxa"/>
            <w:vAlign w:val="bottom"/>
          </w:tcPr>
          <w:p>
            <w:pPr>
              <w:jc w:val="center"/>
              <w:spacing w:after="0"/>
              <w:rPr>
                <w:sz w:val="20"/>
                <w:szCs w:val="20"/>
                <w:color w:val="auto"/>
              </w:rPr>
            </w:pPr>
            <w:r>
              <w:rPr>
                <w:rFonts w:ascii="Arial" w:cs="Arial" w:eastAsia="Arial" w:hAnsi="Arial"/>
                <w:sz w:val="8"/>
                <w:szCs w:val="8"/>
                <w:color w:val="auto"/>
              </w:rPr>
              <w:t>1,129,307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1,256,810</w:t>
            </w:r>
          </w:p>
        </w:tc>
        <w:tc>
          <w:tcPr>
            <w:tcW w:w="540" w:type="dxa"/>
            <w:vAlign w:val="bottom"/>
          </w:tcPr>
          <w:p>
            <w:pPr>
              <w:jc w:val="center"/>
              <w:spacing w:after="0"/>
              <w:rPr>
                <w:sz w:val="20"/>
                <w:szCs w:val="20"/>
                <w:color w:val="auto"/>
              </w:rPr>
            </w:pPr>
            <w:r>
              <w:rPr>
                <w:rFonts w:ascii="Arial" w:cs="Arial" w:eastAsia="Arial" w:hAnsi="Arial"/>
                <w:sz w:val="8"/>
                <w:szCs w:val="8"/>
                <w:color w:val="auto"/>
                <w:w w:val="96"/>
              </w:rPr>
              <w:t>11.3%</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10.8%</w:t>
            </w:r>
          </w:p>
        </w:tc>
        <w:tc>
          <w:tcPr>
            <w:tcW w:w="720" w:type="dxa"/>
            <w:vAlign w:val="bottom"/>
          </w:tcPr>
          <w:p>
            <w:pPr>
              <w:jc w:val="center"/>
              <w:ind w:left="119"/>
              <w:spacing w:after="0"/>
              <w:rPr>
                <w:sz w:val="20"/>
                <w:szCs w:val="20"/>
                <w:color w:val="auto"/>
              </w:rPr>
            </w:pPr>
            <w:r>
              <w:rPr>
                <w:rFonts w:ascii="Arial" w:cs="Arial" w:eastAsia="Arial" w:hAnsi="Arial"/>
                <w:sz w:val="8"/>
                <w:szCs w:val="8"/>
                <w:color w:val="auto"/>
              </w:rPr>
              <w:t>2,199,156</w:t>
            </w:r>
          </w:p>
        </w:tc>
        <w:tc>
          <w:tcPr>
            <w:tcW w:w="110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rPr>
              <w:t>2,386,117</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8.5%</w:t>
            </w:r>
          </w:p>
        </w:tc>
      </w:tr>
      <w:tr>
        <w:trPr>
          <w:trHeight w:val="169"/>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8"/>
                <w:szCs w:val="8"/>
                <w:b w:val="1"/>
                <w:bCs w:val="1"/>
                <w:color w:val="auto"/>
              </w:rPr>
              <w:t>Total expenses</w:t>
            </w: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r>
      <w:tr>
        <w:trPr>
          <w:trHeight w:val="93"/>
        </w:trPr>
        <w:tc>
          <w:tcPr>
            <w:tcW w:w="4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Salaries and employee benefits</w:t>
            </w:r>
          </w:p>
        </w:tc>
        <w:tc>
          <w:tcPr>
            <w:tcW w:w="880" w:type="dxa"/>
            <w:vAlign w:val="bottom"/>
          </w:tcPr>
          <w:p>
            <w:pPr>
              <w:jc w:val="center"/>
              <w:spacing w:after="0"/>
              <w:rPr>
                <w:sz w:val="20"/>
                <w:szCs w:val="20"/>
                <w:color w:val="auto"/>
              </w:rPr>
            </w:pPr>
            <w:r>
              <w:rPr>
                <w:rFonts w:ascii="Arial" w:cs="Arial" w:eastAsia="Arial" w:hAnsi="Arial"/>
                <w:sz w:val="8"/>
                <w:szCs w:val="8"/>
                <w:color w:val="auto"/>
              </w:rPr>
              <w:t>(774,886)</w:t>
            </w:r>
          </w:p>
        </w:tc>
        <w:tc>
          <w:tcPr>
            <w:tcW w:w="900" w:type="dxa"/>
            <w:vAlign w:val="bottom"/>
          </w:tcPr>
          <w:p>
            <w:pPr>
              <w:jc w:val="center"/>
              <w:spacing w:after="0"/>
              <w:rPr>
                <w:sz w:val="20"/>
                <w:szCs w:val="20"/>
                <w:color w:val="auto"/>
              </w:rPr>
            </w:pPr>
            <w:r>
              <w:rPr>
                <w:rFonts w:ascii="Arial" w:cs="Arial" w:eastAsia="Arial" w:hAnsi="Arial"/>
                <w:sz w:val="8"/>
                <w:szCs w:val="8"/>
                <w:color w:val="auto"/>
              </w:rPr>
              <w:t>(795,569)</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(821,206)</w:t>
            </w:r>
          </w:p>
        </w:tc>
        <w:tc>
          <w:tcPr>
            <w:tcW w:w="540" w:type="dxa"/>
            <w:vAlign w:val="bottom"/>
          </w:tcPr>
          <w:p>
            <w:pPr>
              <w:jc w:val="center"/>
              <w:spacing w:after="0"/>
              <w:rPr>
                <w:sz w:val="20"/>
                <w:szCs w:val="20"/>
                <w:color w:val="auto"/>
              </w:rPr>
            </w:pPr>
            <w:r>
              <w:rPr>
                <w:rFonts w:ascii="Arial" w:cs="Arial" w:eastAsia="Arial" w:hAnsi="Arial"/>
                <w:sz w:val="8"/>
                <w:szCs w:val="8"/>
                <w:color w:val="auto"/>
                <w:w w:val="98"/>
              </w:rPr>
              <w:t>3.2%</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6.0%</w:t>
            </w:r>
          </w:p>
        </w:tc>
        <w:tc>
          <w:tcPr>
            <w:tcW w:w="720" w:type="dxa"/>
            <w:vAlign w:val="bottom"/>
          </w:tcPr>
          <w:p>
            <w:pPr>
              <w:jc w:val="center"/>
              <w:ind w:left="139"/>
              <w:spacing w:after="0"/>
              <w:rPr>
                <w:sz w:val="20"/>
                <w:szCs w:val="20"/>
                <w:color w:val="auto"/>
              </w:rPr>
            </w:pPr>
            <w:r>
              <w:rPr>
                <w:rFonts w:ascii="Arial" w:cs="Arial" w:eastAsia="Arial" w:hAnsi="Arial"/>
                <w:sz w:val="8"/>
                <w:szCs w:val="8"/>
                <w:color w:val="auto"/>
              </w:rPr>
              <w:t>(1,524,897)</w:t>
            </w:r>
          </w:p>
        </w:tc>
        <w:tc>
          <w:tcPr>
            <w:tcW w:w="1100" w:type="dxa"/>
            <w:vAlign w:val="bottom"/>
            <w:tcBorders>
              <w:right w:val="single" w:sz="8" w:color="auto"/>
            </w:tcBorders>
          </w:tcPr>
          <w:p>
            <w:pPr>
              <w:jc w:val="center"/>
              <w:ind w:left="119"/>
              <w:spacing w:after="0"/>
              <w:rPr>
                <w:sz w:val="20"/>
                <w:szCs w:val="20"/>
                <w:color w:val="auto"/>
              </w:rPr>
            </w:pPr>
            <w:r>
              <w:rPr>
                <w:rFonts w:ascii="Arial" w:cs="Arial" w:eastAsia="Arial" w:hAnsi="Arial"/>
                <w:sz w:val="8"/>
                <w:szCs w:val="8"/>
                <w:color w:val="auto"/>
              </w:rPr>
              <w:t>(1,616,775)</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6.0%</w:t>
            </w:r>
          </w:p>
        </w:tc>
      </w:tr>
      <w:tr>
        <w:trPr>
          <w:trHeight w:val="86"/>
        </w:trPr>
        <w:tc>
          <w:tcPr>
            <w:tcW w:w="4300" w:type="dxa"/>
            <w:vAlign w:val="bottom"/>
            <w:tcBorders>
              <w:left w:val="single" w:sz="8" w:color="auto"/>
              <w:right w:val="single" w:sz="8" w:color="auto"/>
            </w:tcBorders>
          </w:tcPr>
          <w:p>
            <w:pPr>
              <w:ind w:left="160"/>
              <w:spacing w:after="0" w:line="87" w:lineRule="exact"/>
              <w:rPr>
                <w:sz w:val="20"/>
                <w:szCs w:val="20"/>
                <w:color w:val="auto"/>
              </w:rPr>
            </w:pPr>
            <w:r>
              <w:rPr>
                <w:rFonts w:ascii="Arial" w:cs="Arial" w:eastAsia="Arial" w:hAnsi="Arial"/>
                <w:sz w:val="8"/>
                <w:szCs w:val="8"/>
                <w:color w:val="auto"/>
              </w:rPr>
              <w:t>Administrative expenses</w:t>
            </w:r>
          </w:p>
        </w:tc>
        <w:tc>
          <w:tcPr>
            <w:tcW w:w="880" w:type="dxa"/>
            <w:vAlign w:val="bottom"/>
          </w:tcPr>
          <w:p>
            <w:pPr>
              <w:jc w:val="center"/>
              <w:spacing w:after="0" w:line="87" w:lineRule="exact"/>
              <w:rPr>
                <w:sz w:val="20"/>
                <w:szCs w:val="20"/>
                <w:color w:val="auto"/>
              </w:rPr>
            </w:pPr>
            <w:r>
              <w:rPr>
                <w:rFonts w:ascii="Arial" w:cs="Arial" w:eastAsia="Arial" w:hAnsi="Arial"/>
                <w:sz w:val="8"/>
                <w:szCs w:val="8"/>
                <w:color w:val="auto"/>
              </w:rPr>
              <w:t>(667,935)</w:t>
            </w:r>
          </w:p>
        </w:tc>
        <w:tc>
          <w:tcPr>
            <w:tcW w:w="900" w:type="dxa"/>
            <w:vAlign w:val="bottom"/>
          </w:tcPr>
          <w:p>
            <w:pPr>
              <w:jc w:val="center"/>
              <w:spacing w:after="0" w:line="87" w:lineRule="exact"/>
              <w:rPr>
                <w:sz w:val="20"/>
                <w:szCs w:val="20"/>
                <w:color w:val="auto"/>
              </w:rPr>
            </w:pPr>
            <w:r>
              <w:rPr>
                <w:rFonts w:ascii="Arial" w:cs="Arial" w:eastAsia="Arial" w:hAnsi="Arial"/>
                <w:sz w:val="8"/>
                <w:szCs w:val="8"/>
                <w:color w:val="auto"/>
              </w:rPr>
              <w:t>(696,850)</w:t>
            </w:r>
          </w:p>
        </w:tc>
        <w:tc>
          <w:tcPr>
            <w:tcW w:w="940" w:type="dxa"/>
            <w:vAlign w:val="bottom"/>
            <w:tcBorders>
              <w:right w:val="single" w:sz="8" w:color="auto"/>
            </w:tcBorders>
          </w:tcPr>
          <w:p>
            <w:pPr>
              <w:jc w:val="center"/>
              <w:spacing w:after="0" w:line="87" w:lineRule="exact"/>
              <w:rPr>
                <w:sz w:val="20"/>
                <w:szCs w:val="20"/>
                <w:color w:val="auto"/>
              </w:rPr>
            </w:pPr>
            <w:r>
              <w:rPr>
                <w:rFonts w:ascii="Arial" w:cs="Arial" w:eastAsia="Arial" w:hAnsi="Arial"/>
                <w:sz w:val="8"/>
                <w:szCs w:val="8"/>
                <w:color w:val="auto"/>
              </w:rPr>
              <w:t>(782,834)</w:t>
            </w:r>
          </w:p>
        </w:tc>
        <w:tc>
          <w:tcPr>
            <w:tcW w:w="540" w:type="dxa"/>
            <w:vAlign w:val="bottom"/>
          </w:tcPr>
          <w:p>
            <w:pPr>
              <w:jc w:val="center"/>
              <w:spacing w:after="0" w:line="87" w:lineRule="exact"/>
              <w:rPr>
                <w:sz w:val="20"/>
                <w:szCs w:val="20"/>
                <w:color w:val="auto"/>
              </w:rPr>
            </w:pPr>
            <w:r>
              <w:rPr>
                <w:rFonts w:ascii="Arial" w:cs="Arial" w:eastAsia="Arial" w:hAnsi="Arial"/>
                <w:sz w:val="8"/>
                <w:szCs w:val="8"/>
                <w:color w:val="auto"/>
              </w:rPr>
              <w:t>12.3%</w:t>
            </w:r>
          </w:p>
        </w:tc>
        <w:tc>
          <w:tcPr>
            <w:tcW w:w="560" w:type="dxa"/>
            <w:vAlign w:val="bottom"/>
            <w:tcBorders>
              <w:right w:val="single" w:sz="8" w:color="auto"/>
            </w:tcBorders>
          </w:tcPr>
          <w:p>
            <w:pPr>
              <w:jc w:val="center"/>
              <w:spacing w:after="0" w:line="87" w:lineRule="exact"/>
              <w:rPr>
                <w:sz w:val="20"/>
                <w:szCs w:val="20"/>
                <w:color w:val="auto"/>
              </w:rPr>
            </w:pPr>
            <w:r>
              <w:rPr>
                <w:rFonts w:ascii="Arial" w:cs="Arial" w:eastAsia="Arial" w:hAnsi="Arial"/>
                <w:sz w:val="8"/>
                <w:szCs w:val="8"/>
                <w:color w:val="auto"/>
              </w:rPr>
              <w:t>17.2%</w:t>
            </w:r>
          </w:p>
        </w:tc>
        <w:tc>
          <w:tcPr>
            <w:tcW w:w="720" w:type="dxa"/>
            <w:vAlign w:val="bottom"/>
          </w:tcPr>
          <w:p>
            <w:pPr>
              <w:jc w:val="center"/>
              <w:ind w:left="139"/>
              <w:spacing w:after="0" w:line="87" w:lineRule="exact"/>
              <w:rPr>
                <w:sz w:val="20"/>
                <w:szCs w:val="20"/>
                <w:color w:val="auto"/>
              </w:rPr>
            </w:pPr>
            <w:r>
              <w:rPr>
                <w:rFonts w:ascii="Arial" w:cs="Arial" w:eastAsia="Arial" w:hAnsi="Arial"/>
                <w:sz w:val="8"/>
                <w:szCs w:val="8"/>
                <w:color w:val="auto"/>
              </w:rPr>
              <w:t>(1,313,066)</w:t>
            </w:r>
          </w:p>
        </w:tc>
        <w:tc>
          <w:tcPr>
            <w:tcW w:w="1100" w:type="dxa"/>
            <w:vAlign w:val="bottom"/>
            <w:tcBorders>
              <w:right w:val="single" w:sz="8" w:color="auto"/>
            </w:tcBorders>
          </w:tcPr>
          <w:p>
            <w:pPr>
              <w:jc w:val="center"/>
              <w:ind w:left="119"/>
              <w:spacing w:after="0" w:line="87" w:lineRule="exact"/>
              <w:rPr>
                <w:sz w:val="20"/>
                <w:szCs w:val="20"/>
                <w:color w:val="auto"/>
              </w:rPr>
            </w:pPr>
            <w:r>
              <w:rPr>
                <w:rFonts w:ascii="Arial" w:cs="Arial" w:eastAsia="Arial" w:hAnsi="Arial"/>
                <w:sz w:val="8"/>
                <w:szCs w:val="8"/>
                <w:color w:val="auto"/>
              </w:rPr>
              <w:t>(1,479,684)</w:t>
            </w:r>
          </w:p>
        </w:tc>
        <w:tc>
          <w:tcPr>
            <w:tcW w:w="900" w:type="dxa"/>
            <w:vAlign w:val="bottom"/>
            <w:tcBorders>
              <w:right w:val="single" w:sz="8" w:color="auto"/>
            </w:tcBorders>
          </w:tcPr>
          <w:p>
            <w:pPr>
              <w:jc w:val="center"/>
              <w:spacing w:after="0" w:line="87" w:lineRule="exact"/>
              <w:rPr>
                <w:sz w:val="20"/>
                <w:szCs w:val="20"/>
                <w:color w:val="auto"/>
              </w:rPr>
            </w:pPr>
            <w:r>
              <w:rPr>
                <w:rFonts w:ascii="Arial" w:cs="Arial" w:eastAsia="Arial" w:hAnsi="Arial"/>
                <w:sz w:val="8"/>
                <w:szCs w:val="8"/>
                <w:color w:val="auto"/>
              </w:rPr>
              <w:t>12.7%</w:t>
            </w:r>
          </w:p>
        </w:tc>
      </w:tr>
      <w:tr>
        <w:trPr>
          <w:trHeight w:val="99"/>
        </w:trPr>
        <w:tc>
          <w:tcPr>
            <w:tcW w:w="4300" w:type="dxa"/>
            <w:vAlign w:val="bottom"/>
            <w:tcBorders>
              <w:left w:val="single" w:sz="8" w:color="auto"/>
              <w:right w:val="single" w:sz="8" w:color="auto"/>
            </w:tcBorders>
          </w:tcPr>
          <w:p>
            <w:pPr>
              <w:ind w:left="160"/>
              <w:spacing w:after="0" w:line="99" w:lineRule="exact"/>
              <w:rPr>
                <w:sz w:val="20"/>
                <w:szCs w:val="20"/>
                <w:color w:val="auto"/>
              </w:rPr>
            </w:pPr>
            <w:r>
              <w:rPr>
                <w:rFonts w:ascii="Arial" w:cs="Arial" w:eastAsia="Arial" w:hAnsi="Arial"/>
                <w:sz w:val="7"/>
                <w:szCs w:val="7"/>
                <w:color w:val="auto"/>
              </w:rPr>
              <w:t xml:space="preserve">Depreciation and amortization </w:t>
            </w:r>
            <w:r>
              <w:rPr>
                <w:rFonts w:ascii="Arial" w:cs="Arial" w:eastAsia="Arial" w:hAnsi="Arial"/>
                <w:sz w:val="11"/>
                <w:szCs w:val="11"/>
                <w:color w:val="auto"/>
                <w:vertAlign w:val="superscript"/>
              </w:rPr>
              <w:t>(2)</w:t>
            </w:r>
          </w:p>
        </w:tc>
        <w:tc>
          <w:tcPr>
            <w:tcW w:w="880" w:type="dxa"/>
            <w:vAlign w:val="bottom"/>
          </w:tcPr>
          <w:p>
            <w:pPr>
              <w:jc w:val="center"/>
              <w:spacing w:after="0"/>
              <w:rPr>
                <w:sz w:val="20"/>
                <w:szCs w:val="20"/>
                <w:color w:val="auto"/>
              </w:rPr>
            </w:pPr>
            <w:r>
              <w:rPr>
                <w:rFonts w:ascii="Arial" w:cs="Arial" w:eastAsia="Arial" w:hAnsi="Arial"/>
                <w:sz w:val="8"/>
                <w:szCs w:val="8"/>
                <w:color w:val="auto"/>
              </w:rPr>
              <w:t>(133,876)</w:t>
            </w:r>
          </w:p>
        </w:tc>
        <w:tc>
          <w:tcPr>
            <w:tcW w:w="900" w:type="dxa"/>
            <w:vAlign w:val="bottom"/>
          </w:tcPr>
          <w:p>
            <w:pPr>
              <w:jc w:val="center"/>
              <w:spacing w:after="0"/>
              <w:rPr>
                <w:sz w:val="20"/>
                <w:szCs w:val="20"/>
                <w:color w:val="auto"/>
              </w:rPr>
            </w:pPr>
            <w:r>
              <w:rPr>
                <w:rFonts w:ascii="Arial" w:cs="Arial" w:eastAsia="Arial" w:hAnsi="Arial"/>
                <w:sz w:val="8"/>
                <w:szCs w:val="8"/>
                <w:color w:val="auto"/>
              </w:rPr>
              <w:t>(142,270)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(140,270)</w:t>
            </w:r>
          </w:p>
        </w:tc>
        <w:tc>
          <w:tcPr>
            <w:tcW w:w="540" w:type="dxa"/>
            <w:vAlign w:val="bottom"/>
          </w:tcPr>
          <w:p>
            <w:pPr>
              <w:jc w:val="center"/>
              <w:spacing w:after="0"/>
              <w:rPr>
                <w:sz w:val="20"/>
                <w:szCs w:val="20"/>
                <w:color w:val="auto"/>
              </w:rPr>
            </w:pPr>
            <w:r>
              <w:rPr>
                <w:rFonts w:ascii="Arial" w:cs="Arial" w:eastAsia="Arial" w:hAnsi="Arial"/>
                <w:sz w:val="8"/>
                <w:szCs w:val="8"/>
                <w:color w:val="auto"/>
              </w:rPr>
              <w:t>-1.4%</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4.8%</w:t>
            </w:r>
          </w:p>
        </w:tc>
        <w:tc>
          <w:tcPr>
            <w:tcW w:w="720" w:type="dxa"/>
            <w:vAlign w:val="bottom"/>
          </w:tcPr>
          <w:p>
            <w:pPr>
              <w:jc w:val="center"/>
              <w:ind w:left="119"/>
              <w:spacing w:after="0"/>
              <w:rPr>
                <w:sz w:val="20"/>
                <w:szCs w:val="20"/>
                <w:color w:val="auto"/>
              </w:rPr>
            </w:pPr>
            <w:r>
              <w:rPr>
                <w:rFonts w:ascii="Arial" w:cs="Arial" w:eastAsia="Arial" w:hAnsi="Arial"/>
                <w:sz w:val="8"/>
                <w:szCs w:val="8"/>
                <w:color w:val="auto"/>
              </w:rPr>
              <w:t>(268,143)</w:t>
            </w:r>
          </w:p>
        </w:tc>
        <w:tc>
          <w:tcPr>
            <w:tcW w:w="110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rPr>
              <w:t>(282,540)</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5.4%</w:t>
            </w:r>
          </w:p>
        </w:tc>
      </w:tr>
      <w:tr>
        <w:trPr>
          <w:trHeight w:val="93"/>
        </w:trPr>
        <w:tc>
          <w:tcPr>
            <w:tcW w:w="4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Other expenses</w:t>
            </w:r>
          </w:p>
        </w:tc>
        <w:tc>
          <w:tcPr>
            <w:tcW w:w="880" w:type="dxa"/>
            <w:vAlign w:val="bottom"/>
          </w:tcPr>
          <w:p>
            <w:pPr>
              <w:jc w:val="center"/>
              <w:spacing w:after="0"/>
              <w:rPr>
                <w:sz w:val="20"/>
                <w:szCs w:val="20"/>
                <w:color w:val="auto"/>
              </w:rPr>
            </w:pPr>
            <w:r>
              <w:rPr>
                <w:rFonts w:ascii="Arial" w:cs="Arial" w:eastAsia="Arial" w:hAnsi="Arial"/>
                <w:sz w:val="8"/>
                <w:szCs w:val="8"/>
                <w:color w:val="auto"/>
              </w:rPr>
              <w:t>(49,267)</w:t>
            </w:r>
          </w:p>
        </w:tc>
        <w:tc>
          <w:tcPr>
            <w:tcW w:w="900" w:type="dxa"/>
            <w:vAlign w:val="bottom"/>
          </w:tcPr>
          <w:p>
            <w:pPr>
              <w:jc w:val="center"/>
              <w:spacing w:after="0"/>
              <w:rPr>
                <w:sz w:val="20"/>
                <w:szCs w:val="20"/>
                <w:color w:val="auto"/>
              </w:rPr>
            </w:pPr>
            <w:r>
              <w:rPr>
                <w:rFonts w:ascii="Arial" w:cs="Arial" w:eastAsia="Arial" w:hAnsi="Arial"/>
                <w:sz w:val="8"/>
                <w:szCs w:val="8"/>
                <w:color w:val="auto"/>
              </w:rPr>
              <w:t>(52,973)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(63,530)</w:t>
            </w:r>
          </w:p>
        </w:tc>
        <w:tc>
          <w:tcPr>
            <w:tcW w:w="540" w:type="dxa"/>
            <w:vAlign w:val="bottom"/>
          </w:tcPr>
          <w:p>
            <w:pPr>
              <w:jc w:val="center"/>
              <w:spacing w:after="0"/>
              <w:rPr>
                <w:sz w:val="20"/>
                <w:szCs w:val="20"/>
                <w:color w:val="auto"/>
              </w:rPr>
            </w:pPr>
            <w:r>
              <w:rPr>
                <w:rFonts w:ascii="Arial" w:cs="Arial" w:eastAsia="Arial" w:hAnsi="Arial"/>
                <w:sz w:val="8"/>
                <w:szCs w:val="8"/>
                <w:color w:val="auto"/>
              </w:rPr>
              <w:t>19.9%</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29.0%</w:t>
            </w:r>
          </w:p>
        </w:tc>
        <w:tc>
          <w:tcPr>
            <w:tcW w:w="720" w:type="dxa"/>
            <w:vAlign w:val="bottom"/>
          </w:tcPr>
          <w:p>
            <w:pPr>
              <w:jc w:val="center"/>
              <w:ind w:left="139"/>
              <w:spacing w:after="0"/>
              <w:rPr>
                <w:sz w:val="20"/>
                <w:szCs w:val="20"/>
                <w:color w:val="auto"/>
              </w:rPr>
            </w:pPr>
            <w:r>
              <w:rPr>
                <w:rFonts w:ascii="Arial" w:cs="Arial" w:eastAsia="Arial" w:hAnsi="Arial"/>
                <w:sz w:val="8"/>
                <w:szCs w:val="8"/>
                <w:color w:val="auto"/>
              </w:rPr>
              <w:t>(93,211)</w:t>
            </w:r>
          </w:p>
        </w:tc>
        <w:tc>
          <w:tcPr>
            <w:tcW w:w="110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rPr>
              <w:t>(116,503)</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25.0%</w:t>
            </w:r>
          </w:p>
        </w:tc>
      </w:tr>
      <w:tr>
        <w:trPr>
          <w:trHeight w:val="108"/>
        </w:trPr>
        <w:tc>
          <w:tcPr>
            <w:tcW w:w="4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Total expenses</w:t>
            </w:r>
          </w:p>
        </w:tc>
        <w:tc>
          <w:tcPr>
            <w:tcW w:w="880" w:type="dxa"/>
            <w:vAlign w:val="bottom"/>
          </w:tcPr>
          <w:p>
            <w:pPr>
              <w:jc w:val="center"/>
              <w:spacing w:after="0"/>
              <w:rPr>
                <w:sz w:val="20"/>
                <w:szCs w:val="20"/>
                <w:color w:val="auto"/>
              </w:rPr>
            </w:pPr>
            <w:r>
              <w:rPr>
                <w:rFonts w:ascii="Arial" w:cs="Arial" w:eastAsia="Arial" w:hAnsi="Arial"/>
                <w:sz w:val="8"/>
                <w:szCs w:val="8"/>
                <w:color w:val="auto"/>
              </w:rPr>
              <w:t>(1,625,964)</w:t>
            </w:r>
          </w:p>
        </w:tc>
        <w:tc>
          <w:tcPr>
            <w:tcW w:w="900" w:type="dxa"/>
            <w:vAlign w:val="bottom"/>
          </w:tcPr>
          <w:p>
            <w:pPr>
              <w:jc w:val="center"/>
              <w:spacing w:after="0"/>
              <w:rPr>
                <w:sz w:val="20"/>
                <w:szCs w:val="20"/>
                <w:color w:val="auto"/>
              </w:rPr>
            </w:pPr>
            <w:r>
              <w:rPr>
                <w:rFonts w:ascii="Arial" w:cs="Arial" w:eastAsia="Arial" w:hAnsi="Arial"/>
                <w:sz w:val="8"/>
                <w:szCs w:val="8"/>
                <w:color w:val="auto"/>
              </w:rPr>
              <w:t>(1,687,662)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(1,807,840)</w:t>
            </w:r>
          </w:p>
        </w:tc>
        <w:tc>
          <w:tcPr>
            <w:tcW w:w="540" w:type="dxa"/>
            <w:vAlign w:val="bottom"/>
          </w:tcPr>
          <w:p>
            <w:pPr>
              <w:jc w:val="center"/>
              <w:spacing w:after="0"/>
              <w:rPr>
                <w:sz w:val="20"/>
                <w:szCs w:val="20"/>
                <w:color w:val="auto"/>
              </w:rPr>
            </w:pPr>
            <w:r>
              <w:rPr>
                <w:rFonts w:ascii="Arial" w:cs="Arial" w:eastAsia="Arial" w:hAnsi="Arial"/>
                <w:sz w:val="8"/>
                <w:szCs w:val="8"/>
                <w:color w:val="auto"/>
                <w:w w:val="98"/>
              </w:rPr>
              <w:t>7.1%</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11.2%</w:t>
            </w:r>
          </w:p>
        </w:tc>
        <w:tc>
          <w:tcPr>
            <w:tcW w:w="720" w:type="dxa"/>
            <w:vAlign w:val="bottom"/>
          </w:tcPr>
          <w:p>
            <w:pPr>
              <w:jc w:val="center"/>
              <w:ind w:left="139"/>
              <w:spacing w:after="0"/>
              <w:rPr>
                <w:sz w:val="20"/>
                <w:szCs w:val="20"/>
                <w:color w:val="auto"/>
              </w:rPr>
            </w:pPr>
            <w:r>
              <w:rPr>
                <w:rFonts w:ascii="Arial" w:cs="Arial" w:eastAsia="Arial" w:hAnsi="Arial"/>
                <w:sz w:val="8"/>
                <w:szCs w:val="8"/>
                <w:color w:val="auto"/>
              </w:rPr>
              <w:t>(3,199,317)</w:t>
            </w:r>
          </w:p>
        </w:tc>
        <w:tc>
          <w:tcPr>
            <w:tcW w:w="1100" w:type="dxa"/>
            <w:vAlign w:val="bottom"/>
            <w:tcBorders>
              <w:right w:val="single" w:sz="8" w:color="auto"/>
            </w:tcBorders>
          </w:tcPr>
          <w:p>
            <w:pPr>
              <w:jc w:val="center"/>
              <w:ind w:left="119"/>
              <w:spacing w:after="0"/>
              <w:rPr>
                <w:sz w:val="20"/>
                <w:szCs w:val="20"/>
                <w:color w:val="auto"/>
              </w:rPr>
            </w:pPr>
            <w:r>
              <w:rPr>
                <w:rFonts w:ascii="Arial" w:cs="Arial" w:eastAsia="Arial" w:hAnsi="Arial"/>
                <w:sz w:val="8"/>
                <w:szCs w:val="8"/>
                <w:color w:val="auto"/>
              </w:rPr>
              <w:t>(3,495,502)</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9.3%</w:t>
            </w:r>
          </w:p>
        </w:tc>
      </w:tr>
      <w:tr>
        <w:trPr>
          <w:trHeight w:val="185"/>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8"/>
                <w:szCs w:val="8"/>
                <w:color w:val="auto"/>
              </w:rPr>
              <w:t>Profit before income tax</w:t>
            </w:r>
          </w:p>
        </w:tc>
        <w:tc>
          <w:tcPr>
            <w:tcW w:w="880" w:type="dxa"/>
            <w:vAlign w:val="bottom"/>
          </w:tcPr>
          <w:p>
            <w:pPr>
              <w:jc w:val="center"/>
              <w:spacing w:after="0"/>
              <w:rPr>
                <w:sz w:val="20"/>
                <w:szCs w:val="20"/>
                <w:color w:val="auto"/>
              </w:rPr>
            </w:pPr>
            <w:r>
              <w:rPr>
                <w:rFonts w:ascii="Arial" w:cs="Arial" w:eastAsia="Arial" w:hAnsi="Arial"/>
                <w:sz w:val="8"/>
                <w:szCs w:val="8"/>
                <w:color w:val="auto"/>
              </w:rPr>
              <w:t>1,674,866</w:t>
            </w:r>
          </w:p>
        </w:tc>
        <w:tc>
          <w:tcPr>
            <w:tcW w:w="900" w:type="dxa"/>
            <w:vAlign w:val="bottom"/>
          </w:tcPr>
          <w:p>
            <w:pPr>
              <w:jc w:val="center"/>
              <w:spacing w:after="0"/>
              <w:rPr>
                <w:sz w:val="20"/>
                <w:szCs w:val="20"/>
                <w:color w:val="auto"/>
              </w:rPr>
            </w:pPr>
            <w:r>
              <w:rPr>
                <w:rFonts w:ascii="Arial" w:cs="Arial" w:eastAsia="Arial" w:hAnsi="Arial"/>
                <w:sz w:val="8"/>
                <w:szCs w:val="8"/>
                <w:color w:val="auto"/>
              </w:rPr>
              <w:t>1,847,535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1,646,671</w:t>
            </w:r>
          </w:p>
        </w:tc>
        <w:tc>
          <w:tcPr>
            <w:tcW w:w="540" w:type="dxa"/>
            <w:vAlign w:val="bottom"/>
          </w:tcPr>
          <w:p>
            <w:pPr>
              <w:jc w:val="center"/>
              <w:spacing w:after="0"/>
              <w:rPr>
                <w:sz w:val="20"/>
                <w:szCs w:val="20"/>
                <w:color w:val="auto"/>
              </w:rPr>
            </w:pPr>
            <w:r>
              <w:rPr>
                <w:rFonts w:ascii="Arial" w:cs="Arial" w:eastAsia="Arial" w:hAnsi="Arial"/>
                <w:sz w:val="8"/>
                <w:szCs w:val="8"/>
                <w:color w:val="auto"/>
              </w:rPr>
              <w:t>-10.9%</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-1.7%</w:t>
            </w:r>
          </w:p>
        </w:tc>
        <w:tc>
          <w:tcPr>
            <w:tcW w:w="720" w:type="dxa"/>
            <w:vAlign w:val="bottom"/>
          </w:tcPr>
          <w:p>
            <w:pPr>
              <w:jc w:val="center"/>
              <w:ind w:left="119"/>
              <w:spacing w:after="0"/>
              <w:rPr>
                <w:sz w:val="20"/>
                <w:szCs w:val="20"/>
                <w:color w:val="auto"/>
              </w:rPr>
            </w:pPr>
            <w:r>
              <w:rPr>
                <w:rFonts w:ascii="Arial" w:cs="Arial" w:eastAsia="Arial" w:hAnsi="Arial"/>
                <w:sz w:val="8"/>
                <w:szCs w:val="8"/>
                <w:color w:val="auto"/>
              </w:rPr>
              <w:t>3,362,451</w:t>
            </w:r>
          </w:p>
        </w:tc>
        <w:tc>
          <w:tcPr>
            <w:tcW w:w="110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rPr>
              <w:t>3,494,206</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3.9%</w:t>
            </w:r>
          </w:p>
        </w:tc>
      </w:tr>
      <w:tr>
        <w:trPr>
          <w:trHeight w:val="185"/>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8"/>
                <w:szCs w:val="8"/>
                <w:color w:val="auto"/>
              </w:rPr>
              <w:t>Income tax</w:t>
            </w:r>
          </w:p>
        </w:tc>
        <w:tc>
          <w:tcPr>
            <w:tcW w:w="880" w:type="dxa"/>
            <w:vAlign w:val="bottom"/>
          </w:tcPr>
          <w:p>
            <w:pPr>
              <w:jc w:val="center"/>
              <w:spacing w:after="0"/>
              <w:rPr>
                <w:sz w:val="20"/>
                <w:szCs w:val="20"/>
                <w:color w:val="auto"/>
              </w:rPr>
            </w:pPr>
            <w:r>
              <w:rPr>
                <w:rFonts w:ascii="Arial" w:cs="Arial" w:eastAsia="Arial" w:hAnsi="Arial"/>
                <w:sz w:val="8"/>
                <w:szCs w:val="8"/>
                <w:color w:val="auto"/>
              </w:rPr>
              <w:t>(416,753)</w:t>
            </w:r>
          </w:p>
        </w:tc>
        <w:tc>
          <w:tcPr>
            <w:tcW w:w="900" w:type="dxa"/>
            <w:vAlign w:val="bottom"/>
          </w:tcPr>
          <w:p>
            <w:pPr>
              <w:jc w:val="center"/>
              <w:spacing w:after="0"/>
              <w:rPr>
                <w:sz w:val="20"/>
                <w:szCs w:val="20"/>
                <w:color w:val="auto"/>
              </w:rPr>
            </w:pPr>
            <w:r>
              <w:rPr>
                <w:rFonts w:ascii="Arial" w:cs="Arial" w:eastAsia="Arial" w:hAnsi="Arial"/>
                <w:sz w:val="8"/>
                <w:szCs w:val="8"/>
                <w:color w:val="auto"/>
              </w:rPr>
              <w:t>(462,578)</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(399,971)</w:t>
            </w:r>
          </w:p>
        </w:tc>
        <w:tc>
          <w:tcPr>
            <w:tcW w:w="540" w:type="dxa"/>
            <w:vAlign w:val="bottom"/>
          </w:tcPr>
          <w:p>
            <w:pPr>
              <w:jc w:val="center"/>
              <w:spacing w:after="0"/>
              <w:rPr>
                <w:sz w:val="20"/>
                <w:szCs w:val="20"/>
                <w:color w:val="auto"/>
              </w:rPr>
            </w:pPr>
            <w:r>
              <w:rPr>
                <w:rFonts w:ascii="Arial" w:cs="Arial" w:eastAsia="Arial" w:hAnsi="Arial"/>
                <w:sz w:val="8"/>
                <w:szCs w:val="8"/>
                <w:color w:val="auto"/>
              </w:rPr>
              <w:t>-13.5%</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-4.0%</w:t>
            </w:r>
          </w:p>
        </w:tc>
        <w:tc>
          <w:tcPr>
            <w:tcW w:w="720" w:type="dxa"/>
            <w:vAlign w:val="bottom"/>
          </w:tcPr>
          <w:p>
            <w:pPr>
              <w:jc w:val="center"/>
              <w:ind w:left="119"/>
              <w:spacing w:after="0"/>
              <w:rPr>
                <w:sz w:val="20"/>
                <w:szCs w:val="20"/>
                <w:color w:val="auto"/>
              </w:rPr>
            </w:pPr>
            <w:r>
              <w:rPr>
                <w:rFonts w:ascii="Arial" w:cs="Arial" w:eastAsia="Arial" w:hAnsi="Arial"/>
                <w:sz w:val="8"/>
                <w:szCs w:val="8"/>
                <w:color w:val="auto"/>
              </w:rPr>
              <w:t>(839,244)</w:t>
            </w:r>
          </w:p>
        </w:tc>
        <w:tc>
          <w:tcPr>
            <w:tcW w:w="110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rPr>
              <w:t>(862,549)</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2.8%</w:t>
            </w:r>
          </w:p>
        </w:tc>
      </w:tr>
      <w:tr>
        <w:trPr>
          <w:trHeight w:val="169"/>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8"/>
                <w:szCs w:val="8"/>
                <w:color w:val="auto"/>
              </w:rPr>
              <w:t>Net profit</w:t>
            </w:r>
          </w:p>
        </w:tc>
        <w:tc>
          <w:tcPr>
            <w:tcW w:w="880" w:type="dxa"/>
            <w:vAlign w:val="bottom"/>
          </w:tcPr>
          <w:p>
            <w:pPr>
              <w:jc w:val="center"/>
              <w:spacing w:after="0"/>
              <w:rPr>
                <w:sz w:val="20"/>
                <w:szCs w:val="20"/>
                <w:color w:val="auto"/>
              </w:rPr>
            </w:pPr>
            <w:r>
              <w:rPr>
                <w:rFonts w:ascii="Arial" w:cs="Arial" w:eastAsia="Arial" w:hAnsi="Arial"/>
                <w:sz w:val="8"/>
                <w:szCs w:val="8"/>
                <w:color w:val="auto"/>
              </w:rPr>
              <w:t>1,258,113</w:t>
            </w:r>
          </w:p>
        </w:tc>
        <w:tc>
          <w:tcPr>
            <w:tcW w:w="900" w:type="dxa"/>
            <w:vAlign w:val="bottom"/>
          </w:tcPr>
          <w:p>
            <w:pPr>
              <w:jc w:val="center"/>
              <w:spacing w:after="0"/>
              <w:rPr>
                <w:sz w:val="20"/>
                <w:szCs w:val="20"/>
                <w:color w:val="auto"/>
              </w:rPr>
            </w:pPr>
            <w:r>
              <w:rPr>
                <w:rFonts w:ascii="Arial" w:cs="Arial" w:eastAsia="Arial" w:hAnsi="Arial"/>
                <w:sz w:val="8"/>
                <w:szCs w:val="8"/>
                <w:color w:val="auto"/>
              </w:rPr>
              <w:t>1,384,957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1,246,700</w:t>
            </w:r>
          </w:p>
        </w:tc>
        <w:tc>
          <w:tcPr>
            <w:tcW w:w="540" w:type="dxa"/>
            <w:vAlign w:val="bottom"/>
          </w:tcPr>
          <w:p>
            <w:pPr>
              <w:jc w:val="center"/>
              <w:spacing w:after="0"/>
              <w:rPr>
                <w:sz w:val="20"/>
                <w:szCs w:val="20"/>
                <w:color w:val="auto"/>
              </w:rPr>
            </w:pPr>
            <w:r>
              <w:rPr>
                <w:rFonts w:ascii="Arial" w:cs="Arial" w:eastAsia="Arial" w:hAnsi="Arial"/>
                <w:sz w:val="8"/>
                <w:szCs w:val="8"/>
                <w:color w:val="auto"/>
              </w:rPr>
              <w:t>-10.0%</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-0.9%</w:t>
            </w:r>
          </w:p>
        </w:tc>
        <w:tc>
          <w:tcPr>
            <w:tcW w:w="720" w:type="dxa"/>
            <w:vAlign w:val="bottom"/>
          </w:tcPr>
          <w:p>
            <w:pPr>
              <w:jc w:val="center"/>
              <w:ind w:left="119"/>
              <w:spacing w:after="0"/>
              <w:rPr>
                <w:sz w:val="20"/>
                <w:szCs w:val="20"/>
                <w:color w:val="auto"/>
              </w:rPr>
            </w:pPr>
            <w:r>
              <w:rPr>
                <w:rFonts w:ascii="Arial" w:cs="Arial" w:eastAsia="Arial" w:hAnsi="Arial"/>
                <w:sz w:val="8"/>
                <w:szCs w:val="8"/>
                <w:color w:val="auto"/>
              </w:rPr>
              <w:t>2,523,207</w:t>
            </w:r>
          </w:p>
        </w:tc>
        <w:tc>
          <w:tcPr>
            <w:tcW w:w="110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rPr>
              <w:t>2,631,657</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4.3%</w:t>
            </w:r>
          </w:p>
        </w:tc>
      </w:tr>
      <w:tr>
        <w:trPr>
          <w:trHeight w:val="93"/>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8"/>
                <w:szCs w:val="8"/>
                <w:b w:val="1"/>
                <w:bCs w:val="1"/>
                <w:color w:val="auto"/>
              </w:rPr>
              <w:t>Non-controlling interest</w:t>
            </w:r>
          </w:p>
        </w:tc>
        <w:tc>
          <w:tcPr>
            <w:tcW w:w="880" w:type="dxa"/>
            <w:vAlign w:val="bottom"/>
          </w:tcPr>
          <w:p>
            <w:pPr>
              <w:jc w:val="center"/>
              <w:spacing w:after="0"/>
              <w:rPr>
                <w:sz w:val="20"/>
                <w:szCs w:val="20"/>
                <w:color w:val="auto"/>
              </w:rPr>
            </w:pPr>
            <w:r>
              <w:rPr>
                <w:rFonts w:ascii="Arial" w:cs="Arial" w:eastAsia="Arial" w:hAnsi="Arial"/>
                <w:sz w:val="8"/>
                <w:szCs w:val="8"/>
                <w:color w:val="auto"/>
              </w:rPr>
              <w:t>(3,301)</w:t>
            </w:r>
          </w:p>
        </w:tc>
        <w:tc>
          <w:tcPr>
            <w:tcW w:w="900" w:type="dxa"/>
            <w:vAlign w:val="bottom"/>
          </w:tcPr>
          <w:p>
            <w:pPr>
              <w:jc w:val="center"/>
              <w:spacing w:after="0"/>
              <w:rPr>
                <w:sz w:val="20"/>
                <w:szCs w:val="20"/>
                <w:color w:val="auto"/>
              </w:rPr>
            </w:pPr>
            <w:r>
              <w:rPr>
                <w:rFonts w:ascii="Arial" w:cs="Arial" w:eastAsia="Arial" w:hAnsi="Arial"/>
                <w:sz w:val="8"/>
                <w:szCs w:val="8"/>
                <w:color w:val="auto"/>
              </w:rPr>
              <w:t>(4,630)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(1,749)</w:t>
            </w:r>
          </w:p>
        </w:tc>
        <w:tc>
          <w:tcPr>
            <w:tcW w:w="540" w:type="dxa"/>
            <w:vAlign w:val="bottom"/>
          </w:tcPr>
          <w:p>
            <w:pPr>
              <w:jc w:val="center"/>
              <w:spacing w:after="0"/>
              <w:rPr>
                <w:sz w:val="20"/>
                <w:szCs w:val="20"/>
                <w:color w:val="auto"/>
              </w:rPr>
            </w:pPr>
            <w:r>
              <w:rPr>
                <w:rFonts w:ascii="Arial" w:cs="Arial" w:eastAsia="Arial" w:hAnsi="Arial"/>
                <w:sz w:val="8"/>
                <w:szCs w:val="8"/>
                <w:color w:val="auto"/>
              </w:rPr>
              <w:t>-62.2%</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-47.0%</w:t>
            </w:r>
          </w:p>
        </w:tc>
        <w:tc>
          <w:tcPr>
            <w:tcW w:w="720" w:type="dxa"/>
            <w:vAlign w:val="bottom"/>
          </w:tcPr>
          <w:p>
            <w:pPr>
              <w:jc w:val="center"/>
              <w:ind w:left="139"/>
              <w:spacing w:after="0"/>
              <w:rPr>
                <w:sz w:val="20"/>
                <w:szCs w:val="20"/>
                <w:color w:val="auto"/>
              </w:rPr>
            </w:pPr>
            <w:r>
              <w:rPr>
                <w:rFonts w:ascii="Arial" w:cs="Arial" w:eastAsia="Arial" w:hAnsi="Arial"/>
                <w:sz w:val="8"/>
                <w:szCs w:val="8"/>
                <w:color w:val="auto"/>
              </w:rPr>
              <w:t>(4,413)</w:t>
            </w:r>
          </w:p>
        </w:tc>
        <w:tc>
          <w:tcPr>
            <w:tcW w:w="1100" w:type="dxa"/>
            <w:vAlign w:val="bottom"/>
            <w:tcBorders>
              <w:right w:val="single" w:sz="8" w:color="auto"/>
            </w:tcBorders>
          </w:tcPr>
          <w:p>
            <w:pPr>
              <w:jc w:val="center"/>
              <w:ind w:left="119"/>
              <w:spacing w:after="0"/>
              <w:rPr>
                <w:sz w:val="20"/>
                <w:szCs w:val="20"/>
                <w:color w:val="auto"/>
              </w:rPr>
            </w:pPr>
            <w:r>
              <w:rPr>
                <w:rFonts w:ascii="Arial" w:cs="Arial" w:eastAsia="Arial" w:hAnsi="Arial"/>
                <w:sz w:val="8"/>
                <w:szCs w:val="8"/>
                <w:color w:val="auto"/>
              </w:rPr>
              <w:t>(6,379)</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44.6%</w:t>
            </w:r>
          </w:p>
        </w:tc>
      </w:tr>
      <w:tr>
        <w:trPr>
          <w:trHeight w:val="103"/>
        </w:trPr>
        <w:tc>
          <w:tcPr>
            <w:tcW w:w="4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8"/>
                <w:szCs w:val="8"/>
                <w:color w:val="auto"/>
              </w:rPr>
              <w:t>Net profit attributable to BCP Consolidated</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1,254,812</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1,380,327</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1,244,951</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-9.8%</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-0.8%</w:t>
            </w:r>
          </w:p>
        </w:tc>
        <w:tc>
          <w:tcPr>
            <w:tcW w:w="720" w:type="dxa"/>
            <w:vAlign w:val="bottom"/>
            <w:tcBorders>
              <w:bottom w:val="single" w:sz="8" w:color="auto"/>
            </w:tcBorders>
          </w:tcPr>
          <w:p>
            <w:pPr>
              <w:jc w:val="center"/>
              <w:ind w:left="119"/>
              <w:spacing w:after="0"/>
              <w:rPr>
                <w:sz w:val="20"/>
                <w:szCs w:val="20"/>
                <w:color w:val="auto"/>
              </w:rPr>
            </w:pPr>
            <w:r>
              <w:rPr>
                <w:rFonts w:ascii="Arial" w:cs="Arial" w:eastAsia="Arial" w:hAnsi="Arial"/>
                <w:sz w:val="8"/>
                <w:szCs w:val="8"/>
                <w:color w:val="auto"/>
              </w:rPr>
              <w:t>2,518,794</w:t>
            </w:r>
          </w:p>
        </w:tc>
        <w:tc>
          <w:tcPr>
            <w:tcW w:w="1100" w:type="dxa"/>
            <w:vAlign w:val="bottom"/>
            <w:tcBorders>
              <w:bottom w:val="single" w:sz="8" w:color="auto"/>
              <w:right w:val="single" w:sz="8" w:color="auto"/>
            </w:tcBorders>
          </w:tcPr>
          <w:p>
            <w:pPr>
              <w:jc w:val="center"/>
              <w:ind w:left="99"/>
              <w:spacing w:after="0"/>
              <w:rPr>
                <w:sz w:val="20"/>
                <w:szCs w:val="20"/>
                <w:color w:val="auto"/>
              </w:rPr>
            </w:pPr>
            <w:r>
              <w:rPr>
                <w:rFonts w:ascii="Arial" w:cs="Arial" w:eastAsia="Arial" w:hAnsi="Arial"/>
                <w:sz w:val="8"/>
                <w:szCs w:val="8"/>
                <w:color w:val="auto"/>
              </w:rPr>
              <w:t>2,625,278</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4.2%</w:t>
            </w:r>
          </w:p>
        </w:tc>
      </w:tr>
    </w:tbl>
    <w:p>
      <w:pPr>
        <w:spacing w:after="0" w:line="148" w:lineRule="exact"/>
        <w:rPr>
          <w:sz w:val="20"/>
          <w:szCs w:val="20"/>
          <w:color w:val="auto"/>
        </w:rPr>
      </w:pPr>
    </w:p>
    <w:p>
      <w:pPr>
        <w:ind w:left="1020" w:hanging="141"/>
        <w:spacing w:after="0"/>
        <w:tabs>
          <w:tab w:leader="none" w:pos="1020" w:val="left"/>
        </w:tabs>
        <w:numPr>
          <w:ilvl w:val="0"/>
          <w:numId w:val="54"/>
        </w:numPr>
        <w:rPr>
          <w:rFonts w:ascii="Arial" w:cs="Arial" w:eastAsia="Arial" w:hAnsi="Arial"/>
          <w:sz w:val="10"/>
          <w:szCs w:val="10"/>
          <w:color w:val="auto"/>
        </w:rPr>
      </w:pPr>
      <w:r>
        <w:rPr>
          <w:rFonts w:ascii="Arial" w:cs="Arial" w:eastAsia="Arial" w:hAnsi="Arial"/>
          <w:sz w:val="10"/>
          <w:szCs w:val="10"/>
          <w:color w:val="auto"/>
        </w:rPr>
        <w:t>Financing expenses related to lease agreements are included according to the application of IFRS 16.</w:t>
      </w:r>
    </w:p>
    <w:p>
      <w:pPr>
        <w:ind w:left="1020" w:hanging="141"/>
        <w:spacing w:after="0"/>
        <w:tabs>
          <w:tab w:leader="none" w:pos="1020" w:val="left"/>
        </w:tabs>
        <w:numPr>
          <w:ilvl w:val="0"/>
          <w:numId w:val="54"/>
        </w:numPr>
        <w:rPr>
          <w:rFonts w:ascii="Arial" w:cs="Arial" w:eastAsia="Arial" w:hAnsi="Arial"/>
          <w:sz w:val="10"/>
          <w:szCs w:val="10"/>
          <w:color w:val="auto"/>
        </w:rPr>
      </w:pPr>
      <w:r>
        <w:rPr>
          <w:rFonts w:ascii="Arial" w:cs="Arial" w:eastAsia="Arial" w:hAnsi="Arial"/>
          <w:sz w:val="10"/>
          <w:szCs w:val="10"/>
          <w:color w:val="auto"/>
        </w:rPr>
        <w:t>The effect of the application of IFRS 16 is included, which corresponds to a greater depreciation for the asset for right-of-use”.</w:t>
      </w:r>
    </w:p>
    <w:p>
      <w:pPr>
        <w:spacing w:after="0" w:line="136"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Selected Financial Indicators</w:t>
      </w:r>
    </w:p>
    <w:p>
      <w:pPr>
        <w:spacing w:after="0" w:line="151" w:lineRule="exact"/>
        <w:rPr>
          <w:sz w:val="20"/>
          <w:szCs w:val="20"/>
          <w:color w:val="auto"/>
        </w:rPr>
      </w:pPr>
    </w:p>
    <w:tbl>
      <w:tblPr>
        <w:tblLayout w:type="fixed"/>
        <w:tblInd w:w="1210" w:type="dxa"/>
        <w:tblCellMar>
          <w:top w:w="0" w:type="dxa"/>
          <w:left w:w="0" w:type="dxa"/>
          <w:bottom w:w="0" w:type="dxa"/>
          <w:right w:w="0" w:type="dxa"/>
        </w:tblCellMar>
      </w:tblPr>
      <w:tr>
        <w:trPr>
          <w:trHeight w:val="99"/>
        </w:trPr>
        <w:tc>
          <w:tcPr>
            <w:tcW w:w="4680" w:type="dxa"/>
            <w:vAlign w:val="bottom"/>
            <w:tcBorders>
              <w:top w:val="single" w:sz="8" w:color="auto"/>
              <w:left w:val="single" w:sz="8" w:color="auto"/>
              <w:right w:val="single" w:sz="8" w:color="auto"/>
            </w:tcBorders>
            <w:shd w:val="clear" w:color="auto" w:fill="2AD2C9"/>
          </w:tcPr>
          <w:p>
            <w:pPr>
              <w:spacing w:after="0"/>
              <w:rPr>
                <w:sz w:val="8"/>
                <w:szCs w:val="8"/>
                <w:color w:val="auto"/>
              </w:rPr>
            </w:pPr>
          </w:p>
        </w:tc>
        <w:tc>
          <w:tcPr>
            <w:tcW w:w="800" w:type="dxa"/>
            <w:vAlign w:val="bottom"/>
            <w:tcBorders>
              <w:top w:val="single" w:sz="8" w:color="auto"/>
            </w:tcBorders>
            <w:shd w:val="clear" w:color="auto" w:fill="2AD2C9"/>
          </w:tcPr>
          <w:p>
            <w:pPr>
              <w:spacing w:after="0"/>
              <w:rPr>
                <w:sz w:val="8"/>
                <w:szCs w:val="8"/>
                <w:color w:val="auto"/>
              </w:rPr>
            </w:pPr>
          </w:p>
        </w:tc>
        <w:tc>
          <w:tcPr>
            <w:tcW w:w="840" w:type="dxa"/>
            <w:vAlign w:val="bottom"/>
            <w:tcBorders>
              <w:top w:val="single" w:sz="8" w:color="auto"/>
            </w:tcBorders>
            <w:shd w:val="clear" w:color="auto" w:fill="2AD2C9"/>
          </w:tcPr>
          <w:p>
            <w:pPr>
              <w:ind w:left="260"/>
              <w:spacing w:after="0" w:line="99" w:lineRule="exact"/>
              <w:rPr>
                <w:sz w:val="20"/>
                <w:szCs w:val="20"/>
                <w:color w:val="auto"/>
              </w:rPr>
            </w:pPr>
            <w:r>
              <w:rPr>
                <w:rFonts w:ascii="Arial" w:cs="Arial" w:eastAsia="Arial" w:hAnsi="Arial"/>
                <w:sz w:val="10"/>
                <w:szCs w:val="10"/>
                <w:b w:val="1"/>
                <w:bCs w:val="1"/>
                <w:color w:val="FFFFFF"/>
              </w:rPr>
              <w:t>Quarter</w:t>
            </w:r>
          </w:p>
        </w:tc>
        <w:tc>
          <w:tcPr>
            <w:tcW w:w="880" w:type="dxa"/>
            <w:vAlign w:val="bottom"/>
            <w:tcBorders>
              <w:top w:val="single" w:sz="8" w:color="auto"/>
              <w:right w:val="single" w:sz="8" w:color="auto"/>
            </w:tcBorders>
            <w:shd w:val="clear" w:color="auto" w:fill="2AD2C9"/>
          </w:tcPr>
          <w:p>
            <w:pPr>
              <w:spacing w:after="0"/>
              <w:rPr>
                <w:sz w:val="8"/>
                <w:szCs w:val="8"/>
                <w:color w:val="auto"/>
              </w:rPr>
            </w:pPr>
          </w:p>
        </w:tc>
        <w:tc>
          <w:tcPr>
            <w:tcW w:w="480" w:type="dxa"/>
            <w:vAlign w:val="bottom"/>
            <w:tcBorders>
              <w:top w:val="single" w:sz="8" w:color="auto"/>
            </w:tcBorders>
            <w:shd w:val="clear" w:color="auto" w:fill="2AD2C9"/>
          </w:tcPr>
          <w:p>
            <w:pPr>
              <w:spacing w:after="0"/>
              <w:rPr>
                <w:sz w:val="8"/>
                <w:szCs w:val="8"/>
                <w:color w:val="auto"/>
              </w:rPr>
            </w:pPr>
          </w:p>
        </w:tc>
        <w:tc>
          <w:tcPr>
            <w:tcW w:w="780" w:type="dxa"/>
            <w:vAlign w:val="bottom"/>
            <w:tcBorders>
              <w:top w:val="single" w:sz="8" w:color="auto"/>
              <w:right w:val="single" w:sz="8" w:color="auto"/>
            </w:tcBorders>
            <w:shd w:val="clear" w:color="auto" w:fill="2AD2C9"/>
          </w:tcPr>
          <w:p>
            <w:pPr>
              <w:spacing w:after="0" w:line="99" w:lineRule="exact"/>
              <w:rPr>
                <w:sz w:val="20"/>
                <w:szCs w:val="20"/>
                <w:color w:val="auto"/>
              </w:rPr>
            </w:pPr>
            <w:r>
              <w:rPr>
                <w:rFonts w:ascii="Arial" w:cs="Arial" w:eastAsia="Arial" w:hAnsi="Arial"/>
                <w:sz w:val="10"/>
                <w:szCs w:val="10"/>
                <w:b w:val="1"/>
                <w:bCs w:val="1"/>
                <w:color w:val="FFFFFF"/>
              </w:rPr>
              <w:t>Up to</w:t>
            </w:r>
          </w:p>
        </w:tc>
      </w:tr>
      <w:tr>
        <w:trPr>
          <w:trHeight w:val="117"/>
        </w:trPr>
        <w:tc>
          <w:tcPr>
            <w:tcW w:w="4680" w:type="dxa"/>
            <w:vAlign w:val="bottom"/>
            <w:tcBorders>
              <w:left w:val="single" w:sz="8" w:color="auto"/>
              <w:bottom w:val="single" w:sz="8" w:color="auto"/>
              <w:right w:val="single" w:sz="8" w:color="auto"/>
            </w:tcBorders>
            <w:shd w:val="clear" w:color="auto" w:fill="2AD2C9"/>
          </w:tcPr>
          <w:p>
            <w:pPr>
              <w:spacing w:after="0"/>
              <w:rPr>
                <w:sz w:val="10"/>
                <w:szCs w:val="10"/>
                <w:color w:val="auto"/>
              </w:rPr>
            </w:pPr>
          </w:p>
        </w:tc>
        <w:tc>
          <w:tcPr>
            <w:tcW w:w="8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89"/>
              </w:rPr>
              <w:t>2Q23</w:t>
            </w:r>
          </w:p>
        </w:tc>
        <w:tc>
          <w:tcPr>
            <w:tcW w:w="8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7"/>
              </w:rPr>
              <w:t>1Q24</w:t>
            </w:r>
          </w:p>
        </w:tc>
        <w:tc>
          <w:tcPr>
            <w:tcW w:w="8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7"/>
              </w:rPr>
              <w:t>2Q24</w:t>
            </w:r>
          </w:p>
        </w:tc>
        <w:tc>
          <w:tcPr>
            <w:tcW w:w="480" w:type="dxa"/>
            <w:vAlign w:val="bottom"/>
            <w:tcBorders>
              <w:bottom w:val="single" w:sz="8" w:color="auto"/>
            </w:tcBorders>
            <w:shd w:val="clear" w:color="auto" w:fill="2AD2C9"/>
          </w:tcPr>
          <w:p>
            <w:pPr>
              <w:jc w:val="center"/>
              <w:ind w:left="52"/>
              <w:spacing w:after="0"/>
              <w:rPr>
                <w:sz w:val="20"/>
                <w:szCs w:val="20"/>
                <w:color w:val="auto"/>
              </w:rPr>
            </w:pPr>
            <w:r>
              <w:rPr>
                <w:rFonts w:ascii="Arial" w:cs="Arial" w:eastAsia="Arial" w:hAnsi="Arial"/>
                <w:sz w:val="10"/>
                <w:szCs w:val="10"/>
                <w:b w:val="1"/>
                <w:bCs w:val="1"/>
                <w:color w:val="FFFFFF"/>
                <w:w w:val="91"/>
              </w:rPr>
              <w:t>1H23</w:t>
            </w:r>
          </w:p>
        </w:tc>
        <w:tc>
          <w:tcPr>
            <w:tcW w:w="780" w:type="dxa"/>
            <w:vAlign w:val="bottom"/>
            <w:tcBorders>
              <w:bottom w:val="single" w:sz="8" w:color="auto"/>
              <w:right w:val="single" w:sz="8" w:color="auto"/>
            </w:tcBorders>
            <w:shd w:val="clear" w:color="auto" w:fill="2AD2C9"/>
          </w:tcPr>
          <w:p>
            <w:pPr>
              <w:jc w:val="center"/>
              <w:ind w:left="52"/>
              <w:spacing w:after="0"/>
              <w:rPr>
                <w:sz w:val="20"/>
                <w:szCs w:val="20"/>
                <w:color w:val="auto"/>
              </w:rPr>
            </w:pPr>
            <w:r>
              <w:rPr>
                <w:rFonts w:ascii="Arial" w:cs="Arial" w:eastAsia="Arial" w:hAnsi="Arial"/>
                <w:sz w:val="10"/>
                <w:szCs w:val="10"/>
                <w:b w:val="1"/>
                <w:bCs w:val="1"/>
                <w:color w:val="FFFFFF"/>
              </w:rPr>
              <w:t>1H24</w:t>
            </w:r>
          </w:p>
        </w:tc>
      </w:tr>
      <w:tr>
        <w:trPr>
          <w:trHeight w:val="75"/>
        </w:trPr>
        <w:tc>
          <w:tcPr>
            <w:tcW w:w="4680" w:type="dxa"/>
            <w:vAlign w:val="bottom"/>
            <w:tcBorders>
              <w:left w:val="single" w:sz="8" w:color="auto"/>
              <w:right w:val="single" w:sz="8" w:color="auto"/>
            </w:tcBorders>
          </w:tcPr>
          <w:p>
            <w:pPr>
              <w:ind w:left="40"/>
              <w:spacing w:after="0" w:line="75" w:lineRule="exact"/>
              <w:rPr>
                <w:sz w:val="20"/>
                <w:szCs w:val="20"/>
                <w:color w:val="auto"/>
              </w:rPr>
            </w:pPr>
            <w:r>
              <w:rPr>
                <w:rFonts w:ascii="Arial" w:cs="Arial" w:eastAsia="Arial" w:hAnsi="Arial"/>
                <w:sz w:val="8"/>
                <w:szCs w:val="8"/>
                <w:b w:val="1"/>
                <w:bCs w:val="1"/>
                <w:color w:val="auto"/>
              </w:rPr>
              <w:t>Profitability</w:t>
            </w: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r>
      <w:tr>
        <w:trPr>
          <w:trHeight w:val="103"/>
        </w:trPr>
        <w:tc>
          <w:tcPr>
            <w:tcW w:w="4680" w:type="dxa"/>
            <w:vAlign w:val="bottom"/>
            <w:tcBorders>
              <w:left w:val="single" w:sz="8" w:color="auto"/>
              <w:right w:val="single" w:sz="8" w:color="auto"/>
            </w:tcBorders>
          </w:tcPr>
          <w:p>
            <w:pPr>
              <w:ind w:left="140"/>
              <w:spacing w:after="0" w:line="103" w:lineRule="exact"/>
              <w:rPr>
                <w:sz w:val="20"/>
                <w:szCs w:val="20"/>
                <w:color w:val="auto"/>
              </w:rPr>
            </w:pPr>
            <w:r>
              <w:rPr>
                <w:rFonts w:ascii="Arial" w:cs="Arial" w:eastAsia="Arial" w:hAnsi="Arial"/>
                <w:sz w:val="11"/>
                <w:szCs w:val="11"/>
                <w:color w:val="auto"/>
                <w:vertAlign w:val="subscript"/>
              </w:rPr>
              <w:t>ROAA</w:t>
            </w:r>
            <w:r>
              <w:rPr>
                <w:rFonts w:ascii="Arial" w:cs="Arial" w:eastAsia="Arial" w:hAnsi="Arial"/>
                <w:sz w:val="6"/>
                <w:szCs w:val="6"/>
                <w:color w:val="auto"/>
              </w:rPr>
              <w:t xml:space="preserve"> (1)(2)</w:t>
            </w:r>
          </w:p>
        </w:tc>
        <w:tc>
          <w:tcPr>
            <w:tcW w:w="800" w:type="dxa"/>
            <w:vAlign w:val="bottom"/>
          </w:tcPr>
          <w:p>
            <w:pPr>
              <w:jc w:val="center"/>
              <w:spacing w:after="0" w:line="103" w:lineRule="exact"/>
              <w:rPr>
                <w:sz w:val="20"/>
                <w:szCs w:val="20"/>
                <w:color w:val="auto"/>
              </w:rPr>
            </w:pPr>
            <w:r>
              <w:rPr>
                <w:rFonts w:ascii="Arial" w:cs="Arial" w:eastAsia="Arial" w:hAnsi="Arial"/>
                <w:sz w:val="10"/>
                <w:szCs w:val="10"/>
                <w:color w:val="auto"/>
                <w:w w:val="91"/>
              </w:rPr>
              <w:t>2.62%</w:t>
            </w:r>
          </w:p>
        </w:tc>
        <w:tc>
          <w:tcPr>
            <w:tcW w:w="840" w:type="dxa"/>
            <w:vAlign w:val="bottom"/>
          </w:tcPr>
          <w:p>
            <w:pPr>
              <w:jc w:val="center"/>
              <w:spacing w:after="0" w:line="103" w:lineRule="exact"/>
              <w:rPr>
                <w:sz w:val="20"/>
                <w:szCs w:val="20"/>
                <w:color w:val="auto"/>
              </w:rPr>
            </w:pPr>
            <w:r>
              <w:rPr>
                <w:rFonts w:ascii="Arial" w:cs="Arial" w:eastAsia="Arial" w:hAnsi="Arial"/>
                <w:sz w:val="10"/>
                <w:szCs w:val="10"/>
                <w:color w:val="auto"/>
                <w:w w:val="98"/>
              </w:rPr>
              <w:t>2.83%</w:t>
            </w:r>
          </w:p>
        </w:tc>
        <w:tc>
          <w:tcPr>
            <w:tcW w:w="8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8"/>
              </w:rPr>
              <w:t>2.49%</w:t>
            </w:r>
          </w:p>
        </w:tc>
        <w:tc>
          <w:tcPr>
            <w:tcW w:w="480" w:type="dxa"/>
            <w:vAlign w:val="bottom"/>
          </w:tcPr>
          <w:p>
            <w:pPr>
              <w:jc w:val="center"/>
              <w:ind w:left="52"/>
              <w:spacing w:after="0" w:line="103" w:lineRule="exact"/>
              <w:rPr>
                <w:sz w:val="20"/>
                <w:szCs w:val="20"/>
                <w:color w:val="auto"/>
              </w:rPr>
            </w:pPr>
            <w:r>
              <w:rPr>
                <w:rFonts w:ascii="Arial" w:cs="Arial" w:eastAsia="Arial" w:hAnsi="Arial"/>
                <w:sz w:val="10"/>
                <w:szCs w:val="10"/>
                <w:color w:val="auto"/>
                <w:w w:val="91"/>
              </w:rPr>
              <w:t>2.63%</w:t>
            </w:r>
          </w:p>
        </w:tc>
        <w:tc>
          <w:tcPr>
            <w:tcW w:w="780" w:type="dxa"/>
            <w:vAlign w:val="bottom"/>
            <w:tcBorders>
              <w:right w:val="single" w:sz="8" w:color="auto"/>
            </w:tcBorders>
          </w:tcPr>
          <w:p>
            <w:pPr>
              <w:jc w:val="center"/>
              <w:ind w:left="52"/>
              <w:spacing w:after="0" w:line="103" w:lineRule="exact"/>
              <w:rPr>
                <w:sz w:val="20"/>
                <w:szCs w:val="20"/>
                <w:color w:val="auto"/>
              </w:rPr>
            </w:pPr>
            <w:r>
              <w:rPr>
                <w:rFonts w:ascii="Arial" w:cs="Arial" w:eastAsia="Arial" w:hAnsi="Arial"/>
                <w:sz w:val="10"/>
                <w:szCs w:val="10"/>
                <w:color w:val="auto"/>
                <w:w w:val="98"/>
              </w:rPr>
              <w:t>2.63%</w:t>
            </w:r>
          </w:p>
        </w:tc>
      </w:tr>
      <w:tr>
        <w:trPr>
          <w:trHeight w:val="103"/>
        </w:trPr>
        <w:tc>
          <w:tcPr>
            <w:tcW w:w="4680" w:type="dxa"/>
            <w:vAlign w:val="bottom"/>
            <w:tcBorders>
              <w:left w:val="single" w:sz="8" w:color="auto"/>
              <w:right w:val="single" w:sz="8" w:color="auto"/>
            </w:tcBorders>
          </w:tcPr>
          <w:p>
            <w:pPr>
              <w:ind w:left="140"/>
              <w:spacing w:after="0" w:line="103" w:lineRule="exact"/>
              <w:rPr>
                <w:sz w:val="20"/>
                <w:szCs w:val="20"/>
                <w:color w:val="auto"/>
              </w:rPr>
            </w:pPr>
            <w:r>
              <w:rPr>
                <w:rFonts w:ascii="Arial" w:cs="Arial" w:eastAsia="Arial" w:hAnsi="Arial"/>
                <w:sz w:val="11"/>
                <w:szCs w:val="11"/>
                <w:color w:val="auto"/>
                <w:vertAlign w:val="subscript"/>
              </w:rPr>
              <w:t>ROAE</w:t>
            </w:r>
            <w:r>
              <w:rPr>
                <w:rFonts w:ascii="Arial" w:cs="Arial" w:eastAsia="Arial" w:hAnsi="Arial"/>
                <w:sz w:val="6"/>
                <w:szCs w:val="6"/>
                <w:color w:val="auto"/>
              </w:rPr>
              <w:t xml:space="preserve"> (1)(2)</w:t>
            </w:r>
          </w:p>
        </w:tc>
        <w:tc>
          <w:tcPr>
            <w:tcW w:w="800" w:type="dxa"/>
            <w:vAlign w:val="bottom"/>
          </w:tcPr>
          <w:p>
            <w:pPr>
              <w:jc w:val="center"/>
              <w:spacing w:after="0" w:line="103" w:lineRule="exact"/>
              <w:rPr>
                <w:sz w:val="20"/>
                <w:szCs w:val="20"/>
                <w:color w:val="auto"/>
              </w:rPr>
            </w:pPr>
            <w:r>
              <w:rPr>
                <w:rFonts w:ascii="Arial" w:cs="Arial" w:eastAsia="Arial" w:hAnsi="Arial"/>
                <w:sz w:val="10"/>
                <w:szCs w:val="10"/>
                <w:color w:val="auto"/>
              </w:rPr>
              <w:t>22.31%</w:t>
            </w:r>
          </w:p>
        </w:tc>
        <w:tc>
          <w:tcPr>
            <w:tcW w:w="840" w:type="dxa"/>
            <w:vAlign w:val="bottom"/>
          </w:tcPr>
          <w:p>
            <w:pPr>
              <w:jc w:val="center"/>
              <w:spacing w:after="0" w:line="103" w:lineRule="exact"/>
              <w:rPr>
                <w:sz w:val="20"/>
                <w:szCs w:val="20"/>
                <w:color w:val="auto"/>
              </w:rPr>
            </w:pPr>
            <w:r>
              <w:rPr>
                <w:rFonts w:ascii="Arial" w:cs="Arial" w:eastAsia="Arial" w:hAnsi="Arial"/>
                <w:sz w:val="10"/>
                <w:szCs w:val="10"/>
                <w:color w:val="auto"/>
                <w:w w:val="94"/>
              </w:rPr>
              <w:t>23.34%</w:t>
            </w:r>
          </w:p>
        </w:tc>
        <w:tc>
          <w:tcPr>
            <w:tcW w:w="8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21.68%</w:t>
            </w:r>
          </w:p>
        </w:tc>
        <w:tc>
          <w:tcPr>
            <w:tcW w:w="480" w:type="dxa"/>
            <w:vAlign w:val="bottom"/>
          </w:tcPr>
          <w:p>
            <w:pPr>
              <w:jc w:val="center"/>
              <w:ind w:left="52"/>
              <w:spacing w:after="0" w:line="103" w:lineRule="exact"/>
              <w:rPr>
                <w:sz w:val="20"/>
                <w:szCs w:val="20"/>
                <w:color w:val="auto"/>
              </w:rPr>
            </w:pPr>
            <w:r>
              <w:rPr>
                <w:rFonts w:ascii="Arial" w:cs="Arial" w:eastAsia="Arial" w:hAnsi="Arial"/>
                <w:sz w:val="10"/>
                <w:szCs w:val="10"/>
                <w:color w:val="auto"/>
              </w:rPr>
              <w:t>22.39%</w:t>
            </w:r>
          </w:p>
        </w:tc>
        <w:tc>
          <w:tcPr>
            <w:tcW w:w="780" w:type="dxa"/>
            <w:vAlign w:val="bottom"/>
            <w:tcBorders>
              <w:right w:val="single" w:sz="8" w:color="auto"/>
            </w:tcBorders>
          </w:tcPr>
          <w:p>
            <w:pPr>
              <w:jc w:val="center"/>
              <w:ind w:left="52"/>
              <w:spacing w:after="0" w:line="103" w:lineRule="exact"/>
              <w:rPr>
                <w:sz w:val="20"/>
                <w:szCs w:val="20"/>
                <w:color w:val="auto"/>
              </w:rPr>
            </w:pPr>
            <w:r>
              <w:rPr>
                <w:rFonts w:ascii="Arial" w:cs="Arial" w:eastAsia="Arial" w:hAnsi="Arial"/>
                <w:sz w:val="10"/>
                <w:szCs w:val="10"/>
                <w:color w:val="auto"/>
                <w:w w:val="94"/>
              </w:rPr>
              <w:t>22.86%</w:t>
            </w:r>
          </w:p>
        </w:tc>
      </w:tr>
      <w:tr>
        <w:trPr>
          <w:trHeight w:val="103"/>
        </w:trPr>
        <w:tc>
          <w:tcPr>
            <w:tcW w:w="4680" w:type="dxa"/>
            <w:vAlign w:val="bottom"/>
            <w:tcBorders>
              <w:left w:val="single" w:sz="8" w:color="auto"/>
              <w:right w:val="single" w:sz="8" w:color="auto"/>
            </w:tcBorders>
          </w:tcPr>
          <w:p>
            <w:pPr>
              <w:ind w:left="140"/>
              <w:spacing w:after="0" w:line="103" w:lineRule="exact"/>
              <w:rPr>
                <w:sz w:val="20"/>
                <w:szCs w:val="20"/>
                <w:color w:val="auto"/>
              </w:rPr>
            </w:pPr>
            <w:r>
              <w:rPr>
                <w:rFonts w:ascii="Arial" w:cs="Arial" w:eastAsia="Arial" w:hAnsi="Arial"/>
                <w:sz w:val="7"/>
                <w:szCs w:val="7"/>
                <w:color w:val="auto"/>
              </w:rPr>
              <w:t xml:space="preserve">Net interest margin </w:t>
            </w:r>
            <w:r>
              <w:rPr>
                <w:rFonts w:ascii="Arial" w:cs="Arial" w:eastAsia="Arial" w:hAnsi="Arial"/>
                <w:sz w:val="11"/>
                <w:szCs w:val="11"/>
                <w:color w:val="auto"/>
                <w:vertAlign w:val="superscript"/>
              </w:rPr>
              <w:t>(1)(2)</w:t>
            </w:r>
          </w:p>
        </w:tc>
        <w:tc>
          <w:tcPr>
            <w:tcW w:w="800" w:type="dxa"/>
            <w:vAlign w:val="bottom"/>
          </w:tcPr>
          <w:p>
            <w:pPr>
              <w:jc w:val="center"/>
              <w:spacing w:after="0" w:line="103" w:lineRule="exact"/>
              <w:rPr>
                <w:sz w:val="20"/>
                <w:szCs w:val="20"/>
                <w:color w:val="auto"/>
              </w:rPr>
            </w:pPr>
            <w:r>
              <w:rPr>
                <w:rFonts w:ascii="Arial" w:cs="Arial" w:eastAsia="Arial" w:hAnsi="Arial"/>
                <w:sz w:val="10"/>
                <w:szCs w:val="10"/>
                <w:color w:val="auto"/>
                <w:w w:val="91"/>
              </w:rPr>
              <w:t>6.39%</w:t>
            </w:r>
          </w:p>
        </w:tc>
        <w:tc>
          <w:tcPr>
            <w:tcW w:w="840" w:type="dxa"/>
            <w:vAlign w:val="bottom"/>
          </w:tcPr>
          <w:p>
            <w:pPr>
              <w:jc w:val="center"/>
              <w:spacing w:after="0" w:line="103" w:lineRule="exact"/>
              <w:rPr>
                <w:sz w:val="20"/>
                <w:szCs w:val="20"/>
                <w:color w:val="auto"/>
              </w:rPr>
            </w:pPr>
            <w:r>
              <w:rPr>
                <w:rFonts w:ascii="Arial" w:cs="Arial" w:eastAsia="Arial" w:hAnsi="Arial"/>
                <w:sz w:val="10"/>
                <w:szCs w:val="10"/>
                <w:color w:val="auto"/>
                <w:w w:val="98"/>
              </w:rPr>
              <w:t>6.71%</w:t>
            </w:r>
          </w:p>
        </w:tc>
        <w:tc>
          <w:tcPr>
            <w:tcW w:w="8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8"/>
              </w:rPr>
              <w:t>6.77%</w:t>
            </w:r>
          </w:p>
        </w:tc>
        <w:tc>
          <w:tcPr>
            <w:tcW w:w="480" w:type="dxa"/>
            <w:vAlign w:val="bottom"/>
          </w:tcPr>
          <w:p>
            <w:pPr>
              <w:jc w:val="center"/>
              <w:ind w:left="52"/>
              <w:spacing w:after="0" w:line="103" w:lineRule="exact"/>
              <w:rPr>
                <w:sz w:val="20"/>
                <w:szCs w:val="20"/>
                <w:color w:val="auto"/>
              </w:rPr>
            </w:pPr>
            <w:r>
              <w:rPr>
                <w:rFonts w:ascii="Arial" w:cs="Arial" w:eastAsia="Arial" w:hAnsi="Arial"/>
                <w:sz w:val="10"/>
                <w:szCs w:val="10"/>
                <w:color w:val="auto"/>
                <w:w w:val="91"/>
              </w:rPr>
              <w:t>6.34%</w:t>
            </w:r>
          </w:p>
        </w:tc>
        <w:tc>
          <w:tcPr>
            <w:tcW w:w="780" w:type="dxa"/>
            <w:vAlign w:val="bottom"/>
            <w:tcBorders>
              <w:right w:val="single" w:sz="8" w:color="auto"/>
            </w:tcBorders>
          </w:tcPr>
          <w:p>
            <w:pPr>
              <w:jc w:val="center"/>
              <w:ind w:left="52"/>
              <w:spacing w:after="0" w:line="103" w:lineRule="exact"/>
              <w:rPr>
                <w:sz w:val="20"/>
                <w:szCs w:val="20"/>
                <w:color w:val="auto"/>
              </w:rPr>
            </w:pPr>
            <w:r>
              <w:rPr>
                <w:rFonts w:ascii="Arial" w:cs="Arial" w:eastAsia="Arial" w:hAnsi="Arial"/>
                <w:sz w:val="10"/>
                <w:szCs w:val="10"/>
                <w:color w:val="auto"/>
                <w:w w:val="98"/>
              </w:rPr>
              <w:t>6.70%</w:t>
            </w:r>
          </w:p>
        </w:tc>
      </w:tr>
      <w:tr>
        <w:trPr>
          <w:trHeight w:val="103"/>
        </w:trPr>
        <w:tc>
          <w:tcPr>
            <w:tcW w:w="4680" w:type="dxa"/>
            <w:vAlign w:val="bottom"/>
            <w:tcBorders>
              <w:left w:val="single" w:sz="8" w:color="auto"/>
              <w:right w:val="single" w:sz="8" w:color="auto"/>
            </w:tcBorders>
          </w:tcPr>
          <w:p>
            <w:pPr>
              <w:ind w:left="140"/>
              <w:spacing w:after="0" w:line="103" w:lineRule="exact"/>
              <w:rPr>
                <w:sz w:val="20"/>
                <w:szCs w:val="20"/>
                <w:color w:val="auto"/>
              </w:rPr>
            </w:pPr>
            <w:r>
              <w:rPr>
                <w:rFonts w:ascii="Arial" w:cs="Arial" w:eastAsia="Arial" w:hAnsi="Arial"/>
                <w:sz w:val="7"/>
                <w:szCs w:val="7"/>
                <w:color w:val="auto"/>
              </w:rPr>
              <w:t xml:space="preserve">Risk adjusted NIM </w:t>
            </w:r>
            <w:r>
              <w:rPr>
                <w:rFonts w:ascii="Arial" w:cs="Arial" w:eastAsia="Arial" w:hAnsi="Arial"/>
                <w:sz w:val="11"/>
                <w:szCs w:val="11"/>
                <w:color w:val="auto"/>
                <w:vertAlign w:val="superscript"/>
              </w:rPr>
              <w:t>(1)(2)</w:t>
            </w:r>
          </w:p>
        </w:tc>
        <w:tc>
          <w:tcPr>
            <w:tcW w:w="800" w:type="dxa"/>
            <w:vAlign w:val="bottom"/>
          </w:tcPr>
          <w:p>
            <w:pPr>
              <w:jc w:val="center"/>
              <w:spacing w:after="0" w:line="103" w:lineRule="exact"/>
              <w:rPr>
                <w:sz w:val="20"/>
                <w:szCs w:val="20"/>
                <w:color w:val="auto"/>
              </w:rPr>
            </w:pPr>
            <w:r>
              <w:rPr>
                <w:rFonts w:ascii="Arial" w:cs="Arial" w:eastAsia="Arial" w:hAnsi="Arial"/>
                <w:sz w:val="10"/>
                <w:szCs w:val="10"/>
                <w:color w:val="auto"/>
                <w:w w:val="91"/>
              </w:rPr>
              <w:t>4.69%</w:t>
            </w:r>
          </w:p>
        </w:tc>
        <w:tc>
          <w:tcPr>
            <w:tcW w:w="840" w:type="dxa"/>
            <w:vAlign w:val="bottom"/>
          </w:tcPr>
          <w:p>
            <w:pPr>
              <w:jc w:val="center"/>
              <w:spacing w:after="0" w:line="103" w:lineRule="exact"/>
              <w:rPr>
                <w:sz w:val="20"/>
                <w:szCs w:val="20"/>
                <w:color w:val="auto"/>
              </w:rPr>
            </w:pPr>
            <w:r>
              <w:rPr>
                <w:rFonts w:ascii="Arial" w:cs="Arial" w:eastAsia="Arial" w:hAnsi="Arial"/>
                <w:sz w:val="10"/>
                <w:szCs w:val="10"/>
                <w:color w:val="auto"/>
                <w:w w:val="98"/>
              </w:rPr>
              <w:t>5.11%</w:t>
            </w:r>
          </w:p>
        </w:tc>
        <w:tc>
          <w:tcPr>
            <w:tcW w:w="8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8"/>
              </w:rPr>
              <w:t>4.62%</w:t>
            </w:r>
          </w:p>
        </w:tc>
        <w:tc>
          <w:tcPr>
            <w:tcW w:w="480" w:type="dxa"/>
            <w:vAlign w:val="bottom"/>
          </w:tcPr>
          <w:p>
            <w:pPr>
              <w:jc w:val="center"/>
              <w:ind w:left="52"/>
              <w:spacing w:after="0" w:line="103" w:lineRule="exact"/>
              <w:rPr>
                <w:sz w:val="20"/>
                <w:szCs w:val="20"/>
                <w:color w:val="auto"/>
              </w:rPr>
            </w:pPr>
            <w:r>
              <w:rPr>
                <w:rFonts w:ascii="Arial" w:cs="Arial" w:eastAsia="Arial" w:hAnsi="Arial"/>
                <w:sz w:val="10"/>
                <w:szCs w:val="10"/>
                <w:color w:val="auto"/>
                <w:w w:val="91"/>
              </w:rPr>
              <w:t>4.72%</w:t>
            </w:r>
          </w:p>
        </w:tc>
        <w:tc>
          <w:tcPr>
            <w:tcW w:w="780" w:type="dxa"/>
            <w:vAlign w:val="bottom"/>
            <w:tcBorders>
              <w:right w:val="single" w:sz="8" w:color="auto"/>
            </w:tcBorders>
          </w:tcPr>
          <w:p>
            <w:pPr>
              <w:jc w:val="center"/>
              <w:ind w:left="52"/>
              <w:spacing w:after="0" w:line="103" w:lineRule="exact"/>
              <w:rPr>
                <w:sz w:val="20"/>
                <w:szCs w:val="20"/>
                <w:color w:val="auto"/>
              </w:rPr>
            </w:pPr>
            <w:r>
              <w:rPr>
                <w:rFonts w:ascii="Arial" w:cs="Arial" w:eastAsia="Arial" w:hAnsi="Arial"/>
                <w:sz w:val="10"/>
                <w:szCs w:val="10"/>
                <w:color w:val="auto"/>
                <w:w w:val="98"/>
              </w:rPr>
              <w:t>4.84%</w:t>
            </w:r>
          </w:p>
        </w:tc>
      </w:tr>
      <w:tr>
        <w:trPr>
          <w:trHeight w:val="210"/>
        </w:trPr>
        <w:tc>
          <w:tcPr>
            <w:tcW w:w="4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 xml:space="preserve">Funding Cost </w:t>
            </w:r>
            <w:r>
              <w:rPr>
                <w:rFonts w:ascii="Arial" w:cs="Arial" w:eastAsia="Arial" w:hAnsi="Arial"/>
                <w:sz w:val="15"/>
                <w:szCs w:val="15"/>
                <w:color w:val="auto"/>
                <w:vertAlign w:val="superscript"/>
              </w:rPr>
              <w:t>(1)(2)(3)</w:t>
            </w:r>
          </w:p>
        </w:tc>
        <w:tc>
          <w:tcPr>
            <w:tcW w:w="800" w:type="dxa"/>
            <w:vAlign w:val="bottom"/>
          </w:tcPr>
          <w:p>
            <w:pPr>
              <w:jc w:val="center"/>
              <w:spacing w:after="0"/>
              <w:rPr>
                <w:sz w:val="20"/>
                <w:szCs w:val="20"/>
                <w:color w:val="auto"/>
              </w:rPr>
            </w:pPr>
            <w:r>
              <w:rPr>
                <w:rFonts w:ascii="Arial" w:cs="Arial" w:eastAsia="Arial" w:hAnsi="Arial"/>
                <w:sz w:val="10"/>
                <w:szCs w:val="10"/>
                <w:color w:val="auto"/>
                <w:w w:val="91"/>
              </w:rPr>
              <w:t>2.75%</w:t>
            </w:r>
          </w:p>
        </w:tc>
        <w:tc>
          <w:tcPr>
            <w:tcW w:w="840" w:type="dxa"/>
            <w:vAlign w:val="bottom"/>
          </w:tcPr>
          <w:p>
            <w:pPr>
              <w:jc w:val="center"/>
              <w:spacing w:after="0"/>
              <w:rPr>
                <w:sz w:val="20"/>
                <w:szCs w:val="20"/>
                <w:color w:val="auto"/>
              </w:rPr>
            </w:pPr>
            <w:r>
              <w:rPr>
                <w:rFonts w:ascii="Arial" w:cs="Arial" w:eastAsia="Arial" w:hAnsi="Arial"/>
                <w:sz w:val="10"/>
                <w:szCs w:val="10"/>
                <w:color w:val="auto"/>
                <w:w w:val="98"/>
              </w:rPr>
              <w:t>2.74%</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2.63%</w:t>
            </w:r>
          </w:p>
        </w:tc>
        <w:tc>
          <w:tcPr>
            <w:tcW w:w="480" w:type="dxa"/>
            <w:vAlign w:val="bottom"/>
          </w:tcPr>
          <w:p>
            <w:pPr>
              <w:jc w:val="center"/>
              <w:ind w:left="52"/>
              <w:spacing w:after="0"/>
              <w:rPr>
                <w:sz w:val="20"/>
                <w:szCs w:val="20"/>
                <w:color w:val="auto"/>
              </w:rPr>
            </w:pPr>
            <w:r>
              <w:rPr>
                <w:rFonts w:ascii="Arial" w:cs="Arial" w:eastAsia="Arial" w:hAnsi="Arial"/>
                <w:sz w:val="10"/>
                <w:szCs w:val="10"/>
                <w:color w:val="auto"/>
                <w:w w:val="91"/>
              </w:rPr>
              <w:t>2.61%</w:t>
            </w:r>
          </w:p>
        </w:tc>
        <w:tc>
          <w:tcPr>
            <w:tcW w:w="780" w:type="dxa"/>
            <w:vAlign w:val="bottom"/>
            <w:tcBorders>
              <w:right w:val="single" w:sz="8" w:color="auto"/>
            </w:tcBorders>
          </w:tcPr>
          <w:p>
            <w:pPr>
              <w:jc w:val="center"/>
              <w:ind w:left="52"/>
              <w:spacing w:after="0"/>
              <w:rPr>
                <w:sz w:val="20"/>
                <w:szCs w:val="20"/>
                <w:color w:val="auto"/>
              </w:rPr>
            </w:pPr>
            <w:r>
              <w:rPr>
                <w:rFonts w:ascii="Arial" w:cs="Arial" w:eastAsia="Arial" w:hAnsi="Arial"/>
                <w:sz w:val="10"/>
                <w:szCs w:val="10"/>
                <w:color w:val="auto"/>
                <w:w w:val="98"/>
              </w:rPr>
              <w:t>2.66%</w:t>
            </w:r>
          </w:p>
        </w:tc>
      </w:tr>
      <w:tr>
        <w:trPr>
          <w:trHeight w:val="105"/>
        </w:trPr>
        <w:tc>
          <w:tcPr>
            <w:tcW w:w="4680" w:type="dxa"/>
            <w:vAlign w:val="bottom"/>
            <w:tcBorders>
              <w:left w:val="single" w:sz="8" w:color="auto"/>
              <w:right w:val="single" w:sz="8" w:color="auto"/>
            </w:tcBorders>
          </w:tcPr>
          <w:p>
            <w:pPr>
              <w:ind w:left="40"/>
              <w:spacing w:after="0" w:line="105" w:lineRule="exact"/>
              <w:rPr>
                <w:sz w:val="20"/>
                <w:szCs w:val="20"/>
                <w:color w:val="auto"/>
              </w:rPr>
            </w:pPr>
            <w:r>
              <w:rPr>
                <w:rFonts w:ascii="Arial" w:cs="Arial" w:eastAsia="Arial" w:hAnsi="Arial"/>
                <w:sz w:val="10"/>
                <w:szCs w:val="10"/>
                <w:b w:val="1"/>
                <w:bCs w:val="1"/>
                <w:color w:val="auto"/>
              </w:rPr>
              <w:t>Quality of loan portfolio</w:t>
            </w: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r>
      <w:tr>
        <w:trPr>
          <w:trHeight w:val="103"/>
        </w:trPr>
        <w:tc>
          <w:tcPr>
            <w:tcW w:w="4680" w:type="dxa"/>
            <w:vAlign w:val="bottom"/>
            <w:tcBorders>
              <w:left w:val="single" w:sz="8" w:color="auto"/>
              <w:right w:val="single" w:sz="8" w:color="auto"/>
            </w:tcBorders>
          </w:tcPr>
          <w:p>
            <w:pPr>
              <w:ind w:left="140"/>
              <w:spacing w:after="0" w:line="103" w:lineRule="exact"/>
              <w:rPr>
                <w:sz w:val="20"/>
                <w:szCs w:val="20"/>
                <w:color w:val="auto"/>
              </w:rPr>
            </w:pPr>
            <w:r>
              <w:rPr>
                <w:rFonts w:ascii="Arial" w:cs="Arial" w:eastAsia="Arial" w:hAnsi="Arial"/>
                <w:sz w:val="10"/>
                <w:szCs w:val="10"/>
                <w:color w:val="auto"/>
              </w:rPr>
              <w:t>IOL ratio</w:t>
            </w:r>
          </w:p>
        </w:tc>
        <w:tc>
          <w:tcPr>
            <w:tcW w:w="800" w:type="dxa"/>
            <w:vAlign w:val="bottom"/>
          </w:tcPr>
          <w:p>
            <w:pPr>
              <w:jc w:val="center"/>
              <w:spacing w:after="0" w:line="103" w:lineRule="exact"/>
              <w:rPr>
                <w:sz w:val="20"/>
                <w:szCs w:val="20"/>
                <w:color w:val="auto"/>
              </w:rPr>
            </w:pPr>
            <w:r>
              <w:rPr>
                <w:rFonts w:ascii="Arial" w:cs="Arial" w:eastAsia="Arial" w:hAnsi="Arial"/>
                <w:sz w:val="10"/>
                <w:szCs w:val="10"/>
                <w:color w:val="auto"/>
                <w:w w:val="91"/>
              </w:rPr>
              <w:t>4.37%</w:t>
            </w:r>
          </w:p>
        </w:tc>
        <w:tc>
          <w:tcPr>
            <w:tcW w:w="840" w:type="dxa"/>
            <w:vAlign w:val="bottom"/>
          </w:tcPr>
          <w:p>
            <w:pPr>
              <w:jc w:val="center"/>
              <w:spacing w:after="0" w:line="103" w:lineRule="exact"/>
              <w:rPr>
                <w:sz w:val="20"/>
                <w:szCs w:val="20"/>
                <w:color w:val="auto"/>
              </w:rPr>
            </w:pPr>
            <w:r>
              <w:rPr>
                <w:rFonts w:ascii="Arial" w:cs="Arial" w:eastAsia="Arial" w:hAnsi="Arial"/>
                <w:sz w:val="10"/>
                <w:szCs w:val="10"/>
                <w:color w:val="auto"/>
                <w:w w:val="98"/>
              </w:rPr>
              <w:t>4.61%</w:t>
            </w:r>
          </w:p>
        </w:tc>
        <w:tc>
          <w:tcPr>
            <w:tcW w:w="8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8"/>
              </w:rPr>
              <w:t>4.40%</w:t>
            </w:r>
          </w:p>
        </w:tc>
        <w:tc>
          <w:tcPr>
            <w:tcW w:w="480" w:type="dxa"/>
            <w:vAlign w:val="bottom"/>
          </w:tcPr>
          <w:p>
            <w:pPr>
              <w:jc w:val="center"/>
              <w:ind w:left="52"/>
              <w:spacing w:after="0" w:line="103" w:lineRule="exact"/>
              <w:rPr>
                <w:sz w:val="20"/>
                <w:szCs w:val="20"/>
                <w:color w:val="auto"/>
              </w:rPr>
            </w:pPr>
            <w:r>
              <w:rPr>
                <w:rFonts w:ascii="Arial" w:cs="Arial" w:eastAsia="Arial" w:hAnsi="Arial"/>
                <w:sz w:val="10"/>
                <w:szCs w:val="10"/>
                <w:color w:val="auto"/>
                <w:w w:val="91"/>
              </w:rPr>
              <w:t>4.37%</w:t>
            </w:r>
          </w:p>
        </w:tc>
        <w:tc>
          <w:tcPr>
            <w:tcW w:w="780" w:type="dxa"/>
            <w:vAlign w:val="bottom"/>
            <w:tcBorders>
              <w:right w:val="single" w:sz="8" w:color="auto"/>
            </w:tcBorders>
          </w:tcPr>
          <w:p>
            <w:pPr>
              <w:jc w:val="center"/>
              <w:ind w:left="52"/>
              <w:spacing w:after="0" w:line="103" w:lineRule="exact"/>
              <w:rPr>
                <w:sz w:val="20"/>
                <w:szCs w:val="20"/>
                <w:color w:val="auto"/>
              </w:rPr>
            </w:pPr>
            <w:r>
              <w:rPr>
                <w:rFonts w:ascii="Arial" w:cs="Arial" w:eastAsia="Arial" w:hAnsi="Arial"/>
                <w:sz w:val="10"/>
                <w:szCs w:val="10"/>
                <w:color w:val="auto"/>
                <w:w w:val="98"/>
              </w:rPr>
              <w:t>4.40%</w:t>
            </w:r>
          </w:p>
        </w:tc>
      </w:tr>
      <w:tr>
        <w:trPr>
          <w:trHeight w:val="103"/>
        </w:trPr>
        <w:tc>
          <w:tcPr>
            <w:tcW w:w="4680" w:type="dxa"/>
            <w:vAlign w:val="bottom"/>
            <w:tcBorders>
              <w:left w:val="single" w:sz="8" w:color="auto"/>
              <w:right w:val="single" w:sz="8" w:color="auto"/>
            </w:tcBorders>
          </w:tcPr>
          <w:p>
            <w:pPr>
              <w:ind w:left="140"/>
              <w:spacing w:after="0" w:line="103" w:lineRule="exact"/>
              <w:rPr>
                <w:sz w:val="20"/>
                <w:szCs w:val="20"/>
                <w:color w:val="auto"/>
              </w:rPr>
            </w:pPr>
            <w:r>
              <w:rPr>
                <w:rFonts w:ascii="Arial" w:cs="Arial" w:eastAsia="Arial" w:hAnsi="Arial"/>
                <w:sz w:val="10"/>
                <w:szCs w:val="10"/>
                <w:color w:val="auto"/>
              </w:rPr>
              <w:t>NPL ratio</w:t>
            </w:r>
          </w:p>
        </w:tc>
        <w:tc>
          <w:tcPr>
            <w:tcW w:w="800" w:type="dxa"/>
            <w:vAlign w:val="bottom"/>
          </w:tcPr>
          <w:p>
            <w:pPr>
              <w:jc w:val="center"/>
              <w:spacing w:after="0" w:line="103" w:lineRule="exact"/>
              <w:rPr>
                <w:sz w:val="20"/>
                <w:szCs w:val="20"/>
                <w:color w:val="auto"/>
              </w:rPr>
            </w:pPr>
            <w:r>
              <w:rPr>
                <w:rFonts w:ascii="Arial" w:cs="Arial" w:eastAsia="Arial" w:hAnsi="Arial"/>
                <w:sz w:val="10"/>
                <w:szCs w:val="10"/>
                <w:color w:val="auto"/>
                <w:w w:val="91"/>
              </w:rPr>
              <w:t>5.94%</w:t>
            </w:r>
          </w:p>
        </w:tc>
        <w:tc>
          <w:tcPr>
            <w:tcW w:w="840" w:type="dxa"/>
            <w:vAlign w:val="bottom"/>
          </w:tcPr>
          <w:p>
            <w:pPr>
              <w:jc w:val="center"/>
              <w:spacing w:after="0" w:line="103" w:lineRule="exact"/>
              <w:rPr>
                <w:sz w:val="20"/>
                <w:szCs w:val="20"/>
                <w:color w:val="auto"/>
              </w:rPr>
            </w:pPr>
            <w:r>
              <w:rPr>
                <w:rFonts w:ascii="Arial" w:cs="Arial" w:eastAsia="Arial" w:hAnsi="Arial"/>
                <w:sz w:val="10"/>
                <w:szCs w:val="10"/>
                <w:color w:val="auto"/>
                <w:w w:val="98"/>
              </w:rPr>
              <w:t>6.56%</w:t>
            </w:r>
          </w:p>
        </w:tc>
        <w:tc>
          <w:tcPr>
            <w:tcW w:w="8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8"/>
              </w:rPr>
              <w:t>6.27%</w:t>
            </w:r>
          </w:p>
        </w:tc>
        <w:tc>
          <w:tcPr>
            <w:tcW w:w="480" w:type="dxa"/>
            <w:vAlign w:val="bottom"/>
          </w:tcPr>
          <w:p>
            <w:pPr>
              <w:jc w:val="center"/>
              <w:ind w:left="52"/>
              <w:spacing w:after="0" w:line="103" w:lineRule="exact"/>
              <w:rPr>
                <w:sz w:val="20"/>
                <w:szCs w:val="20"/>
                <w:color w:val="auto"/>
              </w:rPr>
            </w:pPr>
            <w:r>
              <w:rPr>
                <w:rFonts w:ascii="Arial" w:cs="Arial" w:eastAsia="Arial" w:hAnsi="Arial"/>
                <w:sz w:val="10"/>
                <w:szCs w:val="10"/>
                <w:color w:val="auto"/>
                <w:w w:val="91"/>
              </w:rPr>
              <w:t>5.94%</w:t>
            </w:r>
          </w:p>
        </w:tc>
        <w:tc>
          <w:tcPr>
            <w:tcW w:w="780" w:type="dxa"/>
            <w:vAlign w:val="bottom"/>
            <w:tcBorders>
              <w:right w:val="single" w:sz="8" w:color="auto"/>
            </w:tcBorders>
          </w:tcPr>
          <w:p>
            <w:pPr>
              <w:jc w:val="center"/>
              <w:ind w:left="52"/>
              <w:spacing w:after="0" w:line="103" w:lineRule="exact"/>
              <w:rPr>
                <w:sz w:val="20"/>
                <w:szCs w:val="20"/>
                <w:color w:val="auto"/>
              </w:rPr>
            </w:pPr>
            <w:r>
              <w:rPr>
                <w:rFonts w:ascii="Arial" w:cs="Arial" w:eastAsia="Arial" w:hAnsi="Arial"/>
                <w:sz w:val="10"/>
                <w:szCs w:val="10"/>
                <w:color w:val="auto"/>
                <w:w w:val="98"/>
              </w:rPr>
              <w:t>6.27%</w:t>
            </w:r>
          </w:p>
        </w:tc>
      </w:tr>
      <w:tr>
        <w:trPr>
          <w:trHeight w:val="103"/>
        </w:trPr>
        <w:tc>
          <w:tcPr>
            <w:tcW w:w="4680" w:type="dxa"/>
            <w:vAlign w:val="bottom"/>
            <w:tcBorders>
              <w:left w:val="single" w:sz="8" w:color="auto"/>
              <w:right w:val="single" w:sz="8" w:color="auto"/>
            </w:tcBorders>
          </w:tcPr>
          <w:p>
            <w:pPr>
              <w:ind w:left="140"/>
              <w:spacing w:after="0" w:line="103" w:lineRule="exact"/>
              <w:rPr>
                <w:sz w:val="20"/>
                <w:szCs w:val="20"/>
                <w:color w:val="auto"/>
              </w:rPr>
            </w:pPr>
            <w:r>
              <w:rPr>
                <w:rFonts w:ascii="Arial" w:cs="Arial" w:eastAsia="Arial" w:hAnsi="Arial"/>
                <w:sz w:val="10"/>
                <w:szCs w:val="10"/>
                <w:color w:val="auto"/>
              </w:rPr>
              <w:t>Coverage of IOLs</w:t>
            </w:r>
          </w:p>
        </w:tc>
        <w:tc>
          <w:tcPr>
            <w:tcW w:w="800" w:type="dxa"/>
            <w:vAlign w:val="bottom"/>
          </w:tcPr>
          <w:p>
            <w:pPr>
              <w:jc w:val="center"/>
              <w:spacing w:after="0" w:line="103" w:lineRule="exact"/>
              <w:rPr>
                <w:sz w:val="20"/>
                <w:szCs w:val="20"/>
                <w:color w:val="auto"/>
              </w:rPr>
            </w:pPr>
            <w:r>
              <w:rPr>
                <w:rFonts w:ascii="Arial" w:cs="Arial" w:eastAsia="Arial" w:hAnsi="Arial"/>
                <w:sz w:val="10"/>
                <w:szCs w:val="10"/>
                <w:color w:val="auto"/>
                <w:w w:val="96"/>
              </w:rPr>
              <w:t>131.96%</w:t>
            </w:r>
          </w:p>
        </w:tc>
        <w:tc>
          <w:tcPr>
            <w:tcW w:w="840" w:type="dxa"/>
            <w:vAlign w:val="bottom"/>
          </w:tcPr>
          <w:p>
            <w:pPr>
              <w:jc w:val="center"/>
              <w:spacing w:after="0" w:line="103" w:lineRule="exact"/>
              <w:rPr>
                <w:sz w:val="20"/>
                <w:szCs w:val="20"/>
                <w:color w:val="auto"/>
              </w:rPr>
            </w:pPr>
            <w:r>
              <w:rPr>
                <w:rFonts w:ascii="Arial" w:cs="Arial" w:eastAsia="Arial" w:hAnsi="Arial"/>
                <w:sz w:val="10"/>
                <w:szCs w:val="10"/>
                <w:color w:val="auto"/>
                <w:w w:val="96"/>
              </w:rPr>
              <w:t>130.66%</w:t>
            </w:r>
          </w:p>
        </w:tc>
        <w:tc>
          <w:tcPr>
            <w:tcW w:w="8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133.20%</w:t>
            </w:r>
          </w:p>
        </w:tc>
        <w:tc>
          <w:tcPr>
            <w:tcW w:w="480" w:type="dxa"/>
            <w:vAlign w:val="bottom"/>
          </w:tcPr>
          <w:p>
            <w:pPr>
              <w:jc w:val="center"/>
              <w:ind w:left="52"/>
              <w:spacing w:after="0" w:line="103" w:lineRule="exact"/>
              <w:rPr>
                <w:sz w:val="20"/>
                <w:szCs w:val="20"/>
                <w:color w:val="auto"/>
              </w:rPr>
            </w:pPr>
            <w:r>
              <w:rPr>
                <w:rFonts w:ascii="Arial" w:cs="Arial" w:eastAsia="Arial" w:hAnsi="Arial"/>
                <w:sz w:val="10"/>
                <w:szCs w:val="10"/>
                <w:color w:val="auto"/>
                <w:w w:val="96"/>
              </w:rPr>
              <w:t>131.96%</w:t>
            </w:r>
          </w:p>
        </w:tc>
        <w:tc>
          <w:tcPr>
            <w:tcW w:w="780" w:type="dxa"/>
            <w:vAlign w:val="bottom"/>
            <w:tcBorders>
              <w:right w:val="single" w:sz="8" w:color="auto"/>
            </w:tcBorders>
          </w:tcPr>
          <w:p>
            <w:pPr>
              <w:jc w:val="center"/>
              <w:ind w:left="72"/>
              <w:spacing w:after="0" w:line="103" w:lineRule="exact"/>
              <w:rPr>
                <w:sz w:val="20"/>
                <w:szCs w:val="20"/>
                <w:color w:val="auto"/>
              </w:rPr>
            </w:pPr>
            <w:r>
              <w:rPr>
                <w:rFonts w:ascii="Arial" w:cs="Arial" w:eastAsia="Arial" w:hAnsi="Arial"/>
                <w:sz w:val="10"/>
                <w:szCs w:val="10"/>
                <w:color w:val="auto"/>
                <w:w w:val="96"/>
              </w:rPr>
              <w:t>133.20%</w:t>
            </w:r>
          </w:p>
        </w:tc>
      </w:tr>
      <w:tr>
        <w:trPr>
          <w:trHeight w:val="97"/>
        </w:trPr>
        <w:tc>
          <w:tcPr>
            <w:tcW w:w="4680" w:type="dxa"/>
            <w:vAlign w:val="bottom"/>
            <w:tcBorders>
              <w:left w:val="single" w:sz="8" w:color="auto"/>
              <w:right w:val="single" w:sz="8" w:color="auto"/>
            </w:tcBorders>
          </w:tcPr>
          <w:p>
            <w:pPr>
              <w:ind w:left="140"/>
              <w:spacing w:after="0" w:line="97" w:lineRule="exact"/>
              <w:rPr>
                <w:sz w:val="20"/>
                <w:szCs w:val="20"/>
                <w:color w:val="auto"/>
              </w:rPr>
            </w:pPr>
            <w:r>
              <w:rPr>
                <w:rFonts w:ascii="Arial" w:cs="Arial" w:eastAsia="Arial" w:hAnsi="Arial"/>
                <w:sz w:val="10"/>
                <w:szCs w:val="10"/>
                <w:color w:val="auto"/>
              </w:rPr>
              <w:t>Coverage of NPLs</w:t>
            </w:r>
          </w:p>
        </w:tc>
        <w:tc>
          <w:tcPr>
            <w:tcW w:w="800" w:type="dxa"/>
            <w:vAlign w:val="bottom"/>
          </w:tcPr>
          <w:p>
            <w:pPr>
              <w:jc w:val="center"/>
              <w:spacing w:after="0" w:line="97" w:lineRule="exact"/>
              <w:rPr>
                <w:sz w:val="20"/>
                <w:szCs w:val="20"/>
                <w:color w:val="auto"/>
              </w:rPr>
            </w:pPr>
            <w:r>
              <w:rPr>
                <w:rFonts w:ascii="Arial" w:cs="Arial" w:eastAsia="Arial" w:hAnsi="Arial"/>
                <w:sz w:val="10"/>
                <w:szCs w:val="10"/>
                <w:color w:val="auto"/>
              </w:rPr>
              <w:t>97.12%</w:t>
            </w:r>
          </w:p>
        </w:tc>
        <w:tc>
          <w:tcPr>
            <w:tcW w:w="840" w:type="dxa"/>
            <w:vAlign w:val="bottom"/>
          </w:tcPr>
          <w:p>
            <w:pPr>
              <w:jc w:val="center"/>
              <w:spacing w:after="0" w:line="97" w:lineRule="exact"/>
              <w:rPr>
                <w:sz w:val="20"/>
                <w:szCs w:val="20"/>
                <w:color w:val="auto"/>
              </w:rPr>
            </w:pPr>
            <w:r>
              <w:rPr>
                <w:rFonts w:ascii="Arial" w:cs="Arial" w:eastAsia="Arial" w:hAnsi="Arial"/>
                <w:sz w:val="10"/>
                <w:szCs w:val="10"/>
                <w:color w:val="auto"/>
                <w:w w:val="94"/>
              </w:rPr>
              <w:t>91.79%</w:t>
            </w:r>
          </w:p>
        </w:tc>
        <w:tc>
          <w:tcPr>
            <w:tcW w:w="88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0"/>
                <w:szCs w:val="10"/>
                <w:color w:val="auto"/>
                <w:w w:val="94"/>
              </w:rPr>
              <w:t>93.58%</w:t>
            </w:r>
          </w:p>
        </w:tc>
        <w:tc>
          <w:tcPr>
            <w:tcW w:w="480" w:type="dxa"/>
            <w:vAlign w:val="bottom"/>
          </w:tcPr>
          <w:p>
            <w:pPr>
              <w:jc w:val="center"/>
              <w:ind w:left="52"/>
              <w:spacing w:after="0" w:line="97" w:lineRule="exact"/>
              <w:rPr>
                <w:sz w:val="20"/>
                <w:szCs w:val="20"/>
                <w:color w:val="auto"/>
              </w:rPr>
            </w:pPr>
            <w:r>
              <w:rPr>
                <w:rFonts w:ascii="Arial" w:cs="Arial" w:eastAsia="Arial" w:hAnsi="Arial"/>
                <w:sz w:val="10"/>
                <w:szCs w:val="10"/>
                <w:color w:val="auto"/>
              </w:rPr>
              <w:t>97.12%</w:t>
            </w:r>
          </w:p>
        </w:tc>
        <w:tc>
          <w:tcPr>
            <w:tcW w:w="780" w:type="dxa"/>
            <w:vAlign w:val="bottom"/>
            <w:tcBorders>
              <w:right w:val="single" w:sz="8" w:color="auto"/>
            </w:tcBorders>
          </w:tcPr>
          <w:p>
            <w:pPr>
              <w:jc w:val="center"/>
              <w:ind w:left="52"/>
              <w:spacing w:after="0" w:line="97" w:lineRule="exact"/>
              <w:rPr>
                <w:sz w:val="20"/>
                <w:szCs w:val="20"/>
                <w:color w:val="auto"/>
              </w:rPr>
            </w:pPr>
            <w:r>
              <w:rPr>
                <w:rFonts w:ascii="Arial" w:cs="Arial" w:eastAsia="Arial" w:hAnsi="Arial"/>
                <w:sz w:val="10"/>
                <w:szCs w:val="10"/>
                <w:color w:val="auto"/>
                <w:w w:val="94"/>
              </w:rPr>
              <w:t>93.58%</w:t>
            </w:r>
          </w:p>
        </w:tc>
      </w:tr>
      <w:tr>
        <w:trPr>
          <w:trHeight w:val="210"/>
        </w:trPr>
        <w:tc>
          <w:tcPr>
            <w:tcW w:w="468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0"/>
                <w:szCs w:val="10"/>
                <w:color w:val="auto"/>
              </w:rPr>
              <w:t xml:space="preserve">Cost of risk </w:t>
            </w:r>
            <w:r>
              <w:rPr>
                <w:rFonts w:ascii="Arial" w:cs="Arial" w:eastAsia="Arial" w:hAnsi="Arial"/>
                <w:sz w:val="15"/>
                <w:szCs w:val="15"/>
                <w:color w:val="auto"/>
                <w:vertAlign w:val="superscript"/>
              </w:rPr>
              <w:t>(4)</w:t>
            </w:r>
          </w:p>
        </w:tc>
        <w:tc>
          <w:tcPr>
            <w:tcW w:w="800" w:type="dxa"/>
            <w:vAlign w:val="bottom"/>
          </w:tcPr>
          <w:p>
            <w:pPr>
              <w:jc w:val="center"/>
              <w:spacing w:after="0"/>
              <w:rPr>
                <w:sz w:val="20"/>
                <w:szCs w:val="20"/>
                <w:color w:val="auto"/>
              </w:rPr>
            </w:pPr>
            <w:r>
              <w:rPr>
                <w:rFonts w:ascii="Arial" w:cs="Arial" w:eastAsia="Arial" w:hAnsi="Arial"/>
                <w:sz w:val="10"/>
                <w:szCs w:val="10"/>
                <w:color w:val="auto"/>
                <w:w w:val="91"/>
              </w:rPr>
              <w:t>2.42%</w:t>
            </w:r>
          </w:p>
        </w:tc>
        <w:tc>
          <w:tcPr>
            <w:tcW w:w="840" w:type="dxa"/>
            <w:vAlign w:val="bottom"/>
          </w:tcPr>
          <w:p>
            <w:pPr>
              <w:jc w:val="center"/>
              <w:spacing w:after="0"/>
              <w:rPr>
                <w:sz w:val="20"/>
                <w:szCs w:val="20"/>
                <w:color w:val="auto"/>
              </w:rPr>
            </w:pPr>
            <w:r>
              <w:rPr>
                <w:rFonts w:ascii="Arial" w:cs="Arial" w:eastAsia="Arial" w:hAnsi="Arial"/>
                <w:sz w:val="10"/>
                <w:szCs w:val="10"/>
                <w:color w:val="auto"/>
                <w:w w:val="98"/>
              </w:rPr>
              <w:t>2.37%</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3.08%</w:t>
            </w:r>
          </w:p>
        </w:tc>
        <w:tc>
          <w:tcPr>
            <w:tcW w:w="480" w:type="dxa"/>
            <w:vAlign w:val="bottom"/>
          </w:tcPr>
          <w:p>
            <w:pPr>
              <w:jc w:val="center"/>
              <w:ind w:left="52"/>
              <w:spacing w:after="0"/>
              <w:rPr>
                <w:sz w:val="20"/>
                <w:szCs w:val="20"/>
                <w:color w:val="auto"/>
              </w:rPr>
            </w:pPr>
            <w:r>
              <w:rPr>
                <w:rFonts w:ascii="Arial" w:cs="Arial" w:eastAsia="Arial" w:hAnsi="Arial"/>
                <w:sz w:val="10"/>
                <w:szCs w:val="10"/>
                <w:color w:val="auto"/>
                <w:w w:val="91"/>
              </w:rPr>
              <w:t>2.30%</w:t>
            </w:r>
          </w:p>
        </w:tc>
        <w:tc>
          <w:tcPr>
            <w:tcW w:w="780" w:type="dxa"/>
            <w:vAlign w:val="bottom"/>
            <w:tcBorders>
              <w:right w:val="single" w:sz="8" w:color="auto"/>
            </w:tcBorders>
          </w:tcPr>
          <w:p>
            <w:pPr>
              <w:jc w:val="center"/>
              <w:ind w:left="52"/>
              <w:spacing w:after="0"/>
              <w:rPr>
                <w:sz w:val="20"/>
                <w:szCs w:val="20"/>
                <w:color w:val="auto"/>
              </w:rPr>
            </w:pPr>
            <w:r>
              <w:rPr>
                <w:rFonts w:ascii="Arial" w:cs="Arial" w:eastAsia="Arial" w:hAnsi="Arial"/>
                <w:sz w:val="10"/>
                <w:szCs w:val="10"/>
                <w:color w:val="auto"/>
                <w:w w:val="98"/>
              </w:rPr>
              <w:t>2.67%</w:t>
            </w:r>
          </w:p>
        </w:tc>
      </w:tr>
      <w:tr>
        <w:trPr>
          <w:trHeight w:val="99"/>
        </w:trPr>
        <w:tc>
          <w:tcPr>
            <w:tcW w:w="4680" w:type="dxa"/>
            <w:vAlign w:val="bottom"/>
            <w:tcBorders>
              <w:left w:val="single" w:sz="8" w:color="auto"/>
              <w:right w:val="single" w:sz="8" w:color="auto"/>
            </w:tcBorders>
          </w:tcPr>
          <w:p>
            <w:pPr>
              <w:ind w:left="40"/>
              <w:spacing w:after="0" w:line="99" w:lineRule="exact"/>
              <w:rPr>
                <w:sz w:val="20"/>
                <w:szCs w:val="20"/>
                <w:color w:val="auto"/>
              </w:rPr>
            </w:pPr>
            <w:r>
              <w:rPr>
                <w:rFonts w:ascii="Arial" w:cs="Arial" w:eastAsia="Arial" w:hAnsi="Arial"/>
                <w:sz w:val="10"/>
                <w:szCs w:val="10"/>
                <w:b w:val="1"/>
                <w:bCs w:val="1"/>
                <w:color w:val="auto"/>
              </w:rPr>
              <w:t>Operating efficiency</w:t>
            </w: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r>
      <w:tr>
        <w:trPr>
          <w:trHeight w:val="103"/>
        </w:trPr>
        <w:tc>
          <w:tcPr>
            <w:tcW w:w="4680" w:type="dxa"/>
            <w:vAlign w:val="bottom"/>
            <w:tcBorders>
              <w:left w:val="single" w:sz="8" w:color="auto"/>
              <w:right w:val="single" w:sz="8" w:color="auto"/>
            </w:tcBorders>
          </w:tcPr>
          <w:p>
            <w:pPr>
              <w:ind w:left="140"/>
              <w:spacing w:after="0" w:line="103" w:lineRule="exact"/>
              <w:rPr>
                <w:sz w:val="20"/>
                <w:szCs w:val="20"/>
                <w:color w:val="auto"/>
              </w:rPr>
            </w:pPr>
            <w:r>
              <w:rPr>
                <w:rFonts w:ascii="Arial" w:cs="Arial" w:eastAsia="Arial" w:hAnsi="Arial"/>
                <w:sz w:val="7"/>
                <w:szCs w:val="7"/>
                <w:color w:val="auto"/>
              </w:rPr>
              <w:t xml:space="preserve">Oper. expenses as a percent. of total income - reported </w:t>
            </w:r>
            <w:r>
              <w:rPr>
                <w:rFonts w:ascii="Arial" w:cs="Arial" w:eastAsia="Arial" w:hAnsi="Arial"/>
                <w:sz w:val="11"/>
                <w:szCs w:val="11"/>
                <w:color w:val="auto"/>
                <w:vertAlign w:val="superscript"/>
              </w:rPr>
              <w:t>(5)</w:t>
            </w:r>
          </w:p>
        </w:tc>
        <w:tc>
          <w:tcPr>
            <w:tcW w:w="800" w:type="dxa"/>
            <w:vAlign w:val="bottom"/>
          </w:tcPr>
          <w:p>
            <w:pPr>
              <w:jc w:val="center"/>
              <w:spacing w:after="0" w:line="103" w:lineRule="exact"/>
              <w:rPr>
                <w:sz w:val="20"/>
                <w:szCs w:val="20"/>
                <w:color w:val="auto"/>
              </w:rPr>
            </w:pPr>
            <w:r>
              <w:rPr>
                <w:rFonts w:ascii="Arial" w:cs="Arial" w:eastAsia="Arial" w:hAnsi="Arial"/>
                <w:sz w:val="10"/>
                <w:szCs w:val="10"/>
                <w:color w:val="auto"/>
              </w:rPr>
              <w:t>39.43%</w:t>
            </w:r>
          </w:p>
        </w:tc>
        <w:tc>
          <w:tcPr>
            <w:tcW w:w="840" w:type="dxa"/>
            <w:vAlign w:val="bottom"/>
          </w:tcPr>
          <w:p>
            <w:pPr>
              <w:jc w:val="center"/>
              <w:spacing w:after="0" w:line="103" w:lineRule="exact"/>
              <w:rPr>
                <w:sz w:val="20"/>
                <w:szCs w:val="20"/>
                <w:color w:val="auto"/>
              </w:rPr>
            </w:pPr>
            <w:r>
              <w:rPr>
                <w:rFonts w:ascii="Arial" w:cs="Arial" w:eastAsia="Arial" w:hAnsi="Arial"/>
                <w:sz w:val="10"/>
                <w:szCs w:val="10"/>
                <w:color w:val="auto"/>
                <w:w w:val="94"/>
              </w:rPr>
              <w:t>38.53%</w:t>
            </w:r>
          </w:p>
        </w:tc>
        <w:tc>
          <w:tcPr>
            <w:tcW w:w="8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39.93%</w:t>
            </w:r>
          </w:p>
        </w:tc>
        <w:tc>
          <w:tcPr>
            <w:tcW w:w="480" w:type="dxa"/>
            <w:vAlign w:val="bottom"/>
          </w:tcPr>
          <w:p>
            <w:pPr>
              <w:jc w:val="center"/>
              <w:ind w:left="52"/>
              <w:spacing w:after="0" w:line="103" w:lineRule="exact"/>
              <w:rPr>
                <w:sz w:val="20"/>
                <w:szCs w:val="20"/>
                <w:color w:val="auto"/>
              </w:rPr>
            </w:pPr>
            <w:r>
              <w:rPr>
                <w:rFonts w:ascii="Arial" w:cs="Arial" w:eastAsia="Arial" w:hAnsi="Arial"/>
                <w:sz w:val="10"/>
                <w:szCs w:val="10"/>
                <w:color w:val="auto"/>
              </w:rPr>
              <w:t>39.30%</w:t>
            </w:r>
          </w:p>
        </w:tc>
        <w:tc>
          <w:tcPr>
            <w:tcW w:w="780" w:type="dxa"/>
            <w:vAlign w:val="bottom"/>
            <w:tcBorders>
              <w:right w:val="single" w:sz="8" w:color="auto"/>
            </w:tcBorders>
          </w:tcPr>
          <w:p>
            <w:pPr>
              <w:jc w:val="center"/>
              <w:ind w:left="52"/>
              <w:spacing w:after="0" w:line="103" w:lineRule="exact"/>
              <w:rPr>
                <w:sz w:val="20"/>
                <w:szCs w:val="20"/>
                <w:color w:val="auto"/>
              </w:rPr>
            </w:pPr>
            <w:r>
              <w:rPr>
                <w:rFonts w:ascii="Arial" w:cs="Arial" w:eastAsia="Arial" w:hAnsi="Arial"/>
                <w:sz w:val="10"/>
                <w:szCs w:val="10"/>
                <w:color w:val="auto"/>
                <w:w w:val="94"/>
              </w:rPr>
              <w:t>39.24%</w:t>
            </w:r>
          </w:p>
        </w:tc>
      </w:tr>
      <w:tr>
        <w:trPr>
          <w:trHeight w:val="121"/>
        </w:trPr>
        <w:tc>
          <w:tcPr>
            <w:tcW w:w="4680" w:type="dxa"/>
            <w:vAlign w:val="bottom"/>
            <w:tcBorders>
              <w:left w:val="single" w:sz="8" w:color="auto"/>
              <w:bottom w:val="single" w:sz="8" w:color="auto"/>
              <w:right w:val="single" w:sz="8" w:color="auto"/>
            </w:tcBorders>
          </w:tcPr>
          <w:p>
            <w:pPr>
              <w:ind w:left="140"/>
              <w:spacing w:after="0" w:line="122" w:lineRule="exact"/>
              <w:rPr>
                <w:sz w:val="20"/>
                <w:szCs w:val="20"/>
                <w:color w:val="auto"/>
              </w:rPr>
            </w:pPr>
            <w:r>
              <w:rPr>
                <w:rFonts w:ascii="Arial" w:cs="Arial" w:eastAsia="Arial" w:hAnsi="Arial"/>
                <w:sz w:val="9"/>
                <w:szCs w:val="9"/>
                <w:color w:val="auto"/>
              </w:rPr>
              <w:t xml:space="preserve">Oper. expenses as a percent. of av. tot. assets </w:t>
            </w:r>
            <w:r>
              <w:rPr>
                <w:rFonts w:ascii="Arial" w:cs="Arial" w:eastAsia="Arial" w:hAnsi="Arial"/>
                <w:sz w:val="14"/>
                <w:szCs w:val="14"/>
                <w:color w:val="auto"/>
                <w:vertAlign w:val="superscript"/>
              </w:rPr>
              <w:t>(1)(2)(5)</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1"/>
              </w:rPr>
              <w:t>3.29%</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3.35%</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3.50%</w:t>
            </w:r>
          </w:p>
        </w:tc>
        <w:tc>
          <w:tcPr>
            <w:tcW w:w="480" w:type="dxa"/>
            <w:vAlign w:val="bottom"/>
            <w:tcBorders>
              <w:bottom w:val="single" w:sz="8" w:color="auto"/>
            </w:tcBorders>
          </w:tcPr>
          <w:p>
            <w:pPr>
              <w:jc w:val="center"/>
              <w:ind w:left="52"/>
              <w:spacing w:after="0"/>
              <w:rPr>
                <w:sz w:val="20"/>
                <w:szCs w:val="20"/>
                <w:color w:val="auto"/>
              </w:rPr>
            </w:pPr>
            <w:r>
              <w:rPr>
                <w:rFonts w:ascii="Arial" w:cs="Arial" w:eastAsia="Arial" w:hAnsi="Arial"/>
                <w:sz w:val="10"/>
                <w:szCs w:val="10"/>
                <w:color w:val="auto"/>
                <w:w w:val="91"/>
              </w:rPr>
              <w:t>3.34%</w:t>
            </w:r>
          </w:p>
        </w:tc>
        <w:tc>
          <w:tcPr>
            <w:tcW w:w="780" w:type="dxa"/>
            <w:vAlign w:val="bottom"/>
            <w:tcBorders>
              <w:bottom w:val="single" w:sz="8" w:color="auto"/>
              <w:right w:val="single" w:sz="8" w:color="auto"/>
            </w:tcBorders>
          </w:tcPr>
          <w:p>
            <w:pPr>
              <w:jc w:val="center"/>
              <w:ind w:left="52"/>
              <w:spacing w:after="0"/>
              <w:rPr>
                <w:sz w:val="20"/>
                <w:szCs w:val="20"/>
                <w:color w:val="auto"/>
              </w:rPr>
            </w:pPr>
            <w:r>
              <w:rPr>
                <w:rFonts w:ascii="Arial" w:cs="Arial" w:eastAsia="Arial" w:hAnsi="Arial"/>
                <w:sz w:val="10"/>
                <w:szCs w:val="10"/>
                <w:color w:val="auto"/>
                <w:w w:val="98"/>
              </w:rPr>
              <w:t>3.39%</w:t>
            </w:r>
          </w:p>
        </w:tc>
      </w:tr>
    </w:tbl>
    <w:p>
      <w:pPr>
        <w:spacing w:after="0" w:line="138" w:lineRule="exact"/>
        <w:rPr>
          <w:sz w:val="20"/>
          <w:szCs w:val="20"/>
          <w:color w:val="auto"/>
        </w:rPr>
      </w:pPr>
    </w:p>
    <w:p>
      <w:pPr>
        <w:ind w:left="480" w:hanging="149"/>
        <w:spacing w:after="0"/>
        <w:tabs>
          <w:tab w:leader="none" w:pos="480" w:val="left"/>
        </w:tabs>
        <w:numPr>
          <w:ilvl w:val="0"/>
          <w:numId w:val="55"/>
        </w:numPr>
        <w:rPr>
          <w:rFonts w:ascii="Arial" w:cs="Arial" w:eastAsia="Arial" w:hAnsi="Arial"/>
          <w:sz w:val="10"/>
          <w:szCs w:val="10"/>
          <w:color w:val="auto"/>
        </w:rPr>
      </w:pPr>
      <w:r>
        <w:rPr>
          <w:rFonts w:ascii="Arial" w:cs="Arial" w:eastAsia="Arial" w:hAnsi="Arial"/>
          <w:sz w:val="10"/>
          <w:szCs w:val="10"/>
          <w:color w:val="auto"/>
        </w:rPr>
        <w:t>Ratios are annualized.</w:t>
      </w:r>
    </w:p>
    <w:p>
      <w:pPr>
        <w:ind w:left="480" w:hanging="149"/>
        <w:spacing w:after="0" w:line="214" w:lineRule="auto"/>
        <w:tabs>
          <w:tab w:leader="none" w:pos="480" w:val="left"/>
        </w:tabs>
        <w:numPr>
          <w:ilvl w:val="0"/>
          <w:numId w:val="55"/>
        </w:numPr>
        <w:rPr>
          <w:rFonts w:ascii="Arial" w:cs="Arial" w:eastAsia="Arial" w:hAnsi="Arial"/>
          <w:sz w:val="10"/>
          <w:szCs w:val="10"/>
          <w:color w:val="auto"/>
        </w:rPr>
      </w:pPr>
      <w:r>
        <w:rPr>
          <w:rFonts w:ascii="Arial" w:cs="Arial" w:eastAsia="Arial" w:hAnsi="Arial"/>
          <w:sz w:val="10"/>
          <w:szCs w:val="10"/>
          <w:color w:val="auto"/>
        </w:rPr>
        <w:t>Averages are determined as the average of period-beginning and period-ending balances.</w:t>
      </w:r>
    </w:p>
    <w:p>
      <w:pPr>
        <w:ind w:left="340" w:right="300" w:hanging="9"/>
        <w:spacing w:after="0" w:line="214" w:lineRule="auto"/>
        <w:tabs>
          <w:tab w:leader="none" w:pos="484" w:val="left"/>
        </w:tabs>
        <w:numPr>
          <w:ilvl w:val="0"/>
          <w:numId w:val="55"/>
        </w:numPr>
        <w:rPr>
          <w:rFonts w:ascii="Arial" w:cs="Arial" w:eastAsia="Arial" w:hAnsi="Arial"/>
          <w:sz w:val="10"/>
          <w:szCs w:val="10"/>
          <w:color w:val="auto"/>
        </w:rPr>
      </w:pPr>
      <w:r>
        <w:rPr>
          <w:rFonts w:ascii="Arial" w:cs="Arial" w:eastAsia="Arial" w:hAnsi="Arial"/>
          <w:sz w:val="10"/>
          <w:szCs w:val="10"/>
          <w:color w:val="auto"/>
        </w:rPr>
        <w:t>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w:t>
      </w:r>
    </w:p>
    <w:p>
      <w:pPr>
        <w:ind w:left="480" w:hanging="149"/>
        <w:spacing w:after="0" w:line="214" w:lineRule="auto"/>
        <w:tabs>
          <w:tab w:leader="none" w:pos="480" w:val="left"/>
        </w:tabs>
        <w:numPr>
          <w:ilvl w:val="0"/>
          <w:numId w:val="55"/>
        </w:numPr>
        <w:rPr>
          <w:rFonts w:ascii="Arial" w:cs="Arial" w:eastAsia="Arial" w:hAnsi="Arial"/>
          <w:sz w:val="10"/>
          <w:szCs w:val="10"/>
          <w:color w:val="auto"/>
        </w:rPr>
      </w:pPr>
      <w:r>
        <w:rPr>
          <w:rFonts w:ascii="Arial" w:cs="Arial" w:eastAsia="Arial" w:hAnsi="Arial"/>
          <w:sz w:val="10"/>
          <w:szCs w:val="10"/>
          <w:color w:val="auto"/>
        </w:rPr>
        <w:t>Cost of risk: Annualized provision for loan losses / Total loans.</w:t>
      </w:r>
    </w:p>
    <w:p>
      <w:pPr>
        <w:ind w:left="340" w:hanging="9"/>
        <w:spacing w:after="0" w:line="229" w:lineRule="auto"/>
        <w:tabs>
          <w:tab w:leader="none" w:pos="484" w:val="left"/>
        </w:tabs>
        <w:numPr>
          <w:ilvl w:val="0"/>
          <w:numId w:val="55"/>
        </w:numPr>
        <w:rPr>
          <w:rFonts w:ascii="Arial" w:cs="Arial" w:eastAsia="Arial" w:hAnsi="Arial"/>
          <w:sz w:val="10"/>
          <w:szCs w:val="10"/>
          <w:color w:val="auto"/>
        </w:rPr>
      </w:pPr>
      <w:r>
        <w:rPr>
          <w:rFonts w:ascii="Arial" w:cs="Arial" w:eastAsia="Arial" w:hAnsi="Arial"/>
          <w:sz w:val="10"/>
          <w:szCs w:val="10"/>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628015</wp:posOffset>
            </wp:positionV>
            <wp:extent cx="7164705" cy="133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98425</wp:posOffset>
            </wp:positionV>
            <wp:extent cx="1502410" cy="44386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5276215</wp:posOffset>
            </wp:positionH>
            <wp:positionV relativeFrom="paragraph">
              <wp:posOffset>215900</wp:posOffset>
            </wp:positionV>
            <wp:extent cx="1750695" cy="3263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750695" cy="326390"/>
                    </a:xfrm>
                    <a:prstGeom prst="rect">
                      <a:avLst/>
                    </a:prstGeom>
                    <a:noFill/>
                  </pic:spPr>
                </pic:pic>
              </a:graphicData>
            </a:graphic>
          </wp:anchor>
        </w:drawing>
      </w:r>
    </w:p>
    <w:p>
      <w:pPr>
        <w:sectPr>
          <w:pgSz w:w="11900" w:h="16838" w:orient="portrait"/>
          <w:cols w:equalWidth="0" w:num="1">
            <w:col w:w="10920"/>
          </w:cols>
          <w:pgMar w:left="520" w:top="300" w:right="459" w:bottom="1440" w:gutter="0" w:footer="0" w:header="0"/>
        </w:sectPr>
      </w:pPr>
    </w:p>
    <w:bookmarkStart w:id="63" w:name="page64"/>
    <w:bookmarkEnd w:id="63"/>
    <w:p>
      <w:pPr>
        <w:ind w:left="2580"/>
        <w:spacing w:after="0"/>
        <w:tabs>
          <w:tab w:leader="none" w:pos="2780" w:val="left"/>
          <w:tab w:leader="none" w:pos="7780"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10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64705" cy="581025"/>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15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12. Appendix</w:t>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12.6.4. BCP Stand-alone</w:t>
      </w:r>
    </w:p>
    <w:p>
      <w:pPr>
        <w:spacing w:after="0" w:line="152" w:lineRule="exact"/>
        <w:rPr>
          <w:sz w:val="20"/>
          <w:szCs w:val="20"/>
          <w:color w:val="auto"/>
        </w:rPr>
      </w:pPr>
    </w:p>
    <w:p>
      <w:pPr>
        <w:ind w:left="4560"/>
        <w:spacing w:after="0"/>
        <w:rPr>
          <w:sz w:val="20"/>
          <w:szCs w:val="20"/>
          <w:color w:val="auto"/>
        </w:rPr>
      </w:pPr>
      <w:r>
        <w:rPr>
          <w:rFonts w:ascii="Arial" w:cs="Arial" w:eastAsia="Arial" w:hAnsi="Arial"/>
          <w:sz w:val="12"/>
          <w:szCs w:val="12"/>
          <w:b w:val="1"/>
          <w:bCs w:val="1"/>
          <w:color w:val="auto"/>
        </w:rPr>
        <w:t>Statement of Financial Position</w:t>
      </w:r>
    </w:p>
    <w:p>
      <w:pPr>
        <w:spacing w:after="0" w:line="18" w:lineRule="exact"/>
        <w:rPr>
          <w:sz w:val="20"/>
          <w:szCs w:val="20"/>
          <w:color w:val="auto"/>
        </w:rPr>
      </w:pPr>
    </w:p>
    <w:p>
      <w:pPr>
        <w:ind w:left="4880"/>
        <w:spacing w:after="0"/>
        <w:rPr>
          <w:sz w:val="20"/>
          <w:szCs w:val="20"/>
          <w:color w:val="auto"/>
        </w:rPr>
      </w:pPr>
      <w:r>
        <w:rPr>
          <w:rFonts w:ascii="Arial" w:cs="Arial" w:eastAsia="Arial" w:hAnsi="Arial"/>
          <w:sz w:val="12"/>
          <w:szCs w:val="12"/>
          <w:b w:val="1"/>
          <w:bCs w:val="1"/>
          <w:color w:val="auto"/>
        </w:rPr>
        <w:t>(S/ Thousands, IFRS)</w:t>
      </w:r>
    </w:p>
    <w:p>
      <w:pPr>
        <w:spacing w:after="0" w:line="149" w:lineRule="exact"/>
        <w:rPr>
          <w:sz w:val="20"/>
          <w:szCs w:val="20"/>
          <w:color w:val="auto"/>
        </w:rPr>
      </w:pPr>
    </w:p>
    <w:tbl>
      <w:tblPr>
        <w:tblLayout w:type="fixed"/>
        <w:tblInd w:w="430" w:type="dxa"/>
        <w:tblCellMar>
          <w:top w:w="0" w:type="dxa"/>
          <w:left w:w="0" w:type="dxa"/>
          <w:bottom w:w="0" w:type="dxa"/>
          <w:right w:w="0" w:type="dxa"/>
        </w:tblCellMar>
      </w:tblPr>
      <w:tr>
        <w:trPr>
          <w:trHeight w:val="99"/>
        </w:trPr>
        <w:tc>
          <w:tcPr>
            <w:tcW w:w="5780" w:type="dxa"/>
            <w:vAlign w:val="bottom"/>
            <w:tcBorders>
              <w:top w:val="single" w:sz="8" w:color="auto"/>
              <w:left w:val="single" w:sz="8" w:color="auto"/>
              <w:right w:val="single" w:sz="8" w:color="auto"/>
            </w:tcBorders>
            <w:shd w:val="clear" w:color="auto" w:fill="2AD2C9"/>
          </w:tcPr>
          <w:p>
            <w:pPr>
              <w:spacing w:after="0"/>
              <w:rPr>
                <w:sz w:val="8"/>
                <w:szCs w:val="8"/>
                <w:color w:val="auto"/>
              </w:rPr>
            </w:pPr>
          </w:p>
        </w:tc>
        <w:tc>
          <w:tcPr>
            <w:tcW w:w="980" w:type="dxa"/>
            <w:vAlign w:val="bottom"/>
            <w:tcBorders>
              <w:top w:val="single" w:sz="8" w:color="auto"/>
            </w:tcBorders>
            <w:shd w:val="clear" w:color="auto" w:fill="2AD2C9"/>
          </w:tcPr>
          <w:p>
            <w:pPr>
              <w:spacing w:after="0"/>
              <w:rPr>
                <w:sz w:val="8"/>
                <w:szCs w:val="8"/>
                <w:color w:val="auto"/>
              </w:rPr>
            </w:pPr>
          </w:p>
        </w:tc>
        <w:tc>
          <w:tcPr>
            <w:tcW w:w="1020" w:type="dxa"/>
            <w:vAlign w:val="bottom"/>
            <w:tcBorders>
              <w:top w:val="single" w:sz="8" w:color="auto"/>
            </w:tcBorders>
            <w:shd w:val="clear" w:color="auto" w:fill="2AD2C9"/>
          </w:tcPr>
          <w:p>
            <w:pPr>
              <w:jc w:val="center"/>
              <w:spacing w:after="0" w:line="99" w:lineRule="exact"/>
              <w:rPr>
                <w:sz w:val="20"/>
                <w:szCs w:val="20"/>
                <w:color w:val="auto"/>
              </w:rPr>
            </w:pPr>
            <w:r>
              <w:rPr>
                <w:rFonts w:ascii="Arial" w:cs="Arial" w:eastAsia="Arial" w:hAnsi="Arial"/>
                <w:sz w:val="10"/>
                <w:szCs w:val="10"/>
                <w:b w:val="1"/>
                <w:bCs w:val="1"/>
                <w:color w:val="FFFFFF"/>
                <w:w w:val="95"/>
              </w:rPr>
              <w:t>As of</w:t>
            </w:r>
          </w:p>
        </w:tc>
        <w:tc>
          <w:tcPr>
            <w:tcW w:w="1020" w:type="dxa"/>
            <w:vAlign w:val="bottom"/>
            <w:tcBorders>
              <w:top w:val="single" w:sz="8" w:color="auto"/>
              <w:right w:val="single" w:sz="8" w:color="auto"/>
            </w:tcBorders>
            <w:shd w:val="clear" w:color="auto" w:fill="2AD2C9"/>
          </w:tcPr>
          <w:p>
            <w:pPr>
              <w:spacing w:after="0"/>
              <w:rPr>
                <w:sz w:val="8"/>
                <w:szCs w:val="8"/>
                <w:color w:val="auto"/>
              </w:rPr>
            </w:pPr>
          </w:p>
        </w:tc>
        <w:tc>
          <w:tcPr>
            <w:tcW w:w="1360" w:type="dxa"/>
            <w:vAlign w:val="bottom"/>
            <w:tcBorders>
              <w:top w:val="single" w:sz="8" w:color="auto"/>
              <w:right w:val="single" w:sz="8" w:color="auto"/>
            </w:tcBorders>
            <w:gridSpan w:val="2"/>
            <w:shd w:val="clear" w:color="auto" w:fill="2AD2C9"/>
          </w:tcPr>
          <w:p>
            <w:pPr>
              <w:ind w:left="440"/>
              <w:spacing w:after="0" w:line="99" w:lineRule="exact"/>
              <w:rPr>
                <w:sz w:val="20"/>
                <w:szCs w:val="20"/>
                <w:color w:val="auto"/>
              </w:rPr>
            </w:pPr>
            <w:r>
              <w:rPr>
                <w:rFonts w:ascii="Arial" w:cs="Arial" w:eastAsia="Arial" w:hAnsi="Arial"/>
                <w:sz w:val="10"/>
                <w:szCs w:val="10"/>
                <w:b w:val="1"/>
                <w:bCs w:val="1"/>
                <w:color w:val="FFFFFF"/>
              </w:rPr>
              <w:t>% change</w:t>
            </w:r>
          </w:p>
        </w:tc>
        <w:tc>
          <w:tcPr>
            <w:tcW w:w="0" w:type="dxa"/>
            <w:vAlign w:val="bottom"/>
          </w:tcPr>
          <w:p>
            <w:pPr>
              <w:spacing w:after="0"/>
              <w:rPr>
                <w:sz w:val="1"/>
                <w:szCs w:val="1"/>
                <w:color w:val="auto"/>
              </w:rPr>
            </w:pPr>
          </w:p>
        </w:tc>
      </w:tr>
      <w:tr>
        <w:trPr>
          <w:trHeight w:val="117"/>
        </w:trPr>
        <w:tc>
          <w:tcPr>
            <w:tcW w:w="5780" w:type="dxa"/>
            <w:vAlign w:val="bottom"/>
            <w:tcBorders>
              <w:left w:val="single" w:sz="8" w:color="auto"/>
              <w:bottom w:val="single" w:sz="8" w:color="auto"/>
              <w:right w:val="single" w:sz="8" w:color="auto"/>
            </w:tcBorders>
            <w:shd w:val="clear" w:color="auto" w:fill="2AD2C9"/>
          </w:tcPr>
          <w:p>
            <w:pPr>
              <w:spacing w:after="0"/>
              <w:rPr>
                <w:sz w:val="10"/>
                <w:szCs w:val="10"/>
                <w:color w:val="auto"/>
              </w:rPr>
            </w:pPr>
          </w:p>
        </w:tc>
        <w:tc>
          <w:tcPr>
            <w:tcW w:w="980" w:type="dxa"/>
            <w:vAlign w:val="bottom"/>
            <w:tcBorders>
              <w:bottom w:val="single" w:sz="8" w:color="auto"/>
            </w:tcBorders>
            <w:shd w:val="clear" w:color="auto" w:fill="2AD2C9"/>
          </w:tcPr>
          <w:p>
            <w:pPr>
              <w:ind w:left="340"/>
              <w:spacing w:after="0"/>
              <w:rPr>
                <w:sz w:val="20"/>
                <w:szCs w:val="20"/>
                <w:color w:val="auto"/>
              </w:rPr>
            </w:pPr>
            <w:r>
              <w:rPr>
                <w:rFonts w:ascii="Arial" w:cs="Arial" w:eastAsia="Arial" w:hAnsi="Arial"/>
                <w:sz w:val="10"/>
                <w:szCs w:val="10"/>
                <w:b w:val="1"/>
                <w:bCs w:val="1"/>
                <w:color w:val="FFFFFF"/>
              </w:rPr>
              <w:t>Jun 23</w:t>
            </w:r>
          </w:p>
        </w:tc>
        <w:tc>
          <w:tcPr>
            <w:tcW w:w="10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4"/>
              </w:rPr>
              <w:t>Mar 24</w:t>
            </w:r>
          </w:p>
        </w:tc>
        <w:tc>
          <w:tcPr>
            <w:tcW w:w="1020" w:type="dxa"/>
            <w:vAlign w:val="bottom"/>
            <w:tcBorders>
              <w:bottom w:val="single" w:sz="8" w:color="auto"/>
              <w:right w:val="single" w:sz="8" w:color="auto"/>
            </w:tcBorders>
            <w:shd w:val="clear" w:color="auto" w:fill="2AD2C9"/>
          </w:tcPr>
          <w:p>
            <w:pPr>
              <w:ind w:left="340"/>
              <w:spacing w:after="0"/>
              <w:rPr>
                <w:sz w:val="20"/>
                <w:szCs w:val="20"/>
                <w:color w:val="auto"/>
              </w:rPr>
            </w:pPr>
            <w:r>
              <w:rPr>
                <w:rFonts w:ascii="Arial" w:cs="Arial" w:eastAsia="Arial" w:hAnsi="Arial"/>
                <w:sz w:val="10"/>
                <w:szCs w:val="10"/>
                <w:b w:val="1"/>
                <w:bCs w:val="1"/>
                <w:color w:val="FFFFFF"/>
              </w:rPr>
              <w:t>Jun 24</w:t>
            </w:r>
          </w:p>
        </w:tc>
        <w:tc>
          <w:tcPr>
            <w:tcW w:w="6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rPr>
              <w:t>QoQ</w:t>
            </w:r>
          </w:p>
        </w:tc>
        <w:tc>
          <w:tcPr>
            <w:tcW w:w="700" w:type="dxa"/>
            <w:vAlign w:val="bottom"/>
            <w:tcBorders>
              <w:bottom w:val="single" w:sz="8" w:color="auto"/>
              <w:right w:val="single" w:sz="8" w:color="auto"/>
            </w:tcBorders>
            <w:shd w:val="clear" w:color="auto" w:fill="2AD2C9"/>
          </w:tcPr>
          <w:p>
            <w:pPr>
              <w:ind w:left="260"/>
              <w:spacing w:after="0"/>
              <w:rPr>
                <w:sz w:val="20"/>
                <w:szCs w:val="20"/>
                <w:color w:val="auto"/>
              </w:rPr>
            </w:pPr>
            <w:r>
              <w:rPr>
                <w:rFonts w:ascii="Arial" w:cs="Arial" w:eastAsia="Arial" w:hAnsi="Arial"/>
                <w:sz w:val="10"/>
                <w:szCs w:val="10"/>
                <w:b w:val="1"/>
                <w:bCs w:val="1"/>
                <w:color w:val="FFFFFF"/>
              </w:rPr>
              <w:t>YoY</w:t>
            </w:r>
          </w:p>
        </w:tc>
        <w:tc>
          <w:tcPr>
            <w:tcW w:w="0" w:type="dxa"/>
            <w:vAlign w:val="bottom"/>
          </w:tcPr>
          <w:p>
            <w:pPr>
              <w:spacing w:after="0"/>
              <w:rPr>
                <w:sz w:val="1"/>
                <w:szCs w:val="1"/>
                <w:color w:val="auto"/>
              </w:rPr>
            </w:pPr>
          </w:p>
        </w:tc>
      </w:tr>
      <w:tr>
        <w:trPr>
          <w:trHeight w:val="79"/>
        </w:trPr>
        <w:tc>
          <w:tcPr>
            <w:tcW w:w="5780" w:type="dxa"/>
            <w:vAlign w:val="bottom"/>
            <w:tcBorders>
              <w:left w:val="single" w:sz="8" w:color="auto"/>
              <w:right w:val="single" w:sz="8" w:color="auto"/>
            </w:tcBorders>
          </w:tcPr>
          <w:p>
            <w:pPr>
              <w:ind w:left="40"/>
              <w:spacing w:after="0" w:line="79" w:lineRule="exact"/>
              <w:rPr>
                <w:sz w:val="20"/>
                <w:szCs w:val="20"/>
                <w:color w:val="auto"/>
              </w:rPr>
            </w:pPr>
            <w:r>
              <w:rPr>
                <w:rFonts w:ascii="Arial" w:cs="Arial" w:eastAsia="Arial" w:hAnsi="Arial"/>
                <w:sz w:val="8"/>
                <w:szCs w:val="8"/>
                <w:b w:val="1"/>
                <w:bCs w:val="1"/>
                <w:color w:val="auto"/>
              </w:rPr>
              <w:t>ASSETS</w:t>
            </w:r>
          </w:p>
        </w:tc>
        <w:tc>
          <w:tcPr>
            <w:tcW w:w="9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5780" w:type="dxa"/>
            <w:vAlign w:val="bottom"/>
            <w:tcBorders>
              <w:left w:val="single" w:sz="8" w:color="auto"/>
              <w:right w:val="single" w:sz="8" w:color="auto"/>
            </w:tcBorders>
          </w:tcPr>
          <w:p>
            <w:pPr>
              <w:ind w:left="40"/>
              <w:spacing w:after="0" w:line="105" w:lineRule="exact"/>
              <w:rPr>
                <w:sz w:val="20"/>
                <w:szCs w:val="20"/>
                <w:color w:val="auto"/>
              </w:rPr>
            </w:pPr>
            <w:r>
              <w:rPr>
                <w:rFonts w:ascii="Arial" w:cs="Arial" w:eastAsia="Arial" w:hAnsi="Arial"/>
                <w:sz w:val="10"/>
                <w:szCs w:val="10"/>
                <w:b w:val="1"/>
                <w:bCs w:val="1"/>
                <w:color w:val="auto"/>
              </w:rPr>
              <w:t>Cash and due from banks</w:t>
            </w:r>
          </w:p>
        </w:tc>
        <w:tc>
          <w:tcPr>
            <w:tcW w:w="9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5780" w:type="dxa"/>
            <w:vAlign w:val="bottom"/>
            <w:tcBorders>
              <w:left w:val="single" w:sz="8" w:color="auto"/>
              <w:right w:val="single" w:sz="8" w:color="auto"/>
            </w:tcBorders>
          </w:tcPr>
          <w:p>
            <w:pPr>
              <w:ind w:left="160"/>
              <w:spacing w:after="0" w:line="103" w:lineRule="exact"/>
              <w:rPr>
                <w:sz w:val="20"/>
                <w:szCs w:val="20"/>
                <w:color w:val="auto"/>
              </w:rPr>
            </w:pPr>
            <w:r>
              <w:rPr>
                <w:rFonts w:ascii="Arial" w:cs="Arial" w:eastAsia="Arial" w:hAnsi="Arial"/>
                <w:sz w:val="10"/>
                <w:szCs w:val="10"/>
                <w:color w:val="auto"/>
              </w:rPr>
              <w:t>Non-interest bearing</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4"/>
              </w:rPr>
              <w:t>4,634,064</w:t>
            </w:r>
          </w:p>
        </w:tc>
        <w:tc>
          <w:tcPr>
            <w:tcW w:w="1020" w:type="dxa"/>
            <w:vAlign w:val="bottom"/>
          </w:tcPr>
          <w:p>
            <w:pPr>
              <w:jc w:val="center"/>
              <w:spacing w:after="0" w:line="103" w:lineRule="exact"/>
              <w:rPr>
                <w:sz w:val="20"/>
                <w:szCs w:val="20"/>
                <w:color w:val="auto"/>
              </w:rPr>
            </w:pPr>
            <w:r>
              <w:rPr>
                <w:rFonts w:ascii="Arial" w:cs="Arial" w:eastAsia="Arial" w:hAnsi="Arial"/>
                <w:sz w:val="10"/>
                <w:szCs w:val="10"/>
                <w:color w:val="auto"/>
                <w:w w:val="94"/>
              </w:rPr>
              <w:t>5,150,933</w:t>
            </w:r>
          </w:p>
        </w:tc>
        <w:tc>
          <w:tcPr>
            <w:tcW w:w="10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8"/>
              </w:rPr>
              <w:t>4,832,098</w:t>
            </w:r>
          </w:p>
        </w:tc>
        <w:tc>
          <w:tcPr>
            <w:tcW w:w="660" w:type="dxa"/>
            <w:vAlign w:val="bottom"/>
          </w:tcPr>
          <w:p>
            <w:pPr>
              <w:jc w:val="center"/>
              <w:spacing w:after="0" w:line="103" w:lineRule="exact"/>
              <w:rPr>
                <w:sz w:val="20"/>
                <w:szCs w:val="20"/>
                <w:color w:val="auto"/>
              </w:rPr>
            </w:pPr>
            <w:r>
              <w:rPr>
                <w:rFonts w:ascii="Arial" w:cs="Arial" w:eastAsia="Arial" w:hAnsi="Arial"/>
                <w:sz w:val="10"/>
                <w:szCs w:val="10"/>
                <w:color w:val="auto"/>
                <w:w w:val="99"/>
              </w:rPr>
              <w:t>-6.2%</w:t>
            </w:r>
          </w:p>
        </w:tc>
        <w:tc>
          <w:tcPr>
            <w:tcW w:w="7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4.3%</w:t>
            </w:r>
          </w:p>
        </w:tc>
        <w:tc>
          <w:tcPr>
            <w:tcW w:w="0" w:type="dxa"/>
            <w:vAlign w:val="bottom"/>
          </w:tcPr>
          <w:p>
            <w:pPr>
              <w:spacing w:after="0"/>
              <w:rPr>
                <w:sz w:val="1"/>
                <w:szCs w:val="1"/>
                <w:color w:val="auto"/>
              </w:rPr>
            </w:pPr>
          </w:p>
        </w:tc>
      </w:tr>
      <w:tr>
        <w:trPr>
          <w:trHeight w:val="101"/>
        </w:trPr>
        <w:tc>
          <w:tcPr>
            <w:tcW w:w="5780" w:type="dxa"/>
            <w:vAlign w:val="bottom"/>
            <w:tcBorders>
              <w:left w:val="single" w:sz="8" w:color="auto"/>
              <w:right w:val="single" w:sz="8" w:color="auto"/>
            </w:tcBorders>
          </w:tcPr>
          <w:p>
            <w:pPr>
              <w:ind w:left="160"/>
              <w:spacing w:after="0" w:line="101" w:lineRule="exact"/>
              <w:rPr>
                <w:sz w:val="20"/>
                <w:szCs w:val="20"/>
                <w:color w:val="auto"/>
              </w:rPr>
            </w:pPr>
            <w:r>
              <w:rPr>
                <w:rFonts w:ascii="Arial" w:cs="Arial" w:eastAsia="Arial" w:hAnsi="Arial"/>
                <w:sz w:val="10"/>
                <w:szCs w:val="10"/>
                <w:color w:val="auto"/>
              </w:rPr>
              <w:t>Interest bearing</w:t>
            </w:r>
          </w:p>
        </w:tc>
        <w:tc>
          <w:tcPr>
            <w:tcW w:w="980" w:type="dxa"/>
            <w:vAlign w:val="bottom"/>
          </w:tcPr>
          <w:p>
            <w:pPr>
              <w:jc w:val="center"/>
              <w:spacing w:after="0" w:line="101" w:lineRule="exact"/>
              <w:rPr>
                <w:sz w:val="20"/>
                <w:szCs w:val="20"/>
                <w:color w:val="auto"/>
              </w:rPr>
            </w:pPr>
            <w:r>
              <w:rPr>
                <w:rFonts w:ascii="Arial" w:cs="Arial" w:eastAsia="Arial" w:hAnsi="Arial"/>
                <w:sz w:val="10"/>
                <w:szCs w:val="10"/>
                <w:color w:val="auto"/>
                <w:w w:val="95"/>
              </w:rPr>
              <w:t>24,308,715</w:t>
            </w:r>
          </w:p>
        </w:tc>
        <w:tc>
          <w:tcPr>
            <w:tcW w:w="1020" w:type="dxa"/>
            <w:vAlign w:val="bottom"/>
          </w:tcPr>
          <w:p>
            <w:pPr>
              <w:jc w:val="center"/>
              <w:spacing w:after="0" w:line="101" w:lineRule="exact"/>
              <w:rPr>
                <w:sz w:val="20"/>
                <w:szCs w:val="20"/>
                <w:color w:val="auto"/>
              </w:rPr>
            </w:pPr>
            <w:r>
              <w:rPr>
                <w:rFonts w:ascii="Arial" w:cs="Arial" w:eastAsia="Arial" w:hAnsi="Arial"/>
                <w:sz w:val="10"/>
                <w:szCs w:val="10"/>
                <w:color w:val="auto"/>
                <w:w w:val="95"/>
              </w:rPr>
              <w:t>29,572,183</w:t>
            </w:r>
          </w:p>
        </w:tc>
        <w:tc>
          <w:tcPr>
            <w:tcW w:w="102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color w:val="auto"/>
                <w:w w:val="95"/>
              </w:rPr>
              <w:t>25,834,580</w:t>
            </w:r>
          </w:p>
        </w:tc>
        <w:tc>
          <w:tcPr>
            <w:tcW w:w="660" w:type="dxa"/>
            <w:vAlign w:val="bottom"/>
          </w:tcPr>
          <w:p>
            <w:pPr>
              <w:jc w:val="center"/>
              <w:spacing w:after="0" w:line="101" w:lineRule="exact"/>
              <w:rPr>
                <w:sz w:val="20"/>
                <w:szCs w:val="20"/>
                <w:color w:val="auto"/>
              </w:rPr>
            </w:pPr>
            <w:r>
              <w:rPr>
                <w:rFonts w:ascii="Arial" w:cs="Arial" w:eastAsia="Arial" w:hAnsi="Arial"/>
                <w:sz w:val="10"/>
                <w:szCs w:val="10"/>
                <w:color w:val="auto"/>
                <w:w w:val="94"/>
              </w:rPr>
              <w:t>-12.6%</w:t>
            </w:r>
          </w:p>
        </w:tc>
        <w:tc>
          <w:tcPr>
            <w:tcW w:w="70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color w:val="auto"/>
                <w:w w:val="96"/>
              </w:rPr>
              <w:t>6.3%</w:t>
            </w:r>
          </w:p>
        </w:tc>
        <w:tc>
          <w:tcPr>
            <w:tcW w:w="0" w:type="dxa"/>
            <w:vAlign w:val="bottom"/>
          </w:tcPr>
          <w:p>
            <w:pPr>
              <w:spacing w:after="0"/>
              <w:rPr>
                <w:sz w:val="1"/>
                <w:szCs w:val="1"/>
                <w:color w:val="auto"/>
              </w:rPr>
            </w:pPr>
          </w:p>
        </w:tc>
      </w:tr>
      <w:tr>
        <w:trPr>
          <w:trHeight w:val="131"/>
        </w:trPr>
        <w:tc>
          <w:tcPr>
            <w:tcW w:w="5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b w:val="1"/>
                <w:bCs w:val="1"/>
                <w:color w:val="auto"/>
              </w:rPr>
              <w:t>Total Cash and due from banks</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5"/>
              </w:rPr>
              <w:t>28,942,779</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1"/>
              </w:rPr>
              <w:t>34,723,116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30,666,678</w:t>
            </w: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4"/>
              </w:rPr>
              <w:t>-11.7%</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6.0%</w:t>
            </w:r>
          </w:p>
        </w:tc>
        <w:tc>
          <w:tcPr>
            <w:tcW w:w="0" w:type="dxa"/>
            <w:vAlign w:val="bottom"/>
          </w:tcPr>
          <w:p>
            <w:pPr>
              <w:spacing w:after="0"/>
              <w:rPr>
                <w:sz w:val="1"/>
                <w:szCs w:val="1"/>
                <w:color w:val="auto"/>
              </w:rPr>
            </w:pPr>
          </w:p>
        </w:tc>
      </w:tr>
      <w:tr>
        <w:trPr>
          <w:trHeight w:val="206"/>
        </w:trPr>
        <w:tc>
          <w:tcPr>
            <w:tcW w:w="5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b w:val="1"/>
                <w:bCs w:val="1"/>
                <w:color w:val="auto"/>
              </w:rPr>
              <w:t>Cash collateral, reverse repurchase agreements and securities borrowing</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3"/>
              </w:rPr>
              <w:t>537,814</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3"/>
              </w:rPr>
              <w:t>415,202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839,649</w:t>
            </w: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4"/>
              </w:rPr>
              <w:t>102.2%</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56.1%</w:t>
            </w:r>
          </w:p>
        </w:tc>
        <w:tc>
          <w:tcPr>
            <w:tcW w:w="0" w:type="dxa"/>
            <w:vAlign w:val="bottom"/>
          </w:tcPr>
          <w:p>
            <w:pPr>
              <w:spacing w:after="0"/>
              <w:rPr>
                <w:sz w:val="1"/>
                <w:szCs w:val="1"/>
                <w:color w:val="auto"/>
              </w:rPr>
            </w:pPr>
          </w:p>
        </w:tc>
      </w:tr>
      <w:tr>
        <w:trPr>
          <w:trHeight w:val="178"/>
        </w:trPr>
        <w:tc>
          <w:tcPr>
            <w:tcW w:w="5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b w:val="1"/>
                <w:bCs w:val="1"/>
                <w:color w:val="auto"/>
              </w:rPr>
              <w:t>Fair value through profit or loss investments</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3"/>
              </w:rPr>
              <w:t>221,253</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3"/>
              </w:rPr>
              <w:t>465,261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439,004</w:t>
            </w: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9"/>
              </w:rPr>
              <w:t>-5.6%</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98.4%</w:t>
            </w:r>
          </w:p>
        </w:tc>
        <w:tc>
          <w:tcPr>
            <w:tcW w:w="0" w:type="dxa"/>
            <w:vAlign w:val="bottom"/>
          </w:tcPr>
          <w:p>
            <w:pPr>
              <w:spacing w:after="0"/>
              <w:rPr>
                <w:sz w:val="1"/>
                <w:szCs w:val="1"/>
                <w:color w:val="auto"/>
              </w:rPr>
            </w:pPr>
          </w:p>
        </w:tc>
      </w:tr>
      <w:tr>
        <w:trPr>
          <w:trHeight w:val="103"/>
        </w:trPr>
        <w:tc>
          <w:tcPr>
            <w:tcW w:w="578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b w:val="1"/>
                <w:bCs w:val="1"/>
                <w:color w:val="auto"/>
              </w:rPr>
              <w:t>Fair value through other comprehensive income investments</w:t>
            </w:r>
          </w:p>
        </w:tc>
        <w:tc>
          <w:tcPr>
            <w:tcW w:w="98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w w:val="95"/>
              </w:rPr>
              <w:t>15,738,281</w:t>
            </w:r>
          </w:p>
        </w:tc>
        <w:tc>
          <w:tcPr>
            <w:tcW w:w="102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w w:val="95"/>
              </w:rPr>
              <w:t>18,996,635</w:t>
            </w:r>
          </w:p>
        </w:tc>
        <w:tc>
          <w:tcPr>
            <w:tcW w:w="10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b w:val="1"/>
                <w:bCs w:val="1"/>
                <w:color w:val="auto"/>
                <w:w w:val="95"/>
              </w:rPr>
              <w:t>19,504,805</w:t>
            </w:r>
          </w:p>
        </w:tc>
        <w:tc>
          <w:tcPr>
            <w:tcW w:w="66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w w:val="96"/>
              </w:rPr>
              <w:t>2.7%</w:t>
            </w:r>
          </w:p>
        </w:tc>
        <w:tc>
          <w:tcPr>
            <w:tcW w:w="7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b w:val="1"/>
                <w:bCs w:val="1"/>
                <w:color w:val="auto"/>
                <w:w w:val="98"/>
              </w:rPr>
              <w:t>23.9%</w:t>
            </w:r>
          </w:p>
        </w:tc>
        <w:tc>
          <w:tcPr>
            <w:tcW w:w="0" w:type="dxa"/>
            <w:vAlign w:val="bottom"/>
          </w:tcPr>
          <w:p>
            <w:pPr>
              <w:spacing w:after="0"/>
              <w:rPr>
                <w:sz w:val="1"/>
                <w:szCs w:val="1"/>
                <w:color w:val="auto"/>
              </w:rPr>
            </w:pPr>
          </w:p>
        </w:tc>
      </w:tr>
      <w:tr>
        <w:trPr>
          <w:trHeight w:val="131"/>
        </w:trPr>
        <w:tc>
          <w:tcPr>
            <w:tcW w:w="5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b w:val="1"/>
                <w:bCs w:val="1"/>
                <w:color w:val="auto"/>
              </w:rPr>
              <w:t>Amortized cost investments</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4"/>
              </w:rPr>
              <w:t>9,467,981</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4"/>
              </w:rPr>
              <w:t>9,250,403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8,258,140</w:t>
            </w: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4"/>
              </w:rPr>
              <w:t>-10.7%</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-12.8%</w:t>
            </w:r>
          </w:p>
        </w:tc>
        <w:tc>
          <w:tcPr>
            <w:tcW w:w="0" w:type="dxa"/>
            <w:vAlign w:val="bottom"/>
          </w:tcPr>
          <w:p>
            <w:pPr>
              <w:spacing w:after="0"/>
              <w:rPr>
                <w:sz w:val="1"/>
                <w:szCs w:val="1"/>
                <w:color w:val="auto"/>
              </w:rPr>
            </w:pPr>
          </w:p>
        </w:tc>
      </w:tr>
      <w:tr>
        <w:trPr>
          <w:trHeight w:val="180"/>
        </w:trPr>
        <w:tc>
          <w:tcPr>
            <w:tcW w:w="5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b w:val="1"/>
                <w:bCs w:val="1"/>
                <w:color w:val="auto"/>
              </w:rPr>
              <w:t>Loans</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3"/>
              </w:rPr>
              <w:t>117,611,694</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7"/>
              </w:rPr>
              <w:t>115,355,734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121,055,851</w:t>
            </w: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6"/>
              </w:rPr>
              <w:t>4.9%</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2.9%</w:t>
            </w:r>
          </w:p>
        </w:tc>
        <w:tc>
          <w:tcPr>
            <w:tcW w:w="0" w:type="dxa"/>
            <w:vAlign w:val="bottom"/>
          </w:tcPr>
          <w:p>
            <w:pPr>
              <w:spacing w:after="0"/>
              <w:rPr>
                <w:sz w:val="1"/>
                <w:szCs w:val="1"/>
                <w:color w:val="auto"/>
              </w:rPr>
            </w:pPr>
          </w:p>
        </w:tc>
      </w:tr>
      <w:tr>
        <w:trPr>
          <w:trHeight w:val="103"/>
        </w:trPr>
        <w:tc>
          <w:tcPr>
            <w:tcW w:w="5780" w:type="dxa"/>
            <w:vAlign w:val="bottom"/>
            <w:tcBorders>
              <w:left w:val="single" w:sz="8" w:color="auto"/>
              <w:right w:val="single" w:sz="8" w:color="auto"/>
            </w:tcBorders>
          </w:tcPr>
          <w:p>
            <w:pPr>
              <w:ind w:left="160"/>
              <w:spacing w:after="0" w:line="103" w:lineRule="exact"/>
              <w:rPr>
                <w:sz w:val="20"/>
                <w:szCs w:val="20"/>
                <w:color w:val="auto"/>
              </w:rPr>
            </w:pPr>
            <w:r>
              <w:rPr>
                <w:rFonts w:ascii="Arial" w:cs="Arial" w:eastAsia="Arial" w:hAnsi="Arial"/>
                <w:sz w:val="10"/>
                <w:szCs w:val="10"/>
                <w:color w:val="auto"/>
              </w:rPr>
              <w:t>Current</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7"/>
              </w:rPr>
              <w:t>112,818,171</w:t>
            </w:r>
          </w:p>
        </w:tc>
        <w:tc>
          <w:tcPr>
            <w:tcW w:w="1020" w:type="dxa"/>
            <w:vAlign w:val="bottom"/>
          </w:tcPr>
          <w:p>
            <w:pPr>
              <w:jc w:val="center"/>
              <w:spacing w:after="0" w:line="103" w:lineRule="exact"/>
              <w:rPr>
                <w:sz w:val="20"/>
                <w:szCs w:val="20"/>
                <w:color w:val="auto"/>
              </w:rPr>
            </w:pPr>
            <w:r>
              <w:rPr>
                <w:rFonts w:ascii="Arial" w:cs="Arial" w:eastAsia="Arial" w:hAnsi="Arial"/>
                <w:sz w:val="10"/>
                <w:szCs w:val="10"/>
                <w:color w:val="auto"/>
                <w:w w:val="97"/>
              </w:rPr>
              <w:t>110,365,981</w:t>
            </w:r>
          </w:p>
        </w:tc>
        <w:tc>
          <w:tcPr>
            <w:tcW w:w="10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3"/>
              </w:rPr>
              <w:t>116,139,749</w:t>
            </w:r>
          </w:p>
        </w:tc>
        <w:tc>
          <w:tcPr>
            <w:tcW w:w="660" w:type="dxa"/>
            <w:vAlign w:val="bottom"/>
          </w:tcPr>
          <w:p>
            <w:pPr>
              <w:jc w:val="center"/>
              <w:spacing w:after="0" w:line="103" w:lineRule="exact"/>
              <w:rPr>
                <w:sz w:val="20"/>
                <w:szCs w:val="20"/>
                <w:color w:val="auto"/>
              </w:rPr>
            </w:pPr>
            <w:r>
              <w:rPr>
                <w:rFonts w:ascii="Arial" w:cs="Arial" w:eastAsia="Arial" w:hAnsi="Arial"/>
                <w:sz w:val="10"/>
                <w:szCs w:val="10"/>
                <w:color w:val="auto"/>
                <w:w w:val="96"/>
              </w:rPr>
              <w:t>5.2%</w:t>
            </w:r>
          </w:p>
        </w:tc>
        <w:tc>
          <w:tcPr>
            <w:tcW w:w="7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2.9%</w:t>
            </w:r>
          </w:p>
        </w:tc>
        <w:tc>
          <w:tcPr>
            <w:tcW w:w="0" w:type="dxa"/>
            <w:vAlign w:val="bottom"/>
          </w:tcPr>
          <w:p>
            <w:pPr>
              <w:spacing w:after="0"/>
              <w:rPr>
                <w:sz w:val="1"/>
                <w:szCs w:val="1"/>
                <w:color w:val="auto"/>
              </w:rPr>
            </w:pPr>
          </w:p>
        </w:tc>
      </w:tr>
      <w:tr>
        <w:trPr>
          <w:trHeight w:val="103"/>
        </w:trPr>
        <w:tc>
          <w:tcPr>
            <w:tcW w:w="5780" w:type="dxa"/>
            <w:vAlign w:val="bottom"/>
            <w:tcBorders>
              <w:left w:val="single" w:sz="8" w:color="auto"/>
              <w:right w:val="single" w:sz="8" w:color="auto"/>
            </w:tcBorders>
          </w:tcPr>
          <w:p>
            <w:pPr>
              <w:ind w:left="160"/>
              <w:spacing w:after="0" w:line="103" w:lineRule="exact"/>
              <w:rPr>
                <w:sz w:val="20"/>
                <w:szCs w:val="20"/>
                <w:color w:val="auto"/>
              </w:rPr>
            </w:pPr>
            <w:r>
              <w:rPr>
                <w:rFonts w:ascii="Arial" w:cs="Arial" w:eastAsia="Arial" w:hAnsi="Arial"/>
                <w:sz w:val="10"/>
                <w:szCs w:val="10"/>
                <w:color w:val="auto"/>
              </w:rPr>
              <w:t>Internal overdue loans</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4"/>
              </w:rPr>
              <w:t>4,793,523</w:t>
            </w:r>
          </w:p>
        </w:tc>
        <w:tc>
          <w:tcPr>
            <w:tcW w:w="1020" w:type="dxa"/>
            <w:vAlign w:val="bottom"/>
          </w:tcPr>
          <w:p>
            <w:pPr>
              <w:jc w:val="center"/>
              <w:spacing w:after="0" w:line="103" w:lineRule="exact"/>
              <w:rPr>
                <w:sz w:val="20"/>
                <w:szCs w:val="20"/>
                <w:color w:val="auto"/>
              </w:rPr>
            </w:pPr>
            <w:r>
              <w:rPr>
                <w:rFonts w:ascii="Arial" w:cs="Arial" w:eastAsia="Arial" w:hAnsi="Arial"/>
                <w:sz w:val="10"/>
                <w:szCs w:val="10"/>
                <w:color w:val="auto"/>
                <w:w w:val="94"/>
              </w:rPr>
              <w:t>4,989,753</w:t>
            </w:r>
          </w:p>
        </w:tc>
        <w:tc>
          <w:tcPr>
            <w:tcW w:w="10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8"/>
              </w:rPr>
              <w:t>4,916,102</w:t>
            </w:r>
          </w:p>
        </w:tc>
        <w:tc>
          <w:tcPr>
            <w:tcW w:w="660" w:type="dxa"/>
            <w:vAlign w:val="bottom"/>
          </w:tcPr>
          <w:p>
            <w:pPr>
              <w:jc w:val="center"/>
              <w:spacing w:after="0" w:line="103" w:lineRule="exact"/>
              <w:rPr>
                <w:sz w:val="20"/>
                <w:szCs w:val="20"/>
                <w:color w:val="auto"/>
              </w:rPr>
            </w:pPr>
            <w:r>
              <w:rPr>
                <w:rFonts w:ascii="Arial" w:cs="Arial" w:eastAsia="Arial" w:hAnsi="Arial"/>
                <w:sz w:val="10"/>
                <w:szCs w:val="10"/>
                <w:color w:val="auto"/>
                <w:w w:val="99"/>
              </w:rPr>
              <w:t>-1.5%</w:t>
            </w:r>
          </w:p>
        </w:tc>
        <w:tc>
          <w:tcPr>
            <w:tcW w:w="7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2.6%</w:t>
            </w:r>
          </w:p>
        </w:tc>
        <w:tc>
          <w:tcPr>
            <w:tcW w:w="0" w:type="dxa"/>
            <w:vAlign w:val="bottom"/>
          </w:tcPr>
          <w:p>
            <w:pPr>
              <w:spacing w:after="0"/>
              <w:rPr>
                <w:sz w:val="1"/>
                <w:szCs w:val="1"/>
                <w:color w:val="auto"/>
              </w:rPr>
            </w:pPr>
          </w:p>
        </w:tc>
      </w:tr>
      <w:tr>
        <w:trPr>
          <w:trHeight w:val="101"/>
        </w:trPr>
        <w:tc>
          <w:tcPr>
            <w:tcW w:w="5780" w:type="dxa"/>
            <w:vAlign w:val="bottom"/>
            <w:tcBorders>
              <w:left w:val="single" w:sz="8" w:color="auto"/>
              <w:right w:val="single" w:sz="8" w:color="auto"/>
            </w:tcBorders>
          </w:tcPr>
          <w:p>
            <w:pPr>
              <w:ind w:left="160"/>
              <w:spacing w:after="0" w:line="101" w:lineRule="exact"/>
              <w:rPr>
                <w:sz w:val="20"/>
                <w:szCs w:val="20"/>
                <w:color w:val="auto"/>
              </w:rPr>
            </w:pPr>
            <w:r>
              <w:rPr>
                <w:rFonts w:ascii="Arial" w:cs="Arial" w:eastAsia="Arial" w:hAnsi="Arial"/>
                <w:sz w:val="10"/>
                <w:szCs w:val="10"/>
                <w:color w:val="auto"/>
              </w:rPr>
              <w:t>Less - allowance for loan losses</w:t>
            </w:r>
          </w:p>
        </w:tc>
        <w:tc>
          <w:tcPr>
            <w:tcW w:w="980" w:type="dxa"/>
            <w:vAlign w:val="bottom"/>
          </w:tcPr>
          <w:p>
            <w:pPr>
              <w:jc w:val="center"/>
              <w:spacing w:after="0" w:line="101" w:lineRule="exact"/>
              <w:rPr>
                <w:sz w:val="20"/>
                <w:szCs w:val="20"/>
                <w:color w:val="auto"/>
              </w:rPr>
            </w:pPr>
            <w:r>
              <w:rPr>
                <w:rFonts w:ascii="Arial" w:cs="Arial" w:eastAsia="Arial" w:hAnsi="Arial"/>
                <w:sz w:val="10"/>
                <w:szCs w:val="10"/>
                <w:color w:val="auto"/>
                <w:w w:val="97"/>
              </w:rPr>
              <w:t>(6,410,732)</w:t>
            </w:r>
          </w:p>
        </w:tc>
        <w:tc>
          <w:tcPr>
            <w:tcW w:w="1020" w:type="dxa"/>
            <w:vAlign w:val="bottom"/>
          </w:tcPr>
          <w:p>
            <w:pPr>
              <w:jc w:val="center"/>
              <w:spacing w:after="0" w:line="101" w:lineRule="exact"/>
              <w:rPr>
                <w:sz w:val="20"/>
                <w:szCs w:val="20"/>
                <w:color w:val="auto"/>
              </w:rPr>
            </w:pPr>
            <w:r>
              <w:rPr>
                <w:rFonts w:ascii="Arial" w:cs="Arial" w:eastAsia="Arial" w:hAnsi="Arial"/>
                <w:sz w:val="10"/>
                <w:szCs w:val="10"/>
                <w:color w:val="auto"/>
                <w:w w:val="97"/>
              </w:rPr>
              <w:t>(6,689,926)</w:t>
            </w:r>
          </w:p>
        </w:tc>
        <w:tc>
          <w:tcPr>
            <w:tcW w:w="102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color w:val="auto"/>
                <w:w w:val="93"/>
              </w:rPr>
              <w:t>(6,809,141)</w:t>
            </w:r>
          </w:p>
        </w:tc>
        <w:tc>
          <w:tcPr>
            <w:tcW w:w="660" w:type="dxa"/>
            <w:vAlign w:val="bottom"/>
          </w:tcPr>
          <w:p>
            <w:pPr>
              <w:jc w:val="center"/>
              <w:spacing w:after="0" w:line="101" w:lineRule="exact"/>
              <w:rPr>
                <w:sz w:val="20"/>
                <w:szCs w:val="20"/>
                <w:color w:val="auto"/>
              </w:rPr>
            </w:pPr>
            <w:r>
              <w:rPr>
                <w:rFonts w:ascii="Arial" w:cs="Arial" w:eastAsia="Arial" w:hAnsi="Arial"/>
                <w:sz w:val="10"/>
                <w:szCs w:val="10"/>
                <w:color w:val="auto"/>
                <w:w w:val="96"/>
              </w:rPr>
              <w:t>1.8%</w:t>
            </w:r>
          </w:p>
        </w:tc>
        <w:tc>
          <w:tcPr>
            <w:tcW w:w="70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color w:val="auto"/>
                <w:w w:val="96"/>
              </w:rPr>
              <w:t>6.2%</w:t>
            </w:r>
          </w:p>
        </w:tc>
        <w:tc>
          <w:tcPr>
            <w:tcW w:w="0" w:type="dxa"/>
            <w:vAlign w:val="bottom"/>
          </w:tcPr>
          <w:p>
            <w:pPr>
              <w:spacing w:after="0"/>
              <w:rPr>
                <w:sz w:val="1"/>
                <w:szCs w:val="1"/>
                <w:color w:val="auto"/>
              </w:rPr>
            </w:pPr>
          </w:p>
        </w:tc>
      </w:tr>
      <w:tr>
        <w:trPr>
          <w:trHeight w:val="131"/>
        </w:trPr>
        <w:tc>
          <w:tcPr>
            <w:tcW w:w="5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b w:val="1"/>
                <w:bCs w:val="1"/>
                <w:color w:val="auto"/>
              </w:rPr>
              <w:t>Loans, net</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3"/>
              </w:rPr>
              <w:t>111,200,962</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7"/>
              </w:rPr>
              <w:t>108,665,808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114,246,710</w:t>
            </w: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6"/>
              </w:rPr>
              <w:t>5.1%</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2.7%</w:t>
            </w:r>
          </w:p>
        </w:tc>
        <w:tc>
          <w:tcPr>
            <w:tcW w:w="0" w:type="dxa"/>
            <w:vAlign w:val="bottom"/>
          </w:tcPr>
          <w:p>
            <w:pPr>
              <w:spacing w:after="0"/>
              <w:rPr>
                <w:sz w:val="1"/>
                <w:szCs w:val="1"/>
                <w:color w:val="auto"/>
              </w:rPr>
            </w:pPr>
          </w:p>
        </w:tc>
      </w:tr>
      <w:tr>
        <w:trPr>
          <w:trHeight w:val="178"/>
        </w:trPr>
        <w:tc>
          <w:tcPr>
            <w:tcW w:w="5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b w:val="1"/>
                <w:bCs w:val="1"/>
                <w:color w:val="auto"/>
              </w:rPr>
              <w:t xml:space="preserve">Property, furniture and equipment, net </w:t>
            </w:r>
            <w:r>
              <w:rPr>
                <w:rFonts w:ascii="Arial" w:cs="Arial" w:eastAsia="Arial" w:hAnsi="Arial"/>
                <w:sz w:val="15"/>
                <w:szCs w:val="15"/>
                <w:b w:val="1"/>
                <w:bCs w:val="1"/>
                <w:color w:val="auto"/>
                <w:vertAlign w:val="superscript"/>
              </w:rPr>
              <w:t>(1)</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4"/>
              </w:rPr>
              <w:t>1,217,932</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4"/>
              </w:rPr>
              <w:t>1,262,342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1,250,424</w:t>
            </w: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9"/>
              </w:rPr>
              <w:t>-0.9%</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2.7%</w:t>
            </w:r>
          </w:p>
        </w:tc>
        <w:tc>
          <w:tcPr>
            <w:tcW w:w="0" w:type="dxa"/>
            <w:vAlign w:val="bottom"/>
          </w:tcPr>
          <w:p>
            <w:pPr>
              <w:spacing w:after="0"/>
              <w:rPr>
                <w:sz w:val="1"/>
                <w:szCs w:val="1"/>
                <w:color w:val="auto"/>
              </w:rPr>
            </w:pPr>
          </w:p>
        </w:tc>
      </w:tr>
      <w:tr>
        <w:trPr>
          <w:trHeight w:val="103"/>
        </w:trPr>
        <w:tc>
          <w:tcPr>
            <w:tcW w:w="578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b w:val="1"/>
                <w:bCs w:val="1"/>
                <w:color w:val="auto"/>
              </w:rPr>
              <w:t>Due from customers on acceptances</w:t>
            </w:r>
          </w:p>
        </w:tc>
        <w:tc>
          <w:tcPr>
            <w:tcW w:w="98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w w:val="93"/>
              </w:rPr>
              <w:t>226,161</w:t>
            </w:r>
          </w:p>
        </w:tc>
        <w:tc>
          <w:tcPr>
            <w:tcW w:w="102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w w:val="93"/>
              </w:rPr>
              <w:t>322,346</w:t>
            </w:r>
          </w:p>
        </w:tc>
        <w:tc>
          <w:tcPr>
            <w:tcW w:w="10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b w:val="1"/>
                <w:bCs w:val="1"/>
                <w:color w:val="auto"/>
                <w:w w:val="99"/>
              </w:rPr>
              <w:t>473,382</w:t>
            </w:r>
          </w:p>
        </w:tc>
        <w:tc>
          <w:tcPr>
            <w:tcW w:w="66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w w:val="91"/>
              </w:rPr>
              <w:t>46.9%</w:t>
            </w:r>
          </w:p>
        </w:tc>
        <w:tc>
          <w:tcPr>
            <w:tcW w:w="7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b w:val="1"/>
                <w:bCs w:val="1"/>
                <w:color w:val="auto"/>
                <w:w w:val="94"/>
              </w:rPr>
              <w:t>109.3%</w:t>
            </w:r>
          </w:p>
        </w:tc>
        <w:tc>
          <w:tcPr>
            <w:tcW w:w="0" w:type="dxa"/>
            <w:vAlign w:val="bottom"/>
          </w:tcPr>
          <w:p>
            <w:pPr>
              <w:spacing w:after="0"/>
              <w:rPr>
                <w:sz w:val="1"/>
                <w:szCs w:val="1"/>
                <w:color w:val="auto"/>
              </w:rPr>
            </w:pPr>
          </w:p>
        </w:tc>
      </w:tr>
      <w:tr>
        <w:trPr>
          <w:trHeight w:val="99"/>
        </w:trPr>
        <w:tc>
          <w:tcPr>
            <w:tcW w:w="5780" w:type="dxa"/>
            <w:vAlign w:val="bottom"/>
            <w:tcBorders>
              <w:left w:val="single" w:sz="8" w:color="auto"/>
              <w:right w:val="single" w:sz="8" w:color="auto"/>
            </w:tcBorders>
          </w:tcPr>
          <w:p>
            <w:pPr>
              <w:ind w:left="40"/>
              <w:spacing w:after="0" w:line="99" w:lineRule="exact"/>
              <w:rPr>
                <w:sz w:val="20"/>
                <w:szCs w:val="20"/>
                <w:color w:val="auto"/>
              </w:rPr>
            </w:pPr>
            <w:r>
              <w:rPr>
                <w:rFonts w:ascii="Arial" w:cs="Arial" w:eastAsia="Arial" w:hAnsi="Arial"/>
                <w:sz w:val="10"/>
                <w:szCs w:val="10"/>
                <w:b w:val="1"/>
                <w:bCs w:val="1"/>
                <w:color w:val="auto"/>
              </w:rPr>
              <w:t>Investments in associates</w:t>
            </w:r>
          </w:p>
        </w:tc>
        <w:tc>
          <w:tcPr>
            <w:tcW w:w="98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4"/>
              </w:rPr>
              <w:t>2,800,043</w:t>
            </w:r>
          </w:p>
        </w:tc>
        <w:tc>
          <w:tcPr>
            <w:tcW w:w="102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4"/>
              </w:rPr>
              <w:t>2,570,974</w:t>
            </w:r>
          </w:p>
        </w:tc>
        <w:tc>
          <w:tcPr>
            <w:tcW w:w="102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0"/>
                <w:szCs w:val="10"/>
                <w:b w:val="1"/>
                <w:bCs w:val="1"/>
                <w:color w:val="auto"/>
                <w:w w:val="98"/>
              </w:rPr>
              <w:t>2,613,220</w:t>
            </w:r>
          </w:p>
        </w:tc>
        <w:tc>
          <w:tcPr>
            <w:tcW w:w="6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6"/>
              </w:rPr>
              <w:t>1.6%</w:t>
            </w:r>
          </w:p>
        </w:tc>
        <w:tc>
          <w:tcPr>
            <w:tcW w:w="7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0"/>
                <w:szCs w:val="10"/>
                <w:b w:val="1"/>
                <w:bCs w:val="1"/>
                <w:color w:val="auto"/>
                <w:w w:val="99"/>
              </w:rPr>
              <w:t>-6.7%</w:t>
            </w:r>
          </w:p>
        </w:tc>
        <w:tc>
          <w:tcPr>
            <w:tcW w:w="0" w:type="dxa"/>
            <w:vAlign w:val="bottom"/>
          </w:tcPr>
          <w:p>
            <w:pPr>
              <w:spacing w:after="0"/>
              <w:rPr>
                <w:sz w:val="1"/>
                <w:szCs w:val="1"/>
                <w:color w:val="auto"/>
              </w:rPr>
            </w:pPr>
          </w:p>
        </w:tc>
      </w:tr>
      <w:tr>
        <w:trPr>
          <w:trHeight w:val="210"/>
        </w:trPr>
        <w:tc>
          <w:tcPr>
            <w:tcW w:w="5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b w:val="1"/>
                <w:bCs w:val="1"/>
                <w:color w:val="auto"/>
              </w:rPr>
              <w:t xml:space="preserve">Other assets </w:t>
            </w:r>
            <w:r>
              <w:rPr>
                <w:rFonts w:ascii="Arial" w:cs="Arial" w:eastAsia="Arial" w:hAnsi="Arial"/>
                <w:sz w:val="15"/>
                <w:szCs w:val="15"/>
                <w:b w:val="1"/>
                <w:bCs w:val="1"/>
                <w:color w:val="auto"/>
                <w:vertAlign w:val="superscript"/>
              </w:rPr>
              <w:t>(2)</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4"/>
              </w:rPr>
              <w:t>7,015,286</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4"/>
              </w:rPr>
              <w:t>6,647,263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10,988,528</w:t>
            </w: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1"/>
              </w:rPr>
              <w:t>65.3%</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56.6%</w:t>
            </w:r>
          </w:p>
        </w:tc>
        <w:tc>
          <w:tcPr>
            <w:tcW w:w="0" w:type="dxa"/>
            <w:vAlign w:val="bottom"/>
          </w:tcPr>
          <w:p>
            <w:pPr>
              <w:spacing w:after="0"/>
              <w:rPr>
                <w:sz w:val="1"/>
                <w:szCs w:val="1"/>
                <w:color w:val="auto"/>
              </w:rPr>
            </w:pPr>
          </w:p>
        </w:tc>
      </w:tr>
      <w:tr>
        <w:trPr>
          <w:trHeight w:val="131"/>
        </w:trPr>
        <w:tc>
          <w:tcPr>
            <w:tcW w:w="5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Total Assets</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7"/>
              </w:rPr>
              <w:t>177,368,492</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7"/>
              </w:rPr>
              <w:t>183,319,350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189,280,540</w:t>
            </w: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6"/>
              </w:rPr>
              <w:t>3.3%</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6.7%</w:t>
            </w:r>
          </w:p>
        </w:tc>
        <w:tc>
          <w:tcPr>
            <w:tcW w:w="0" w:type="dxa"/>
            <w:vAlign w:val="bottom"/>
          </w:tcPr>
          <w:p>
            <w:pPr>
              <w:spacing w:after="0"/>
              <w:rPr>
                <w:sz w:val="1"/>
                <w:szCs w:val="1"/>
                <w:color w:val="auto"/>
              </w:rPr>
            </w:pPr>
          </w:p>
        </w:tc>
      </w:tr>
      <w:tr>
        <w:trPr>
          <w:trHeight w:val="178"/>
        </w:trPr>
        <w:tc>
          <w:tcPr>
            <w:tcW w:w="5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b w:val="1"/>
                <w:bCs w:val="1"/>
                <w:color w:val="auto"/>
              </w:rPr>
              <w:t>Liabilities and Equity</w:t>
            </w:r>
          </w:p>
        </w:tc>
        <w:tc>
          <w:tcPr>
            <w:tcW w:w="9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5780" w:type="dxa"/>
            <w:vAlign w:val="bottom"/>
            <w:tcBorders>
              <w:left w:val="single" w:sz="8" w:color="auto"/>
              <w:right w:val="single" w:sz="8" w:color="auto"/>
            </w:tcBorders>
          </w:tcPr>
          <w:p>
            <w:pPr>
              <w:ind w:left="40"/>
              <w:spacing w:after="0" w:line="105" w:lineRule="exact"/>
              <w:rPr>
                <w:sz w:val="20"/>
                <w:szCs w:val="20"/>
                <w:color w:val="auto"/>
              </w:rPr>
            </w:pPr>
            <w:r>
              <w:rPr>
                <w:rFonts w:ascii="Arial" w:cs="Arial" w:eastAsia="Arial" w:hAnsi="Arial"/>
                <w:sz w:val="10"/>
                <w:szCs w:val="10"/>
                <w:b w:val="1"/>
                <w:bCs w:val="1"/>
                <w:color w:val="auto"/>
              </w:rPr>
              <w:t>Deposits and obligations</w:t>
            </w:r>
          </w:p>
        </w:tc>
        <w:tc>
          <w:tcPr>
            <w:tcW w:w="9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5780" w:type="dxa"/>
            <w:vAlign w:val="bottom"/>
            <w:tcBorders>
              <w:left w:val="single" w:sz="8" w:color="auto"/>
              <w:right w:val="single" w:sz="8" w:color="auto"/>
            </w:tcBorders>
          </w:tcPr>
          <w:p>
            <w:pPr>
              <w:ind w:left="160"/>
              <w:spacing w:after="0" w:line="103" w:lineRule="exact"/>
              <w:rPr>
                <w:sz w:val="20"/>
                <w:szCs w:val="20"/>
                <w:color w:val="auto"/>
              </w:rPr>
            </w:pPr>
            <w:r>
              <w:rPr>
                <w:rFonts w:ascii="Arial" w:cs="Arial" w:eastAsia="Arial" w:hAnsi="Arial"/>
                <w:sz w:val="10"/>
                <w:szCs w:val="10"/>
                <w:color w:val="auto"/>
              </w:rPr>
              <w:t>Non-interest bearing</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5"/>
              </w:rPr>
              <w:t>36,465,910</w:t>
            </w:r>
          </w:p>
        </w:tc>
        <w:tc>
          <w:tcPr>
            <w:tcW w:w="1020" w:type="dxa"/>
            <w:vAlign w:val="bottom"/>
          </w:tcPr>
          <w:p>
            <w:pPr>
              <w:jc w:val="center"/>
              <w:spacing w:after="0" w:line="103" w:lineRule="exact"/>
              <w:rPr>
                <w:sz w:val="20"/>
                <w:szCs w:val="20"/>
                <w:color w:val="auto"/>
              </w:rPr>
            </w:pPr>
            <w:r>
              <w:rPr>
                <w:rFonts w:ascii="Arial" w:cs="Arial" w:eastAsia="Arial" w:hAnsi="Arial"/>
                <w:sz w:val="10"/>
                <w:szCs w:val="10"/>
                <w:color w:val="auto"/>
                <w:w w:val="95"/>
              </w:rPr>
              <w:t>38,529,409</w:t>
            </w:r>
          </w:p>
        </w:tc>
        <w:tc>
          <w:tcPr>
            <w:tcW w:w="10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5"/>
              </w:rPr>
              <w:t>41,171,770</w:t>
            </w:r>
          </w:p>
        </w:tc>
        <w:tc>
          <w:tcPr>
            <w:tcW w:w="660" w:type="dxa"/>
            <w:vAlign w:val="bottom"/>
          </w:tcPr>
          <w:p>
            <w:pPr>
              <w:jc w:val="center"/>
              <w:spacing w:after="0" w:line="103" w:lineRule="exact"/>
              <w:rPr>
                <w:sz w:val="20"/>
                <w:szCs w:val="20"/>
                <w:color w:val="auto"/>
              </w:rPr>
            </w:pPr>
            <w:r>
              <w:rPr>
                <w:rFonts w:ascii="Arial" w:cs="Arial" w:eastAsia="Arial" w:hAnsi="Arial"/>
                <w:sz w:val="10"/>
                <w:szCs w:val="10"/>
                <w:color w:val="auto"/>
                <w:w w:val="96"/>
              </w:rPr>
              <w:t>6.9%</w:t>
            </w:r>
          </w:p>
        </w:tc>
        <w:tc>
          <w:tcPr>
            <w:tcW w:w="7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8"/>
              </w:rPr>
              <w:t>12.9%</w:t>
            </w:r>
          </w:p>
        </w:tc>
        <w:tc>
          <w:tcPr>
            <w:tcW w:w="0" w:type="dxa"/>
            <w:vAlign w:val="bottom"/>
          </w:tcPr>
          <w:p>
            <w:pPr>
              <w:spacing w:after="0"/>
              <w:rPr>
                <w:sz w:val="1"/>
                <w:szCs w:val="1"/>
                <w:color w:val="auto"/>
              </w:rPr>
            </w:pPr>
          </w:p>
        </w:tc>
      </w:tr>
      <w:tr>
        <w:trPr>
          <w:trHeight w:val="101"/>
        </w:trPr>
        <w:tc>
          <w:tcPr>
            <w:tcW w:w="5780" w:type="dxa"/>
            <w:vAlign w:val="bottom"/>
            <w:tcBorders>
              <w:left w:val="single" w:sz="8" w:color="auto"/>
              <w:right w:val="single" w:sz="8" w:color="auto"/>
            </w:tcBorders>
          </w:tcPr>
          <w:p>
            <w:pPr>
              <w:ind w:left="160"/>
              <w:spacing w:after="0" w:line="101" w:lineRule="exact"/>
              <w:rPr>
                <w:sz w:val="20"/>
                <w:szCs w:val="20"/>
                <w:color w:val="auto"/>
              </w:rPr>
            </w:pPr>
            <w:r>
              <w:rPr>
                <w:rFonts w:ascii="Arial" w:cs="Arial" w:eastAsia="Arial" w:hAnsi="Arial"/>
                <w:sz w:val="10"/>
                <w:szCs w:val="10"/>
                <w:color w:val="auto"/>
              </w:rPr>
              <w:t>Interest bearing</w:t>
            </w:r>
          </w:p>
        </w:tc>
        <w:tc>
          <w:tcPr>
            <w:tcW w:w="980" w:type="dxa"/>
            <w:vAlign w:val="bottom"/>
          </w:tcPr>
          <w:p>
            <w:pPr>
              <w:jc w:val="center"/>
              <w:spacing w:after="0" w:line="101" w:lineRule="exact"/>
              <w:rPr>
                <w:sz w:val="20"/>
                <w:szCs w:val="20"/>
                <w:color w:val="auto"/>
              </w:rPr>
            </w:pPr>
            <w:r>
              <w:rPr>
                <w:rFonts w:ascii="Arial" w:cs="Arial" w:eastAsia="Arial" w:hAnsi="Arial"/>
                <w:sz w:val="10"/>
                <w:szCs w:val="10"/>
                <w:color w:val="auto"/>
                <w:w w:val="95"/>
              </w:rPr>
              <w:t>81,295,129</w:t>
            </w:r>
          </w:p>
        </w:tc>
        <w:tc>
          <w:tcPr>
            <w:tcW w:w="1020" w:type="dxa"/>
            <w:vAlign w:val="bottom"/>
          </w:tcPr>
          <w:p>
            <w:pPr>
              <w:jc w:val="center"/>
              <w:spacing w:after="0" w:line="101" w:lineRule="exact"/>
              <w:rPr>
                <w:sz w:val="20"/>
                <w:szCs w:val="20"/>
                <w:color w:val="auto"/>
              </w:rPr>
            </w:pPr>
            <w:r>
              <w:rPr>
                <w:rFonts w:ascii="Arial" w:cs="Arial" w:eastAsia="Arial" w:hAnsi="Arial"/>
                <w:sz w:val="10"/>
                <w:szCs w:val="10"/>
                <w:color w:val="auto"/>
                <w:w w:val="95"/>
              </w:rPr>
              <w:t>84,392,216</w:t>
            </w:r>
          </w:p>
        </w:tc>
        <w:tc>
          <w:tcPr>
            <w:tcW w:w="102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color w:val="auto"/>
                <w:w w:val="95"/>
              </w:rPr>
              <w:t>85,955,136</w:t>
            </w:r>
          </w:p>
        </w:tc>
        <w:tc>
          <w:tcPr>
            <w:tcW w:w="660" w:type="dxa"/>
            <w:vAlign w:val="bottom"/>
          </w:tcPr>
          <w:p>
            <w:pPr>
              <w:jc w:val="center"/>
              <w:spacing w:after="0" w:line="101" w:lineRule="exact"/>
              <w:rPr>
                <w:sz w:val="20"/>
                <w:szCs w:val="20"/>
                <w:color w:val="auto"/>
              </w:rPr>
            </w:pPr>
            <w:r>
              <w:rPr>
                <w:rFonts w:ascii="Arial" w:cs="Arial" w:eastAsia="Arial" w:hAnsi="Arial"/>
                <w:sz w:val="10"/>
                <w:szCs w:val="10"/>
                <w:color w:val="auto"/>
                <w:w w:val="96"/>
              </w:rPr>
              <w:t>1.9%</w:t>
            </w:r>
          </w:p>
        </w:tc>
        <w:tc>
          <w:tcPr>
            <w:tcW w:w="70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color w:val="auto"/>
                <w:w w:val="96"/>
              </w:rPr>
              <w:t>5.7%</w:t>
            </w:r>
          </w:p>
        </w:tc>
        <w:tc>
          <w:tcPr>
            <w:tcW w:w="0" w:type="dxa"/>
            <w:vAlign w:val="bottom"/>
          </w:tcPr>
          <w:p>
            <w:pPr>
              <w:spacing w:after="0"/>
              <w:rPr>
                <w:sz w:val="1"/>
                <w:szCs w:val="1"/>
                <w:color w:val="auto"/>
              </w:rPr>
            </w:pPr>
          </w:p>
        </w:tc>
      </w:tr>
      <w:tr>
        <w:trPr>
          <w:trHeight w:val="131"/>
        </w:trPr>
        <w:tc>
          <w:tcPr>
            <w:tcW w:w="5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b w:val="1"/>
                <w:bCs w:val="1"/>
                <w:color w:val="auto"/>
              </w:rPr>
              <w:t>Total deposits and obligations</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7"/>
              </w:rPr>
              <w:t>117,761,039</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7"/>
              </w:rPr>
              <w:t>122,921,625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127,126,906</w:t>
            </w: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6"/>
              </w:rPr>
              <w:t>3.4%</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8.0%</w:t>
            </w:r>
          </w:p>
        </w:tc>
        <w:tc>
          <w:tcPr>
            <w:tcW w:w="0" w:type="dxa"/>
            <w:vAlign w:val="bottom"/>
          </w:tcPr>
          <w:p>
            <w:pPr>
              <w:spacing w:after="0"/>
              <w:rPr>
                <w:sz w:val="1"/>
                <w:szCs w:val="1"/>
                <w:color w:val="auto"/>
              </w:rPr>
            </w:pPr>
          </w:p>
        </w:tc>
      </w:tr>
      <w:tr>
        <w:trPr>
          <w:trHeight w:val="180"/>
        </w:trPr>
        <w:tc>
          <w:tcPr>
            <w:tcW w:w="5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b w:val="1"/>
                <w:bCs w:val="1"/>
                <w:color w:val="auto"/>
              </w:rPr>
              <w:t>Payables from repurchase agreements and securities lending</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5"/>
              </w:rPr>
              <w:t>11,759,891</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4"/>
              </w:rPr>
              <w:t>6,816,019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5,526,879</w:t>
            </w:r>
          </w:p>
        </w:tc>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4"/>
              </w:rPr>
              <w:t>-18.9%</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-53.0%</w:t>
            </w:r>
          </w:p>
        </w:tc>
        <w:tc>
          <w:tcPr>
            <w:tcW w:w="0" w:type="dxa"/>
            <w:vAlign w:val="bottom"/>
          </w:tcPr>
          <w:p>
            <w:pPr>
              <w:spacing w:after="0"/>
              <w:rPr>
                <w:sz w:val="1"/>
                <w:szCs w:val="1"/>
                <w:color w:val="auto"/>
              </w:rPr>
            </w:pPr>
          </w:p>
        </w:tc>
      </w:tr>
      <w:tr>
        <w:trPr>
          <w:trHeight w:val="103"/>
        </w:trPr>
        <w:tc>
          <w:tcPr>
            <w:tcW w:w="5780" w:type="dxa"/>
            <w:vAlign w:val="bottom"/>
            <w:tcBorders>
              <w:left w:val="single" w:sz="8" w:color="auto"/>
              <w:right w:val="single" w:sz="8" w:color="auto"/>
            </w:tcBorders>
          </w:tcPr>
          <w:p>
            <w:pPr>
              <w:ind w:left="160"/>
              <w:spacing w:after="0" w:line="103" w:lineRule="exact"/>
              <w:rPr>
                <w:sz w:val="20"/>
                <w:szCs w:val="20"/>
                <w:color w:val="auto"/>
              </w:rPr>
            </w:pPr>
            <w:r>
              <w:rPr>
                <w:rFonts w:ascii="Arial" w:cs="Arial" w:eastAsia="Arial" w:hAnsi="Arial"/>
                <w:sz w:val="10"/>
                <w:szCs w:val="10"/>
                <w:color w:val="auto"/>
              </w:rPr>
              <w:t>BCRP instruments</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1"/>
              </w:rPr>
              <w:t>11,222,266</w:t>
            </w:r>
          </w:p>
        </w:tc>
        <w:tc>
          <w:tcPr>
            <w:tcW w:w="1020" w:type="dxa"/>
            <w:vAlign w:val="bottom"/>
          </w:tcPr>
          <w:p>
            <w:pPr>
              <w:jc w:val="center"/>
              <w:spacing w:after="0" w:line="103" w:lineRule="exact"/>
              <w:rPr>
                <w:sz w:val="20"/>
                <w:szCs w:val="20"/>
                <w:color w:val="auto"/>
              </w:rPr>
            </w:pPr>
            <w:r>
              <w:rPr>
                <w:rFonts w:ascii="Arial" w:cs="Arial" w:eastAsia="Arial" w:hAnsi="Arial"/>
                <w:sz w:val="10"/>
                <w:szCs w:val="10"/>
                <w:color w:val="auto"/>
                <w:w w:val="94"/>
              </w:rPr>
              <w:t>6,281,592</w:t>
            </w:r>
          </w:p>
        </w:tc>
        <w:tc>
          <w:tcPr>
            <w:tcW w:w="10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8"/>
              </w:rPr>
              <w:t>4,973,913</w:t>
            </w:r>
          </w:p>
        </w:tc>
        <w:tc>
          <w:tcPr>
            <w:tcW w:w="660" w:type="dxa"/>
            <w:vAlign w:val="bottom"/>
          </w:tcPr>
          <w:p>
            <w:pPr>
              <w:jc w:val="center"/>
              <w:spacing w:after="0" w:line="103" w:lineRule="exact"/>
              <w:rPr>
                <w:sz w:val="20"/>
                <w:szCs w:val="20"/>
                <w:color w:val="auto"/>
              </w:rPr>
            </w:pPr>
            <w:r>
              <w:rPr>
                <w:rFonts w:ascii="Arial" w:cs="Arial" w:eastAsia="Arial" w:hAnsi="Arial"/>
                <w:sz w:val="10"/>
                <w:szCs w:val="10"/>
                <w:color w:val="auto"/>
                <w:w w:val="94"/>
              </w:rPr>
              <w:t>-20.8%</w:t>
            </w:r>
          </w:p>
        </w:tc>
        <w:tc>
          <w:tcPr>
            <w:tcW w:w="7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-55.7%</w:t>
            </w:r>
          </w:p>
        </w:tc>
        <w:tc>
          <w:tcPr>
            <w:tcW w:w="0" w:type="dxa"/>
            <w:vAlign w:val="bottom"/>
          </w:tcPr>
          <w:p>
            <w:pPr>
              <w:spacing w:after="0"/>
              <w:rPr>
                <w:sz w:val="1"/>
                <w:szCs w:val="1"/>
                <w:color w:val="auto"/>
              </w:rPr>
            </w:pPr>
          </w:p>
        </w:tc>
      </w:tr>
      <w:tr>
        <w:trPr>
          <w:trHeight w:val="103"/>
        </w:trPr>
        <w:tc>
          <w:tcPr>
            <w:tcW w:w="5780" w:type="dxa"/>
            <w:vAlign w:val="bottom"/>
            <w:tcBorders>
              <w:left w:val="single" w:sz="8" w:color="auto"/>
              <w:right w:val="single" w:sz="8" w:color="auto"/>
            </w:tcBorders>
          </w:tcPr>
          <w:p>
            <w:pPr>
              <w:ind w:left="160"/>
              <w:spacing w:after="0" w:line="103" w:lineRule="exact"/>
              <w:rPr>
                <w:sz w:val="20"/>
                <w:szCs w:val="20"/>
                <w:color w:val="auto"/>
              </w:rPr>
            </w:pPr>
            <w:r>
              <w:rPr>
                <w:rFonts w:ascii="Arial" w:cs="Arial" w:eastAsia="Arial" w:hAnsi="Arial"/>
                <w:sz w:val="10"/>
                <w:szCs w:val="10"/>
                <w:color w:val="auto"/>
              </w:rPr>
              <w:t>Repurchase agreements with third parties</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3"/>
              </w:rPr>
              <w:t>537,625</w:t>
            </w:r>
          </w:p>
        </w:tc>
        <w:tc>
          <w:tcPr>
            <w:tcW w:w="1020" w:type="dxa"/>
            <w:vAlign w:val="bottom"/>
          </w:tcPr>
          <w:p>
            <w:pPr>
              <w:jc w:val="center"/>
              <w:spacing w:after="0" w:line="103" w:lineRule="exact"/>
              <w:rPr>
                <w:sz w:val="20"/>
                <w:szCs w:val="20"/>
                <w:color w:val="auto"/>
              </w:rPr>
            </w:pPr>
            <w:r>
              <w:rPr>
                <w:rFonts w:ascii="Arial" w:cs="Arial" w:eastAsia="Arial" w:hAnsi="Arial"/>
                <w:sz w:val="10"/>
                <w:szCs w:val="10"/>
                <w:color w:val="auto"/>
                <w:w w:val="93"/>
              </w:rPr>
              <w:t>534,427</w:t>
            </w:r>
          </w:p>
        </w:tc>
        <w:tc>
          <w:tcPr>
            <w:tcW w:w="10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9"/>
              </w:rPr>
              <w:t>552,966</w:t>
            </w:r>
          </w:p>
        </w:tc>
        <w:tc>
          <w:tcPr>
            <w:tcW w:w="660" w:type="dxa"/>
            <w:vAlign w:val="bottom"/>
          </w:tcPr>
          <w:p>
            <w:pPr>
              <w:jc w:val="center"/>
              <w:spacing w:after="0" w:line="103" w:lineRule="exact"/>
              <w:rPr>
                <w:sz w:val="20"/>
                <w:szCs w:val="20"/>
                <w:color w:val="auto"/>
              </w:rPr>
            </w:pPr>
            <w:r>
              <w:rPr>
                <w:rFonts w:ascii="Arial" w:cs="Arial" w:eastAsia="Arial" w:hAnsi="Arial"/>
                <w:sz w:val="10"/>
                <w:szCs w:val="10"/>
                <w:color w:val="auto"/>
                <w:w w:val="96"/>
              </w:rPr>
              <w:t>3.5%</w:t>
            </w:r>
          </w:p>
        </w:tc>
        <w:tc>
          <w:tcPr>
            <w:tcW w:w="7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2.9%</w:t>
            </w:r>
          </w:p>
        </w:tc>
        <w:tc>
          <w:tcPr>
            <w:tcW w:w="0" w:type="dxa"/>
            <w:vAlign w:val="bottom"/>
          </w:tcPr>
          <w:p>
            <w:pPr>
              <w:spacing w:after="0"/>
              <w:rPr>
                <w:sz w:val="1"/>
                <w:szCs w:val="1"/>
                <w:color w:val="auto"/>
              </w:rPr>
            </w:pPr>
          </w:p>
        </w:tc>
      </w:tr>
      <w:tr>
        <w:trPr>
          <w:trHeight w:val="101"/>
        </w:trPr>
        <w:tc>
          <w:tcPr>
            <w:tcW w:w="57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0"/>
                <w:szCs w:val="10"/>
                <w:b w:val="1"/>
                <w:bCs w:val="1"/>
                <w:color w:val="auto"/>
              </w:rPr>
              <w:t>Due to banks and correspondents</w:t>
            </w:r>
          </w:p>
        </w:tc>
        <w:tc>
          <w:tcPr>
            <w:tcW w:w="980" w:type="dxa"/>
            <w:vAlign w:val="bottom"/>
          </w:tcPr>
          <w:p>
            <w:pPr>
              <w:jc w:val="center"/>
              <w:spacing w:after="0" w:line="101" w:lineRule="exact"/>
              <w:rPr>
                <w:sz w:val="20"/>
                <w:szCs w:val="20"/>
                <w:color w:val="auto"/>
              </w:rPr>
            </w:pPr>
            <w:r>
              <w:rPr>
                <w:rFonts w:ascii="Arial" w:cs="Arial" w:eastAsia="Arial" w:hAnsi="Arial"/>
                <w:sz w:val="10"/>
                <w:szCs w:val="10"/>
                <w:color w:val="auto"/>
                <w:w w:val="94"/>
              </w:rPr>
              <w:t>8,670,982</w:t>
            </w:r>
          </w:p>
        </w:tc>
        <w:tc>
          <w:tcPr>
            <w:tcW w:w="1020" w:type="dxa"/>
            <w:vAlign w:val="bottom"/>
          </w:tcPr>
          <w:p>
            <w:pPr>
              <w:jc w:val="center"/>
              <w:spacing w:after="0" w:line="101" w:lineRule="exact"/>
              <w:rPr>
                <w:sz w:val="20"/>
                <w:szCs w:val="20"/>
                <w:color w:val="auto"/>
              </w:rPr>
            </w:pPr>
            <w:r>
              <w:rPr>
                <w:rFonts w:ascii="Arial" w:cs="Arial" w:eastAsia="Arial" w:hAnsi="Arial"/>
                <w:sz w:val="10"/>
                <w:szCs w:val="10"/>
                <w:color w:val="auto"/>
                <w:w w:val="94"/>
              </w:rPr>
              <w:t>8,830,355</w:t>
            </w:r>
          </w:p>
        </w:tc>
        <w:tc>
          <w:tcPr>
            <w:tcW w:w="102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color w:val="auto"/>
                <w:w w:val="95"/>
              </w:rPr>
              <w:t>10,892,721</w:t>
            </w:r>
          </w:p>
        </w:tc>
        <w:tc>
          <w:tcPr>
            <w:tcW w:w="660" w:type="dxa"/>
            <w:vAlign w:val="bottom"/>
          </w:tcPr>
          <w:p>
            <w:pPr>
              <w:jc w:val="center"/>
              <w:spacing w:after="0" w:line="101" w:lineRule="exact"/>
              <w:rPr>
                <w:sz w:val="20"/>
                <w:szCs w:val="20"/>
                <w:color w:val="auto"/>
              </w:rPr>
            </w:pPr>
            <w:r>
              <w:rPr>
                <w:rFonts w:ascii="Arial" w:cs="Arial" w:eastAsia="Arial" w:hAnsi="Arial"/>
                <w:sz w:val="10"/>
                <w:szCs w:val="10"/>
                <w:color w:val="auto"/>
                <w:w w:val="91"/>
              </w:rPr>
              <w:t>23.4%</w:t>
            </w:r>
          </w:p>
        </w:tc>
        <w:tc>
          <w:tcPr>
            <w:tcW w:w="70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color w:val="auto"/>
                <w:w w:val="98"/>
              </w:rPr>
              <w:t>25.6%</w:t>
            </w:r>
          </w:p>
        </w:tc>
        <w:tc>
          <w:tcPr>
            <w:tcW w:w="0" w:type="dxa"/>
            <w:vAlign w:val="bottom"/>
          </w:tcPr>
          <w:p>
            <w:pPr>
              <w:spacing w:after="0"/>
              <w:rPr>
                <w:sz w:val="1"/>
                <w:szCs w:val="1"/>
                <w:color w:val="auto"/>
              </w:rPr>
            </w:pPr>
          </w:p>
        </w:tc>
      </w:tr>
      <w:tr>
        <w:trPr>
          <w:trHeight w:val="103"/>
        </w:trPr>
        <w:tc>
          <w:tcPr>
            <w:tcW w:w="5780" w:type="dxa"/>
            <w:vAlign w:val="bottom"/>
            <w:tcBorders>
              <w:left w:val="single" w:sz="8" w:color="auto"/>
              <w:right w:val="single" w:sz="8" w:color="auto"/>
            </w:tcBorders>
            <w:vMerge w:val="continue"/>
          </w:tcPr>
          <w:p>
            <w:pPr>
              <w:spacing w:after="0"/>
              <w:rPr>
                <w:sz w:val="8"/>
                <w:szCs w:val="8"/>
                <w:color w:val="auto"/>
              </w:rPr>
            </w:pPr>
          </w:p>
        </w:tc>
        <w:tc>
          <w:tcPr>
            <w:tcW w:w="98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w w:val="95"/>
              </w:rPr>
              <w:t>10,152,890</w:t>
            </w:r>
          </w:p>
        </w:tc>
        <w:tc>
          <w:tcPr>
            <w:tcW w:w="102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w w:val="95"/>
              </w:rPr>
              <w:t>13,316,718</w:t>
            </w:r>
          </w:p>
        </w:tc>
        <w:tc>
          <w:tcPr>
            <w:tcW w:w="10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b w:val="1"/>
                <w:bCs w:val="1"/>
                <w:color w:val="auto"/>
                <w:w w:val="95"/>
              </w:rPr>
              <w:t>13,711,522</w:t>
            </w:r>
          </w:p>
        </w:tc>
        <w:tc>
          <w:tcPr>
            <w:tcW w:w="66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w w:val="96"/>
              </w:rPr>
              <w:t>3.0%</w:t>
            </w:r>
          </w:p>
        </w:tc>
        <w:tc>
          <w:tcPr>
            <w:tcW w:w="7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b w:val="1"/>
                <w:bCs w:val="1"/>
                <w:color w:val="auto"/>
                <w:w w:val="98"/>
              </w:rPr>
              <w:t>35.1%</w:t>
            </w:r>
          </w:p>
        </w:tc>
        <w:tc>
          <w:tcPr>
            <w:tcW w:w="0" w:type="dxa"/>
            <w:vAlign w:val="bottom"/>
          </w:tcPr>
          <w:p>
            <w:pPr>
              <w:spacing w:after="0"/>
              <w:rPr>
                <w:sz w:val="1"/>
                <w:szCs w:val="1"/>
                <w:color w:val="auto"/>
              </w:rPr>
            </w:pPr>
          </w:p>
        </w:tc>
      </w:tr>
      <w:tr>
        <w:trPr>
          <w:trHeight w:val="103"/>
        </w:trPr>
        <w:tc>
          <w:tcPr>
            <w:tcW w:w="578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b w:val="1"/>
                <w:bCs w:val="1"/>
                <w:color w:val="auto"/>
              </w:rPr>
              <w:t>Bonds and notes issued</w:t>
            </w:r>
          </w:p>
        </w:tc>
        <w:tc>
          <w:tcPr>
            <w:tcW w:w="98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w w:val="93"/>
              </w:rPr>
              <w:t>226,161</w:t>
            </w:r>
          </w:p>
        </w:tc>
        <w:tc>
          <w:tcPr>
            <w:tcW w:w="102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w w:val="93"/>
              </w:rPr>
              <w:t>322,346</w:t>
            </w:r>
          </w:p>
        </w:tc>
        <w:tc>
          <w:tcPr>
            <w:tcW w:w="10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b w:val="1"/>
                <w:bCs w:val="1"/>
                <w:color w:val="auto"/>
                <w:w w:val="99"/>
              </w:rPr>
              <w:t>473,382</w:t>
            </w:r>
          </w:p>
        </w:tc>
        <w:tc>
          <w:tcPr>
            <w:tcW w:w="66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w w:val="91"/>
              </w:rPr>
              <w:t>46.9%</w:t>
            </w:r>
          </w:p>
        </w:tc>
        <w:tc>
          <w:tcPr>
            <w:tcW w:w="7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b w:val="1"/>
                <w:bCs w:val="1"/>
                <w:color w:val="auto"/>
                <w:w w:val="94"/>
              </w:rPr>
              <w:t>109.3%</w:t>
            </w:r>
          </w:p>
        </w:tc>
        <w:tc>
          <w:tcPr>
            <w:tcW w:w="0" w:type="dxa"/>
            <w:vAlign w:val="bottom"/>
          </w:tcPr>
          <w:p>
            <w:pPr>
              <w:spacing w:after="0"/>
              <w:rPr>
                <w:sz w:val="1"/>
                <w:szCs w:val="1"/>
                <w:color w:val="auto"/>
              </w:rPr>
            </w:pPr>
          </w:p>
        </w:tc>
      </w:tr>
      <w:tr>
        <w:trPr>
          <w:trHeight w:val="103"/>
        </w:trPr>
        <w:tc>
          <w:tcPr>
            <w:tcW w:w="578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b w:val="1"/>
                <w:bCs w:val="1"/>
                <w:color w:val="auto"/>
              </w:rPr>
              <w:t>Banker’s acceptances outstanding</w:t>
            </w:r>
          </w:p>
        </w:tc>
        <w:tc>
          <w:tcPr>
            <w:tcW w:w="98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w w:val="93"/>
              </w:rPr>
              <w:t>138,339</w:t>
            </w:r>
          </w:p>
        </w:tc>
        <w:tc>
          <w:tcPr>
            <w:tcW w:w="1020" w:type="dxa"/>
            <w:vAlign w:val="bottom"/>
          </w:tcPr>
          <w:p>
            <w:pPr>
              <w:jc w:val="right"/>
              <w:ind w:right="492"/>
              <w:spacing w:after="0" w:line="103" w:lineRule="exact"/>
              <w:rPr>
                <w:sz w:val="20"/>
                <w:szCs w:val="20"/>
                <w:color w:val="auto"/>
              </w:rPr>
            </w:pPr>
            <w:r>
              <w:rPr>
                <w:rFonts w:ascii="Arial" w:cs="Arial" w:eastAsia="Arial" w:hAnsi="Arial"/>
                <w:sz w:val="10"/>
                <w:szCs w:val="10"/>
                <w:b w:val="1"/>
                <w:bCs w:val="1"/>
                <w:color w:val="auto"/>
              </w:rPr>
              <w:t>-</w:t>
            </w:r>
          </w:p>
        </w:tc>
        <w:tc>
          <w:tcPr>
            <w:tcW w:w="10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b w:val="1"/>
                <w:bCs w:val="1"/>
                <w:color w:val="auto"/>
                <w:w w:val="99"/>
              </w:rPr>
              <w:t>468,746</w:t>
            </w:r>
          </w:p>
        </w:tc>
        <w:tc>
          <w:tcPr>
            <w:tcW w:w="660" w:type="dxa"/>
            <w:vAlign w:val="bottom"/>
          </w:tcPr>
          <w:p>
            <w:pPr>
              <w:jc w:val="center"/>
              <w:spacing w:after="0" w:line="103" w:lineRule="exact"/>
              <w:rPr>
                <w:sz w:val="20"/>
                <w:szCs w:val="20"/>
                <w:color w:val="auto"/>
              </w:rPr>
            </w:pPr>
            <w:r>
              <w:rPr>
                <w:rFonts w:ascii="Arial" w:cs="Arial" w:eastAsia="Arial" w:hAnsi="Arial"/>
                <w:sz w:val="10"/>
                <w:szCs w:val="10"/>
                <w:b w:val="1"/>
                <w:bCs w:val="1"/>
                <w:color w:val="auto"/>
                <w:w w:val="96"/>
              </w:rPr>
              <w:t>n.a</w:t>
            </w:r>
          </w:p>
        </w:tc>
        <w:tc>
          <w:tcPr>
            <w:tcW w:w="7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b w:val="1"/>
                <w:bCs w:val="1"/>
                <w:color w:val="auto"/>
                <w:w w:val="94"/>
              </w:rPr>
              <w:t>238.8%</w:t>
            </w:r>
          </w:p>
        </w:tc>
        <w:tc>
          <w:tcPr>
            <w:tcW w:w="0" w:type="dxa"/>
            <w:vAlign w:val="bottom"/>
          </w:tcPr>
          <w:p>
            <w:pPr>
              <w:spacing w:after="0"/>
              <w:rPr>
                <w:sz w:val="1"/>
                <w:szCs w:val="1"/>
                <w:color w:val="auto"/>
              </w:rPr>
            </w:pPr>
          </w:p>
        </w:tc>
      </w:tr>
      <w:tr>
        <w:trPr>
          <w:trHeight w:val="99"/>
        </w:trPr>
        <w:tc>
          <w:tcPr>
            <w:tcW w:w="5780" w:type="dxa"/>
            <w:vAlign w:val="bottom"/>
            <w:tcBorders>
              <w:left w:val="single" w:sz="8" w:color="auto"/>
              <w:right w:val="single" w:sz="8" w:color="auto"/>
            </w:tcBorders>
          </w:tcPr>
          <w:p>
            <w:pPr>
              <w:ind w:left="40"/>
              <w:spacing w:after="0" w:line="99" w:lineRule="exact"/>
              <w:rPr>
                <w:sz w:val="20"/>
                <w:szCs w:val="20"/>
                <w:color w:val="auto"/>
              </w:rPr>
            </w:pPr>
            <w:r>
              <w:rPr>
                <w:rFonts w:ascii="Arial" w:cs="Arial" w:eastAsia="Arial" w:hAnsi="Arial"/>
                <w:sz w:val="10"/>
                <w:szCs w:val="10"/>
                <w:b w:val="1"/>
                <w:bCs w:val="1"/>
                <w:color w:val="auto"/>
              </w:rPr>
              <w:t>Financial liabilities at fair value through profit or loss</w:t>
            </w:r>
          </w:p>
        </w:tc>
        <w:tc>
          <w:tcPr>
            <w:tcW w:w="98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4"/>
              </w:rPr>
              <w:t>5,432,431</w:t>
            </w:r>
          </w:p>
        </w:tc>
        <w:tc>
          <w:tcPr>
            <w:tcW w:w="102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4"/>
              </w:rPr>
              <w:t>8,792,640</w:t>
            </w:r>
          </w:p>
        </w:tc>
        <w:tc>
          <w:tcPr>
            <w:tcW w:w="102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0"/>
                <w:szCs w:val="10"/>
                <w:b w:val="1"/>
                <w:bCs w:val="1"/>
                <w:color w:val="auto"/>
                <w:w w:val="98"/>
              </w:rPr>
              <w:t>7,451,061</w:t>
            </w:r>
          </w:p>
        </w:tc>
        <w:tc>
          <w:tcPr>
            <w:tcW w:w="6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4"/>
              </w:rPr>
              <w:t>-15.3%</w:t>
            </w:r>
          </w:p>
        </w:tc>
        <w:tc>
          <w:tcPr>
            <w:tcW w:w="700" w:type="dxa"/>
            <w:vAlign w:val="bottom"/>
            <w:tcBorders>
              <w:right w:val="single" w:sz="8" w:color="auto"/>
            </w:tcBorders>
          </w:tcPr>
          <w:p>
            <w:pPr>
              <w:jc w:val="center"/>
              <w:spacing w:after="0" w:line="99" w:lineRule="exact"/>
              <w:rPr>
                <w:sz w:val="20"/>
                <w:szCs w:val="20"/>
                <w:color w:val="auto"/>
              </w:rPr>
            </w:pPr>
            <w:r>
              <w:rPr>
                <w:rFonts w:ascii="Arial" w:cs="Arial" w:eastAsia="Arial" w:hAnsi="Arial"/>
                <w:sz w:val="10"/>
                <w:szCs w:val="10"/>
                <w:b w:val="1"/>
                <w:bCs w:val="1"/>
                <w:color w:val="auto"/>
                <w:w w:val="98"/>
              </w:rPr>
              <w:t>37.2%</w:t>
            </w:r>
          </w:p>
        </w:tc>
        <w:tc>
          <w:tcPr>
            <w:tcW w:w="0" w:type="dxa"/>
            <w:vAlign w:val="bottom"/>
          </w:tcPr>
          <w:p>
            <w:pPr>
              <w:spacing w:after="0"/>
              <w:rPr>
                <w:sz w:val="1"/>
                <w:szCs w:val="1"/>
                <w:color w:val="auto"/>
              </w:rPr>
            </w:pPr>
          </w:p>
        </w:tc>
      </w:tr>
      <w:tr>
        <w:trPr>
          <w:trHeight w:val="107"/>
        </w:trPr>
        <w:tc>
          <w:tcPr>
            <w:tcW w:w="5780" w:type="dxa"/>
            <w:vAlign w:val="bottom"/>
            <w:tcBorders>
              <w:left w:val="single" w:sz="8" w:color="auto"/>
              <w:right w:val="single" w:sz="8" w:color="auto"/>
            </w:tcBorders>
          </w:tcPr>
          <w:p>
            <w:pPr>
              <w:ind w:left="40"/>
              <w:spacing w:after="0" w:line="107" w:lineRule="exact"/>
              <w:rPr>
                <w:sz w:val="20"/>
                <w:szCs w:val="20"/>
                <w:color w:val="auto"/>
              </w:rPr>
            </w:pPr>
            <w:r>
              <w:rPr>
                <w:rFonts w:ascii="Arial" w:cs="Arial" w:eastAsia="Arial" w:hAnsi="Arial"/>
                <w:sz w:val="8"/>
                <w:szCs w:val="8"/>
                <w:b w:val="1"/>
                <w:bCs w:val="1"/>
                <w:color w:val="auto"/>
              </w:rPr>
              <w:t xml:space="preserve">Other liabilities </w:t>
            </w:r>
            <w:r>
              <w:rPr>
                <w:rFonts w:ascii="Arial" w:cs="Arial" w:eastAsia="Arial" w:hAnsi="Arial"/>
                <w:sz w:val="12"/>
                <w:szCs w:val="12"/>
                <w:b w:val="1"/>
                <w:bCs w:val="1"/>
                <w:color w:val="auto"/>
                <w:vertAlign w:val="superscript"/>
              </w:rPr>
              <w:t>(3)</w:t>
            </w:r>
          </w:p>
        </w:tc>
        <w:tc>
          <w:tcPr>
            <w:tcW w:w="980" w:type="dxa"/>
            <w:vAlign w:val="bottom"/>
          </w:tcPr>
          <w:p>
            <w:pPr>
              <w:jc w:val="center"/>
              <w:spacing w:after="0" w:line="107" w:lineRule="exact"/>
              <w:rPr>
                <w:sz w:val="20"/>
                <w:szCs w:val="20"/>
                <w:color w:val="auto"/>
              </w:rPr>
            </w:pPr>
            <w:r>
              <w:rPr>
                <w:rFonts w:ascii="Arial" w:cs="Arial" w:eastAsia="Arial" w:hAnsi="Arial"/>
                <w:sz w:val="10"/>
                <w:szCs w:val="10"/>
                <w:b w:val="1"/>
                <w:bCs w:val="1"/>
                <w:color w:val="auto"/>
                <w:w w:val="97"/>
              </w:rPr>
              <w:t>154,141,733</w:t>
            </w:r>
          </w:p>
        </w:tc>
        <w:tc>
          <w:tcPr>
            <w:tcW w:w="1020" w:type="dxa"/>
            <w:vAlign w:val="bottom"/>
          </w:tcPr>
          <w:p>
            <w:pPr>
              <w:jc w:val="center"/>
              <w:spacing w:after="0" w:line="107" w:lineRule="exact"/>
              <w:rPr>
                <w:sz w:val="20"/>
                <w:szCs w:val="20"/>
                <w:color w:val="auto"/>
              </w:rPr>
            </w:pPr>
            <w:r>
              <w:rPr>
                <w:rFonts w:ascii="Arial" w:cs="Arial" w:eastAsia="Arial" w:hAnsi="Arial"/>
                <w:sz w:val="10"/>
                <w:szCs w:val="10"/>
                <w:b w:val="1"/>
                <w:bCs w:val="1"/>
                <w:color w:val="auto"/>
                <w:w w:val="97"/>
              </w:rPr>
              <w:t>160,999,703</w:t>
            </w:r>
          </w:p>
        </w:tc>
        <w:tc>
          <w:tcPr>
            <w:tcW w:w="102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0"/>
                <w:szCs w:val="10"/>
                <w:b w:val="1"/>
                <w:bCs w:val="1"/>
                <w:color w:val="auto"/>
                <w:w w:val="93"/>
              </w:rPr>
              <w:t>165,651,217</w:t>
            </w:r>
          </w:p>
        </w:tc>
        <w:tc>
          <w:tcPr>
            <w:tcW w:w="660" w:type="dxa"/>
            <w:vAlign w:val="bottom"/>
          </w:tcPr>
          <w:p>
            <w:pPr>
              <w:jc w:val="center"/>
              <w:spacing w:after="0" w:line="107" w:lineRule="exact"/>
              <w:rPr>
                <w:sz w:val="20"/>
                <w:szCs w:val="20"/>
                <w:color w:val="auto"/>
              </w:rPr>
            </w:pPr>
            <w:r>
              <w:rPr>
                <w:rFonts w:ascii="Arial" w:cs="Arial" w:eastAsia="Arial" w:hAnsi="Arial"/>
                <w:sz w:val="10"/>
                <w:szCs w:val="10"/>
                <w:b w:val="1"/>
                <w:bCs w:val="1"/>
                <w:color w:val="auto"/>
                <w:w w:val="96"/>
              </w:rPr>
              <w:t>2.9%</w:t>
            </w:r>
          </w:p>
        </w:tc>
        <w:tc>
          <w:tcPr>
            <w:tcW w:w="70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0"/>
                <w:szCs w:val="10"/>
                <w:b w:val="1"/>
                <w:bCs w:val="1"/>
                <w:color w:val="auto"/>
                <w:w w:val="96"/>
              </w:rPr>
              <w:t>7.5%</w:t>
            </w:r>
          </w:p>
        </w:tc>
        <w:tc>
          <w:tcPr>
            <w:tcW w:w="0" w:type="dxa"/>
            <w:vAlign w:val="bottom"/>
          </w:tcPr>
          <w:p>
            <w:pPr>
              <w:spacing w:after="0"/>
              <w:rPr>
                <w:sz w:val="1"/>
                <w:szCs w:val="1"/>
                <w:color w:val="auto"/>
              </w:rPr>
            </w:pPr>
          </w:p>
        </w:tc>
      </w:tr>
      <w:tr>
        <w:trPr>
          <w:trHeight w:val="131"/>
        </w:trPr>
        <w:tc>
          <w:tcPr>
            <w:tcW w:w="5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Total Liabilities</w:t>
            </w:r>
          </w:p>
        </w:tc>
        <w:tc>
          <w:tcPr>
            <w:tcW w:w="9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5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b w:val="1"/>
                <w:bCs w:val="1"/>
                <w:color w:val="auto"/>
              </w:rPr>
              <w:t>Net equity</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5"/>
              </w:rPr>
              <w:t>23,226,759</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5"/>
              </w:rPr>
              <w:t>22,319,647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23,629,323</w:t>
            </w:r>
          </w:p>
        </w:tc>
        <w:tc>
          <w:tcPr>
            <w:tcW w:w="660" w:type="dxa"/>
            <w:vAlign w:val="bottom"/>
          </w:tcPr>
          <w:p>
            <w:pPr>
              <w:jc w:val="center"/>
              <w:spacing w:after="0"/>
              <w:rPr>
                <w:sz w:val="20"/>
                <w:szCs w:val="20"/>
                <w:color w:val="auto"/>
              </w:rPr>
            </w:pPr>
            <w:r>
              <w:rPr>
                <w:rFonts w:ascii="Arial" w:cs="Arial" w:eastAsia="Arial" w:hAnsi="Arial"/>
                <w:sz w:val="10"/>
                <w:szCs w:val="10"/>
                <w:color w:val="auto"/>
                <w:w w:val="96"/>
              </w:rPr>
              <w:t>5.9%</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1.7%</w:t>
            </w:r>
          </w:p>
        </w:tc>
        <w:tc>
          <w:tcPr>
            <w:tcW w:w="0" w:type="dxa"/>
            <w:vAlign w:val="bottom"/>
          </w:tcPr>
          <w:p>
            <w:pPr>
              <w:spacing w:after="0"/>
              <w:rPr>
                <w:sz w:val="1"/>
                <w:szCs w:val="1"/>
                <w:color w:val="auto"/>
              </w:rPr>
            </w:pPr>
          </w:p>
        </w:tc>
      </w:tr>
      <w:tr>
        <w:trPr>
          <w:trHeight w:val="103"/>
        </w:trPr>
        <w:tc>
          <w:tcPr>
            <w:tcW w:w="5780" w:type="dxa"/>
            <w:vAlign w:val="bottom"/>
            <w:tcBorders>
              <w:left w:val="single" w:sz="8" w:color="auto"/>
              <w:right w:val="single" w:sz="8" w:color="auto"/>
            </w:tcBorders>
          </w:tcPr>
          <w:p>
            <w:pPr>
              <w:ind w:left="160"/>
              <w:spacing w:after="0" w:line="103" w:lineRule="exact"/>
              <w:rPr>
                <w:sz w:val="20"/>
                <w:szCs w:val="20"/>
                <w:color w:val="auto"/>
              </w:rPr>
            </w:pPr>
            <w:r>
              <w:rPr>
                <w:rFonts w:ascii="Arial" w:cs="Arial" w:eastAsia="Arial" w:hAnsi="Arial"/>
                <w:sz w:val="10"/>
                <w:szCs w:val="10"/>
                <w:color w:val="auto"/>
              </w:rPr>
              <w:t>Capital stock</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5"/>
              </w:rPr>
              <w:t>12,679,794</w:t>
            </w:r>
          </w:p>
        </w:tc>
        <w:tc>
          <w:tcPr>
            <w:tcW w:w="1020" w:type="dxa"/>
            <w:vAlign w:val="bottom"/>
          </w:tcPr>
          <w:p>
            <w:pPr>
              <w:jc w:val="center"/>
              <w:spacing w:after="0" w:line="103" w:lineRule="exact"/>
              <w:rPr>
                <w:sz w:val="20"/>
                <w:szCs w:val="20"/>
                <w:color w:val="auto"/>
              </w:rPr>
            </w:pPr>
            <w:r>
              <w:rPr>
                <w:rFonts w:ascii="Arial" w:cs="Arial" w:eastAsia="Arial" w:hAnsi="Arial"/>
                <w:sz w:val="10"/>
                <w:szCs w:val="10"/>
                <w:color w:val="auto"/>
                <w:w w:val="95"/>
              </w:rPr>
              <w:t>12,679,794</w:t>
            </w:r>
          </w:p>
        </w:tc>
        <w:tc>
          <w:tcPr>
            <w:tcW w:w="10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5"/>
              </w:rPr>
              <w:t>12,679,794</w:t>
            </w:r>
          </w:p>
        </w:tc>
        <w:tc>
          <w:tcPr>
            <w:tcW w:w="660" w:type="dxa"/>
            <w:vAlign w:val="bottom"/>
          </w:tcPr>
          <w:p>
            <w:pPr>
              <w:jc w:val="center"/>
              <w:spacing w:after="0" w:line="103" w:lineRule="exact"/>
              <w:rPr>
                <w:sz w:val="20"/>
                <w:szCs w:val="20"/>
                <w:color w:val="auto"/>
              </w:rPr>
            </w:pPr>
            <w:r>
              <w:rPr>
                <w:rFonts w:ascii="Arial" w:cs="Arial" w:eastAsia="Arial" w:hAnsi="Arial"/>
                <w:sz w:val="10"/>
                <w:szCs w:val="10"/>
                <w:color w:val="auto"/>
                <w:w w:val="96"/>
              </w:rPr>
              <w:t>0.0%</w:t>
            </w:r>
          </w:p>
        </w:tc>
        <w:tc>
          <w:tcPr>
            <w:tcW w:w="7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0.0%</w:t>
            </w:r>
          </w:p>
        </w:tc>
        <w:tc>
          <w:tcPr>
            <w:tcW w:w="0" w:type="dxa"/>
            <w:vAlign w:val="bottom"/>
          </w:tcPr>
          <w:p>
            <w:pPr>
              <w:spacing w:after="0"/>
              <w:rPr>
                <w:sz w:val="1"/>
                <w:szCs w:val="1"/>
                <w:color w:val="auto"/>
              </w:rPr>
            </w:pPr>
          </w:p>
        </w:tc>
      </w:tr>
      <w:tr>
        <w:trPr>
          <w:trHeight w:val="103"/>
        </w:trPr>
        <w:tc>
          <w:tcPr>
            <w:tcW w:w="5780" w:type="dxa"/>
            <w:vAlign w:val="bottom"/>
            <w:tcBorders>
              <w:left w:val="single" w:sz="8" w:color="auto"/>
              <w:right w:val="single" w:sz="8" w:color="auto"/>
            </w:tcBorders>
          </w:tcPr>
          <w:p>
            <w:pPr>
              <w:ind w:left="160"/>
              <w:spacing w:after="0" w:line="103" w:lineRule="exact"/>
              <w:rPr>
                <w:sz w:val="20"/>
                <w:szCs w:val="20"/>
                <w:color w:val="auto"/>
              </w:rPr>
            </w:pPr>
            <w:r>
              <w:rPr>
                <w:rFonts w:ascii="Arial" w:cs="Arial" w:eastAsia="Arial" w:hAnsi="Arial"/>
                <w:sz w:val="10"/>
                <w:szCs w:val="10"/>
                <w:color w:val="auto"/>
              </w:rPr>
              <w:t>Reserves</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4"/>
              </w:rPr>
              <w:t>6,820,497</w:t>
            </w:r>
          </w:p>
        </w:tc>
        <w:tc>
          <w:tcPr>
            <w:tcW w:w="1020" w:type="dxa"/>
            <w:vAlign w:val="bottom"/>
          </w:tcPr>
          <w:p>
            <w:pPr>
              <w:jc w:val="center"/>
              <w:spacing w:after="0" w:line="103" w:lineRule="exact"/>
              <w:rPr>
                <w:sz w:val="20"/>
                <w:szCs w:val="20"/>
                <w:color w:val="auto"/>
              </w:rPr>
            </w:pPr>
            <w:r>
              <w:rPr>
                <w:rFonts w:ascii="Arial" w:cs="Arial" w:eastAsia="Arial" w:hAnsi="Arial"/>
                <w:sz w:val="10"/>
                <w:szCs w:val="10"/>
                <w:color w:val="auto"/>
                <w:w w:val="94"/>
              </w:rPr>
              <w:t>6,372,059</w:t>
            </w:r>
          </w:p>
        </w:tc>
        <w:tc>
          <w:tcPr>
            <w:tcW w:w="10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8"/>
              </w:rPr>
              <w:t>6,372,468</w:t>
            </w:r>
          </w:p>
        </w:tc>
        <w:tc>
          <w:tcPr>
            <w:tcW w:w="660" w:type="dxa"/>
            <w:vAlign w:val="bottom"/>
          </w:tcPr>
          <w:p>
            <w:pPr>
              <w:jc w:val="center"/>
              <w:spacing w:after="0" w:line="103" w:lineRule="exact"/>
              <w:rPr>
                <w:sz w:val="20"/>
                <w:szCs w:val="20"/>
                <w:color w:val="auto"/>
              </w:rPr>
            </w:pPr>
            <w:r>
              <w:rPr>
                <w:rFonts w:ascii="Arial" w:cs="Arial" w:eastAsia="Arial" w:hAnsi="Arial"/>
                <w:sz w:val="10"/>
                <w:szCs w:val="10"/>
                <w:color w:val="auto"/>
                <w:w w:val="96"/>
              </w:rPr>
              <w:t>0.0%</w:t>
            </w:r>
          </w:p>
        </w:tc>
        <w:tc>
          <w:tcPr>
            <w:tcW w:w="7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9"/>
              </w:rPr>
              <w:t>-6.6%</w:t>
            </w:r>
          </w:p>
        </w:tc>
        <w:tc>
          <w:tcPr>
            <w:tcW w:w="0" w:type="dxa"/>
            <w:vAlign w:val="bottom"/>
          </w:tcPr>
          <w:p>
            <w:pPr>
              <w:spacing w:after="0"/>
              <w:rPr>
                <w:sz w:val="1"/>
                <w:szCs w:val="1"/>
                <w:color w:val="auto"/>
              </w:rPr>
            </w:pPr>
          </w:p>
        </w:tc>
      </w:tr>
      <w:tr>
        <w:trPr>
          <w:trHeight w:val="103"/>
        </w:trPr>
        <w:tc>
          <w:tcPr>
            <w:tcW w:w="5780" w:type="dxa"/>
            <w:vAlign w:val="bottom"/>
            <w:tcBorders>
              <w:left w:val="single" w:sz="8" w:color="auto"/>
              <w:right w:val="single" w:sz="8" w:color="auto"/>
            </w:tcBorders>
          </w:tcPr>
          <w:p>
            <w:pPr>
              <w:ind w:left="160"/>
              <w:spacing w:after="0" w:line="103" w:lineRule="exact"/>
              <w:rPr>
                <w:sz w:val="20"/>
                <w:szCs w:val="20"/>
                <w:color w:val="auto"/>
              </w:rPr>
            </w:pPr>
            <w:r>
              <w:rPr>
                <w:rFonts w:ascii="Arial" w:cs="Arial" w:eastAsia="Arial" w:hAnsi="Arial"/>
                <w:sz w:val="10"/>
                <w:szCs w:val="10"/>
                <w:color w:val="auto"/>
              </w:rPr>
              <w:t>Unrealized gains and losses</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8"/>
              </w:rPr>
              <w:t>(274,021)</w:t>
            </w:r>
          </w:p>
        </w:tc>
        <w:tc>
          <w:tcPr>
            <w:tcW w:w="1020" w:type="dxa"/>
            <w:vAlign w:val="bottom"/>
          </w:tcPr>
          <w:p>
            <w:pPr>
              <w:jc w:val="center"/>
              <w:spacing w:after="0" w:line="103" w:lineRule="exact"/>
              <w:rPr>
                <w:sz w:val="20"/>
                <w:szCs w:val="20"/>
                <w:color w:val="auto"/>
              </w:rPr>
            </w:pPr>
            <w:r>
              <w:rPr>
                <w:rFonts w:ascii="Arial" w:cs="Arial" w:eastAsia="Arial" w:hAnsi="Arial"/>
                <w:sz w:val="10"/>
                <w:szCs w:val="10"/>
                <w:color w:val="auto"/>
                <w:w w:val="98"/>
              </w:rPr>
              <w:t>(161,369)</w:t>
            </w:r>
          </w:p>
        </w:tc>
        <w:tc>
          <w:tcPr>
            <w:tcW w:w="10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(97,152)</w:t>
            </w:r>
          </w:p>
        </w:tc>
        <w:tc>
          <w:tcPr>
            <w:tcW w:w="660" w:type="dxa"/>
            <w:vAlign w:val="bottom"/>
          </w:tcPr>
          <w:p>
            <w:pPr>
              <w:jc w:val="center"/>
              <w:spacing w:after="0" w:line="103" w:lineRule="exact"/>
              <w:rPr>
                <w:sz w:val="20"/>
                <w:szCs w:val="20"/>
                <w:color w:val="auto"/>
              </w:rPr>
            </w:pPr>
            <w:r>
              <w:rPr>
                <w:rFonts w:ascii="Arial" w:cs="Arial" w:eastAsia="Arial" w:hAnsi="Arial"/>
                <w:sz w:val="10"/>
                <w:szCs w:val="10"/>
                <w:color w:val="auto"/>
                <w:w w:val="94"/>
              </w:rPr>
              <w:t>-39.8%</w:t>
            </w:r>
          </w:p>
        </w:tc>
        <w:tc>
          <w:tcPr>
            <w:tcW w:w="7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-64.5%</w:t>
            </w:r>
          </w:p>
        </w:tc>
        <w:tc>
          <w:tcPr>
            <w:tcW w:w="0" w:type="dxa"/>
            <w:vAlign w:val="bottom"/>
          </w:tcPr>
          <w:p>
            <w:pPr>
              <w:spacing w:after="0"/>
              <w:rPr>
                <w:sz w:val="1"/>
                <w:szCs w:val="1"/>
                <w:color w:val="auto"/>
              </w:rPr>
            </w:pPr>
          </w:p>
        </w:tc>
      </w:tr>
      <w:tr>
        <w:trPr>
          <w:trHeight w:val="125"/>
        </w:trPr>
        <w:tc>
          <w:tcPr>
            <w:tcW w:w="5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0"/>
                <w:szCs w:val="10"/>
                <w:color w:val="auto"/>
              </w:rPr>
              <w:t>Retained earnings</w:t>
            </w:r>
          </w:p>
        </w:tc>
        <w:tc>
          <w:tcPr>
            <w:tcW w:w="980" w:type="dxa"/>
            <w:vAlign w:val="bottom"/>
          </w:tcPr>
          <w:p>
            <w:pPr>
              <w:jc w:val="center"/>
              <w:spacing w:after="0"/>
              <w:rPr>
                <w:sz w:val="20"/>
                <w:szCs w:val="20"/>
                <w:color w:val="auto"/>
              </w:rPr>
            </w:pPr>
            <w:r>
              <w:rPr>
                <w:rFonts w:ascii="Arial" w:cs="Arial" w:eastAsia="Arial" w:hAnsi="Arial"/>
                <w:sz w:val="10"/>
                <w:szCs w:val="10"/>
                <w:color w:val="auto"/>
                <w:w w:val="94"/>
              </w:rPr>
              <w:t>4,000,489</w:t>
            </w:r>
          </w:p>
        </w:tc>
        <w:tc>
          <w:tcPr>
            <w:tcW w:w="1020" w:type="dxa"/>
            <w:vAlign w:val="bottom"/>
          </w:tcPr>
          <w:p>
            <w:pPr>
              <w:jc w:val="center"/>
              <w:spacing w:after="0"/>
              <w:rPr>
                <w:sz w:val="20"/>
                <w:szCs w:val="20"/>
                <w:color w:val="auto"/>
              </w:rPr>
            </w:pPr>
            <w:r>
              <w:rPr>
                <w:rFonts w:ascii="Arial" w:cs="Arial" w:eastAsia="Arial" w:hAnsi="Arial"/>
                <w:sz w:val="10"/>
                <w:szCs w:val="10"/>
                <w:color w:val="auto"/>
                <w:w w:val="94"/>
              </w:rPr>
              <w:t>3,429,163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4,674,213</w:t>
            </w:r>
          </w:p>
        </w:tc>
        <w:tc>
          <w:tcPr>
            <w:tcW w:w="660" w:type="dxa"/>
            <w:vAlign w:val="bottom"/>
          </w:tcPr>
          <w:p>
            <w:pPr>
              <w:jc w:val="center"/>
              <w:spacing w:after="0"/>
              <w:rPr>
                <w:sz w:val="20"/>
                <w:szCs w:val="20"/>
                <w:color w:val="auto"/>
              </w:rPr>
            </w:pPr>
            <w:r>
              <w:rPr>
                <w:rFonts w:ascii="Arial" w:cs="Arial" w:eastAsia="Arial" w:hAnsi="Arial"/>
                <w:sz w:val="10"/>
                <w:szCs w:val="10"/>
                <w:color w:val="auto"/>
                <w:w w:val="91"/>
              </w:rPr>
              <w:t>36.3%</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16.8%</w:t>
            </w:r>
          </w:p>
        </w:tc>
        <w:tc>
          <w:tcPr>
            <w:tcW w:w="0" w:type="dxa"/>
            <w:vAlign w:val="bottom"/>
          </w:tcPr>
          <w:p>
            <w:pPr>
              <w:spacing w:after="0"/>
              <w:rPr>
                <w:sz w:val="1"/>
                <w:szCs w:val="1"/>
                <w:color w:val="auto"/>
              </w:rPr>
            </w:pPr>
          </w:p>
        </w:tc>
      </w:tr>
      <w:tr>
        <w:trPr>
          <w:trHeight w:val="313"/>
        </w:trPr>
        <w:tc>
          <w:tcPr>
            <w:tcW w:w="57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Total Net Equity</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5"/>
              </w:rPr>
              <w:t>23,226,759</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5"/>
              </w:rPr>
              <w:t>22,319,647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23,629,323</w:t>
            </w:r>
          </w:p>
        </w:tc>
        <w:tc>
          <w:tcPr>
            <w:tcW w:w="660" w:type="dxa"/>
            <w:vAlign w:val="bottom"/>
          </w:tcPr>
          <w:p>
            <w:pPr>
              <w:jc w:val="center"/>
              <w:spacing w:after="0"/>
              <w:rPr>
                <w:sz w:val="20"/>
                <w:szCs w:val="20"/>
                <w:color w:val="auto"/>
              </w:rPr>
            </w:pPr>
            <w:r>
              <w:rPr>
                <w:rFonts w:ascii="Arial" w:cs="Arial" w:eastAsia="Arial" w:hAnsi="Arial"/>
                <w:sz w:val="10"/>
                <w:szCs w:val="10"/>
                <w:color w:val="auto"/>
                <w:w w:val="96"/>
              </w:rPr>
              <w:t>5.9%</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1.7%</w:t>
            </w:r>
          </w:p>
        </w:tc>
        <w:tc>
          <w:tcPr>
            <w:tcW w:w="0" w:type="dxa"/>
            <w:vAlign w:val="bottom"/>
          </w:tcPr>
          <w:p>
            <w:pPr>
              <w:spacing w:after="0"/>
              <w:rPr>
                <w:sz w:val="1"/>
                <w:szCs w:val="1"/>
                <w:color w:val="auto"/>
              </w:rPr>
            </w:pPr>
          </w:p>
        </w:tc>
      </w:tr>
      <w:tr>
        <w:trPr>
          <w:trHeight w:val="206"/>
        </w:trPr>
        <w:tc>
          <w:tcPr>
            <w:tcW w:w="5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b w:val="1"/>
                <w:bCs w:val="1"/>
                <w:color w:val="auto"/>
              </w:rPr>
              <w:t>Total liabilities and equity</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7"/>
              </w:rPr>
              <w:t>177,368,492</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7"/>
              </w:rPr>
              <w:t>183,319,350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189,280,540</w:t>
            </w:r>
          </w:p>
        </w:tc>
        <w:tc>
          <w:tcPr>
            <w:tcW w:w="660" w:type="dxa"/>
            <w:vAlign w:val="bottom"/>
          </w:tcPr>
          <w:p>
            <w:pPr>
              <w:jc w:val="center"/>
              <w:spacing w:after="0"/>
              <w:rPr>
                <w:sz w:val="20"/>
                <w:szCs w:val="20"/>
                <w:color w:val="auto"/>
              </w:rPr>
            </w:pPr>
            <w:r>
              <w:rPr>
                <w:rFonts w:ascii="Arial" w:cs="Arial" w:eastAsia="Arial" w:hAnsi="Arial"/>
                <w:sz w:val="10"/>
                <w:szCs w:val="10"/>
                <w:color w:val="auto"/>
                <w:w w:val="96"/>
              </w:rPr>
              <w:t>3.3%</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6"/>
              </w:rPr>
              <w:t>6.7%</w:t>
            </w:r>
          </w:p>
        </w:tc>
        <w:tc>
          <w:tcPr>
            <w:tcW w:w="0" w:type="dxa"/>
            <w:vAlign w:val="bottom"/>
          </w:tcPr>
          <w:p>
            <w:pPr>
              <w:spacing w:after="0"/>
              <w:rPr>
                <w:sz w:val="1"/>
                <w:szCs w:val="1"/>
                <w:color w:val="auto"/>
              </w:rPr>
            </w:pPr>
          </w:p>
        </w:tc>
      </w:tr>
      <w:tr>
        <w:trPr>
          <w:trHeight w:val="180"/>
        </w:trPr>
        <w:tc>
          <w:tcPr>
            <w:tcW w:w="57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0"/>
                <w:szCs w:val="10"/>
                <w:b w:val="1"/>
                <w:bCs w:val="1"/>
                <w:color w:val="auto"/>
              </w:rPr>
              <w:t>Off-balance sheet</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7"/>
              </w:rPr>
              <w:t>129,969,150</w:t>
            </w: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7"/>
              </w:rPr>
              <w:t>147,001,354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147,994,313</w:t>
            </w:r>
          </w:p>
        </w:tc>
        <w:tc>
          <w:tcPr>
            <w:tcW w:w="660" w:type="dxa"/>
            <w:vAlign w:val="bottom"/>
          </w:tcPr>
          <w:p>
            <w:pPr>
              <w:jc w:val="center"/>
              <w:spacing w:after="0"/>
              <w:rPr>
                <w:sz w:val="20"/>
                <w:szCs w:val="20"/>
                <w:color w:val="auto"/>
              </w:rPr>
            </w:pPr>
            <w:r>
              <w:rPr>
                <w:rFonts w:ascii="Arial" w:cs="Arial" w:eastAsia="Arial" w:hAnsi="Arial"/>
                <w:sz w:val="10"/>
                <w:szCs w:val="10"/>
                <w:color w:val="auto"/>
                <w:w w:val="96"/>
              </w:rPr>
              <w:t>0.7%</w:t>
            </w:r>
          </w:p>
        </w:tc>
        <w:tc>
          <w:tcPr>
            <w:tcW w:w="700" w:type="dxa"/>
            <w:vAlign w:val="bottom"/>
            <w:tcBorders>
              <w:right w:val="single" w:sz="8" w:color="auto"/>
            </w:tcBorders>
          </w:tcPr>
          <w:p>
            <w:pPr>
              <w:jc w:val="center"/>
              <w:spacing w:after="0"/>
              <w:rPr>
                <w:sz w:val="20"/>
                <w:szCs w:val="20"/>
                <w:color w:val="auto"/>
              </w:rPr>
            </w:pPr>
            <w:r>
              <w:rPr>
                <w:rFonts w:ascii="Arial" w:cs="Arial" w:eastAsia="Arial" w:hAnsi="Arial"/>
                <w:sz w:val="10"/>
                <w:szCs w:val="10"/>
                <w:color w:val="auto"/>
                <w:w w:val="98"/>
              </w:rPr>
              <w:t>13.9%</w:t>
            </w:r>
          </w:p>
        </w:tc>
        <w:tc>
          <w:tcPr>
            <w:tcW w:w="0" w:type="dxa"/>
            <w:vAlign w:val="bottom"/>
          </w:tcPr>
          <w:p>
            <w:pPr>
              <w:spacing w:after="0"/>
              <w:rPr>
                <w:sz w:val="1"/>
                <w:szCs w:val="1"/>
                <w:color w:val="auto"/>
              </w:rPr>
            </w:pPr>
          </w:p>
        </w:tc>
      </w:tr>
      <w:tr>
        <w:trPr>
          <w:trHeight w:val="103"/>
        </w:trPr>
        <w:tc>
          <w:tcPr>
            <w:tcW w:w="578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Total performance bonds, stand-by and L/Cs.</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5"/>
              </w:rPr>
              <w:t>17,955,670</w:t>
            </w:r>
          </w:p>
        </w:tc>
        <w:tc>
          <w:tcPr>
            <w:tcW w:w="1020" w:type="dxa"/>
            <w:vAlign w:val="bottom"/>
          </w:tcPr>
          <w:p>
            <w:pPr>
              <w:jc w:val="center"/>
              <w:spacing w:after="0" w:line="103" w:lineRule="exact"/>
              <w:rPr>
                <w:sz w:val="20"/>
                <w:szCs w:val="20"/>
                <w:color w:val="auto"/>
              </w:rPr>
            </w:pPr>
            <w:r>
              <w:rPr>
                <w:rFonts w:ascii="Arial" w:cs="Arial" w:eastAsia="Arial" w:hAnsi="Arial"/>
                <w:sz w:val="10"/>
                <w:szCs w:val="10"/>
                <w:color w:val="auto"/>
                <w:w w:val="95"/>
              </w:rPr>
              <w:t>19,720,490</w:t>
            </w:r>
          </w:p>
        </w:tc>
        <w:tc>
          <w:tcPr>
            <w:tcW w:w="10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5"/>
              </w:rPr>
              <w:t>20,008,285</w:t>
            </w:r>
          </w:p>
        </w:tc>
        <w:tc>
          <w:tcPr>
            <w:tcW w:w="660" w:type="dxa"/>
            <w:vAlign w:val="bottom"/>
          </w:tcPr>
          <w:p>
            <w:pPr>
              <w:jc w:val="center"/>
              <w:spacing w:after="0" w:line="103" w:lineRule="exact"/>
              <w:rPr>
                <w:sz w:val="20"/>
                <w:szCs w:val="20"/>
                <w:color w:val="auto"/>
              </w:rPr>
            </w:pPr>
            <w:r>
              <w:rPr>
                <w:rFonts w:ascii="Arial" w:cs="Arial" w:eastAsia="Arial" w:hAnsi="Arial"/>
                <w:sz w:val="10"/>
                <w:szCs w:val="10"/>
                <w:color w:val="auto"/>
                <w:w w:val="96"/>
              </w:rPr>
              <w:t>1.5%</w:t>
            </w:r>
          </w:p>
        </w:tc>
        <w:tc>
          <w:tcPr>
            <w:tcW w:w="7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1"/>
              </w:rPr>
              <w:t>11.4%</w:t>
            </w:r>
          </w:p>
        </w:tc>
        <w:tc>
          <w:tcPr>
            <w:tcW w:w="0" w:type="dxa"/>
            <w:vAlign w:val="bottom"/>
          </w:tcPr>
          <w:p>
            <w:pPr>
              <w:spacing w:after="0"/>
              <w:rPr>
                <w:sz w:val="1"/>
                <w:szCs w:val="1"/>
                <w:color w:val="auto"/>
              </w:rPr>
            </w:pPr>
          </w:p>
        </w:tc>
      </w:tr>
      <w:tr>
        <w:trPr>
          <w:trHeight w:val="103"/>
        </w:trPr>
        <w:tc>
          <w:tcPr>
            <w:tcW w:w="578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Undrawn credit lines, advised but not committed</w:t>
            </w:r>
          </w:p>
        </w:tc>
        <w:tc>
          <w:tcPr>
            <w:tcW w:w="980" w:type="dxa"/>
            <w:vAlign w:val="bottom"/>
          </w:tcPr>
          <w:p>
            <w:pPr>
              <w:jc w:val="center"/>
              <w:spacing w:after="0" w:line="103" w:lineRule="exact"/>
              <w:rPr>
                <w:sz w:val="20"/>
                <w:szCs w:val="20"/>
                <w:color w:val="auto"/>
              </w:rPr>
            </w:pPr>
            <w:r>
              <w:rPr>
                <w:rFonts w:ascii="Arial" w:cs="Arial" w:eastAsia="Arial" w:hAnsi="Arial"/>
                <w:sz w:val="10"/>
                <w:szCs w:val="10"/>
                <w:color w:val="auto"/>
                <w:w w:val="95"/>
              </w:rPr>
              <w:t>73,510,275</w:t>
            </w:r>
          </w:p>
        </w:tc>
        <w:tc>
          <w:tcPr>
            <w:tcW w:w="1020" w:type="dxa"/>
            <w:vAlign w:val="bottom"/>
          </w:tcPr>
          <w:p>
            <w:pPr>
              <w:jc w:val="center"/>
              <w:spacing w:after="0" w:line="103" w:lineRule="exact"/>
              <w:rPr>
                <w:sz w:val="20"/>
                <w:szCs w:val="20"/>
                <w:color w:val="auto"/>
              </w:rPr>
            </w:pPr>
            <w:r>
              <w:rPr>
                <w:rFonts w:ascii="Arial" w:cs="Arial" w:eastAsia="Arial" w:hAnsi="Arial"/>
                <w:sz w:val="10"/>
                <w:szCs w:val="10"/>
                <w:color w:val="auto"/>
                <w:w w:val="95"/>
              </w:rPr>
              <w:t>75,957,799</w:t>
            </w:r>
          </w:p>
        </w:tc>
        <w:tc>
          <w:tcPr>
            <w:tcW w:w="10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5"/>
              </w:rPr>
              <w:t>77,032,694</w:t>
            </w:r>
          </w:p>
        </w:tc>
        <w:tc>
          <w:tcPr>
            <w:tcW w:w="660" w:type="dxa"/>
            <w:vAlign w:val="bottom"/>
          </w:tcPr>
          <w:p>
            <w:pPr>
              <w:jc w:val="center"/>
              <w:spacing w:after="0" w:line="103" w:lineRule="exact"/>
              <w:rPr>
                <w:sz w:val="20"/>
                <w:szCs w:val="20"/>
                <w:color w:val="auto"/>
              </w:rPr>
            </w:pPr>
            <w:r>
              <w:rPr>
                <w:rFonts w:ascii="Arial" w:cs="Arial" w:eastAsia="Arial" w:hAnsi="Arial"/>
                <w:sz w:val="10"/>
                <w:szCs w:val="10"/>
                <w:color w:val="auto"/>
                <w:w w:val="96"/>
              </w:rPr>
              <w:t>1.4%</w:t>
            </w:r>
          </w:p>
        </w:tc>
        <w:tc>
          <w:tcPr>
            <w:tcW w:w="70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4.8%</w:t>
            </w:r>
          </w:p>
        </w:tc>
        <w:tc>
          <w:tcPr>
            <w:tcW w:w="0" w:type="dxa"/>
            <w:vAlign w:val="bottom"/>
          </w:tcPr>
          <w:p>
            <w:pPr>
              <w:spacing w:after="0"/>
              <w:rPr>
                <w:sz w:val="1"/>
                <w:szCs w:val="1"/>
                <w:color w:val="auto"/>
              </w:rPr>
            </w:pPr>
          </w:p>
        </w:tc>
      </w:tr>
      <w:tr>
        <w:trPr>
          <w:trHeight w:val="115"/>
        </w:trPr>
        <w:tc>
          <w:tcPr>
            <w:tcW w:w="57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Total derivatives (notional) and others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38,503,205</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51,323,065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5"/>
              </w:rPr>
              <w:t>50,953,334</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9"/>
              </w:rPr>
              <w:t>-0.7%</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32.3%</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100" w:hanging="141"/>
        <w:spacing w:after="0"/>
        <w:tabs>
          <w:tab w:leader="none" w:pos="1100" w:val="left"/>
        </w:tabs>
        <w:numPr>
          <w:ilvl w:val="0"/>
          <w:numId w:val="56"/>
        </w:numPr>
        <w:rPr>
          <w:rFonts w:ascii="Arial" w:cs="Arial" w:eastAsia="Arial" w:hAnsi="Arial"/>
          <w:sz w:val="10"/>
          <w:szCs w:val="10"/>
          <w:color w:val="auto"/>
        </w:rPr>
      </w:pPr>
      <w:r>
        <w:rPr>
          <w:rFonts w:ascii="Arial" w:cs="Arial" w:eastAsia="Arial" w:hAnsi="Arial"/>
          <w:sz w:val="10"/>
          <w:szCs w:val="10"/>
          <w:color w:val="auto"/>
        </w:rPr>
        <w:t>Right of use asset of lease contracts is included by application of IFRS 16.</w:t>
      </w:r>
    </w:p>
    <w:p>
      <w:pPr>
        <w:ind w:left="1100" w:hanging="141"/>
        <w:spacing w:after="0" w:line="214" w:lineRule="auto"/>
        <w:tabs>
          <w:tab w:leader="none" w:pos="1100" w:val="left"/>
        </w:tabs>
        <w:numPr>
          <w:ilvl w:val="0"/>
          <w:numId w:val="56"/>
        </w:numPr>
        <w:rPr>
          <w:rFonts w:ascii="Arial" w:cs="Arial" w:eastAsia="Arial" w:hAnsi="Arial"/>
          <w:sz w:val="10"/>
          <w:szCs w:val="10"/>
          <w:color w:val="auto"/>
        </w:rPr>
      </w:pPr>
      <w:r>
        <w:rPr>
          <w:rFonts w:ascii="Arial" w:cs="Arial" w:eastAsia="Arial" w:hAnsi="Arial"/>
          <w:sz w:val="10"/>
          <w:szCs w:val="10"/>
          <w:color w:val="auto"/>
        </w:rPr>
        <w:t>Mainly includes intangible assets, other receivable accounts, trading derivatives receivable accounts and tax credit.</w:t>
      </w:r>
    </w:p>
    <w:p>
      <w:pPr>
        <w:ind w:left="1100" w:hanging="141"/>
        <w:spacing w:after="0"/>
        <w:tabs>
          <w:tab w:leader="none" w:pos="1100" w:val="left"/>
        </w:tabs>
        <w:numPr>
          <w:ilvl w:val="0"/>
          <w:numId w:val="56"/>
        </w:numPr>
        <w:rPr>
          <w:rFonts w:ascii="Arial" w:cs="Arial" w:eastAsia="Arial" w:hAnsi="Arial"/>
          <w:sz w:val="10"/>
          <w:szCs w:val="10"/>
          <w:color w:val="auto"/>
        </w:rPr>
      </w:pPr>
      <w:r>
        <w:rPr>
          <w:rFonts w:ascii="Arial" w:cs="Arial" w:eastAsia="Arial" w:hAnsi="Arial"/>
          <w:sz w:val="10"/>
          <w:szCs w:val="10"/>
          <w:color w:val="auto"/>
        </w:rPr>
        <w:t>Mainly includes other payable accounts, trading derivatives payable accounts and taxes for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628650</wp:posOffset>
            </wp:positionV>
            <wp:extent cx="7164705" cy="133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-86995</wp:posOffset>
            </wp:positionH>
            <wp:positionV relativeFrom="paragraph">
              <wp:posOffset>99695</wp:posOffset>
            </wp:positionV>
            <wp:extent cx="1502410" cy="4438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217170</wp:posOffset>
            </wp:positionV>
            <wp:extent cx="1750695" cy="3263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750695" cy="326390"/>
                    </a:xfrm>
                    <a:prstGeom prst="rect">
                      <a:avLst/>
                    </a:prstGeom>
                    <a:noFill/>
                  </pic:spPr>
                </pic:pic>
              </a:graphicData>
            </a:graphic>
          </wp:anchor>
        </w:drawing>
      </w:r>
    </w:p>
    <w:p>
      <w:pPr>
        <w:sectPr>
          <w:pgSz w:w="11900" w:h="16838" w:orient="portrait"/>
          <w:cols w:equalWidth="0" w:num="1">
            <w:col w:w="10580"/>
          </w:cols>
          <w:pgMar w:left="440" w:top="300" w:right="879" w:bottom="1440" w:gutter="0" w:footer="0" w:header="0"/>
        </w:sectPr>
      </w:pPr>
    </w:p>
    <w:bookmarkStart w:id="64" w:name="page65"/>
    <w:bookmarkEnd w:id="64"/>
    <w:p>
      <w:pPr>
        <w:ind w:left="2500"/>
        <w:spacing w:after="0"/>
        <w:tabs>
          <w:tab w:leader="none" w:pos="2700" w:val="left"/>
          <w:tab w:leader="none" w:pos="7700"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10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64705" cy="581025"/>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12. Appendix</w:t>
      </w:r>
    </w:p>
    <w:p>
      <w:pPr>
        <w:spacing w:after="0" w:line="258" w:lineRule="exact"/>
        <w:rPr>
          <w:sz w:val="20"/>
          <w:szCs w:val="20"/>
          <w:color w:val="auto"/>
        </w:rPr>
      </w:pPr>
    </w:p>
    <w:p>
      <w:pPr>
        <w:ind w:left="4800"/>
        <w:spacing w:after="0"/>
        <w:rPr>
          <w:sz w:val="20"/>
          <w:szCs w:val="20"/>
          <w:color w:val="auto"/>
        </w:rPr>
      </w:pPr>
      <w:r>
        <w:rPr>
          <w:rFonts w:ascii="Arial" w:cs="Arial" w:eastAsia="Arial" w:hAnsi="Arial"/>
          <w:sz w:val="12"/>
          <w:szCs w:val="12"/>
          <w:b w:val="1"/>
          <w:bCs w:val="1"/>
          <w:color w:val="auto"/>
        </w:rPr>
        <w:t>Statement of Income</w:t>
      </w:r>
    </w:p>
    <w:p>
      <w:pPr>
        <w:spacing w:after="0" w:line="18" w:lineRule="exact"/>
        <w:rPr>
          <w:sz w:val="20"/>
          <w:szCs w:val="20"/>
          <w:color w:val="auto"/>
        </w:rPr>
      </w:pPr>
    </w:p>
    <w:p>
      <w:pPr>
        <w:ind w:left="4800"/>
        <w:spacing w:after="0"/>
        <w:rPr>
          <w:sz w:val="20"/>
          <w:szCs w:val="20"/>
          <w:color w:val="auto"/>
        </w:rPr>
      </w:pPr>
      <w:r>
        <w:rPr>
          <w:rFonts w:ascii="Arial" w:cs="Arial" w:eastAsia="Arial" w:hAnsi="Arial"/>
          <w:sz w:val="12"/>
          <w:szCs w:val="12"/>
          <w:b w:val="1"/>
          <w:bCs w:val="1"/>
          <w:color w:val="auto"/>
        </w:rPr>
        <w:t>(S/ Thousands, IFRS)</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92"/>
        </w:trPr>
        <w:tc>
          <w:tcPr>
            <w:tcW w:w="5340" w:type="dxa"/>
            <w:vAlign w:val="bottom"/>
            <w:tcBorders>
              <w:top w:val="single" w:sz="8" w:color="auto"/>
              <w:left w:val="single" w:sz="8" w:color="auto"/>
              <w:right w:val="single" w:sz="8" w:color="auto"/>
            </w:tcBorders>
            <w:shd w:val="clear" w:color="auto" w:fill="2AD2C9"/>
          </w:tcPr>
          <w:p>
            <w:pPr>
              <w:spacing w:after="0"/>
              <w:rPr>
                <w:sz w:val="8"/>
                <w:szCs w:val="8"/>
                <w:color w:val="auto"/>
              </w:rPr>
            </w:pPr>
          </w:p>
        </w:tc>
        <w:tc>
          <w:tcPr>
            <w:tcW w:w="740" w:type="dxa"/>
            <w:vAlign w:val="bottom"/>
            <w:tcBorders>
              <w:top w:val="single" w:sz="8" w:color="auto"/>
            </w:tcBorders>
            <w:shd w:val="clear" w:color="auto" w:fill="2AD2C9"/>
          </w:tcPr>
          <w:p>
            <w:pPr>
              <w:spacing w:after="0"/>
              <w:rPr>
                <w:sz w:val="8"/>
                <w:szCs w:val="8"/>
                <w:color w:val="auto"/>
              </w:rPr>
            </w:pPr>
          </w:p>
        </w:tc>
        <w:tc>
          <w:tcPr>
            <w:tcW w:w="760" w:type="dxa"/>
            <w:vAlign w:val="bottom"/>
            <w:tcBorders>
              <w:top w:val="single" w:sz="8" w:color="auto"/>
            </w:tcBorders>
            <w:shd w:val="clear" w:color="auto" w:fill="2AD2C9"/>
          </w:tcPr>
          <w:p>
            <w:pPr>
              <w:jc w:val="right"/>
              <w:ind w:right="179"/>
              <w:spacing w:after="0"/>
              <w:rPr>
                <w:sz w:val="20"/>
                <w:szCs w:val="20"/>
                <w:color w:val="auto"/>
              </w:rPr>
            </w:pPr>
            <w:r>
              <w:rPr>
                <w:rFonts w:ascii="Arial" w:cs="Arial" w:eastAsia="Arial" w:hAnsi="Arial"/>
                <w:sz w:val="8"/>
                <w:szCs w:val="8"/>
                <w:b w:val="1"/>
                <w:bCs w:val="1"/>
                <w:color w:val="FFFFFF"/>
              </w:rPr>
              <w:t>Quarter</w:t>
            </w:r>
          </w:p>
        </w:tc>
        <w:tc>
          <w:tcPr>
            <w:tcW w:w="780" w:type="dxa"/>
            <w:vAlign w:val="bottom"/>
            <w:tcBorders>
              <w:top w:val="single" w:sz="8" w:color="auto"/>
              <w:right w:val="single" w:sz="8" w:color="auto"/>
            </w:tcBorders>
            <w:shd w:val="clear" w:color="auto" w:fill="2AD2C9"/>
          </w:tcPr>
          <w:p>
            <w:pPr>
              <w:spacing w:after="0"/>
              <w:rPr>
                <w:sz w:val="8"/>
                <w:szCs w:val="8"/>
                <w:color w:val="auto"/>
              </w:rPr>
            </w:pPr>
          </w:p>
        </w:tc>
        <w:tc>
          <w:tcPr>
            <w:tcW w:w="1080" w:type="dxa"/>
            <w:vAlign w:val="bottom"/>
            <w:tcBorders>
              <w:top w:val="single" w:sz="8" w:color="auto"/>
              <w:right w:val="single" w:sz="8" w:color="auto"/>
            </w:tcBorders>
            <w:gridSpan w:val="2"/>
            <w:shd w:val="clear" w:color="auto" w:fill="2AD2C9"/>
          </w:tcPr>
          <w:p>
            <w:pPr>
              <w:ind w:left="340"/>
              <w:spacing w:after="0"/>
              <w:rPr>
                <w:sz w:val="20"/>
                <w:szCs w:val="20"/>
                <w:color w:val="auto"/>
              </w:rPr>
            </w:pPr>
            <w:r>
              <w:rPr>
                <w:rFonts w:ascii="Arial" w:cs="Arial" w:eastAsia="Arial" w:hAnsi="Arial"/>
                <w:sz w:val="8"/>
                <w:szCs w:val="8"/>
                <w:b w:val="1"/>
                <w:bCs w:val="1"/>
                <w:color w:val="FFFFFF"/>
              </w:rPr>
              <w:t>% change</w:t>
            </w:r>
          </w:p>
        </w:tc>
        <w:tc>
          <w:tcPr>
            <w:tcW w:w="600" w:type="dxa"/>
            <w:vAlign w:val="bottom"/>
            <w:tcBorders>
              <w:top w:val="single" w:sz="8" w:color="auto"/>
            </w:tcBorders>
            <w:shd w:val="clear" w:color="auto" w:fill="2AD2C9"/>
          </w:tcPr>
          <w:p>
            <w:pPr>
              <w:spacing w:after="0"/>
              <w:rPr>
                <w:sz w:val="8"/>
                <w:szCs w:val="8"/>
                <w:color w:val="auto"/>
              </w:rPr>
            </w:pPr>
          </w:p>
        </w:tc>
        <w:tc>
          <w:tcPr>
            <w:tcW w:w="900" w:type="dxa"/>
            <w:vAlign w:val="bottom"/>
            <w:tcBorders>
              <w:top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8"/>
                <w:szCs w:val="8"/>
                <w:b w:val="1"/>
                <w:bCs w:val="1"/>
                <w:color w:val="FFFFFF"/>
              </w:rPr>
              <w:t>Up to</w:t>
            </w:r>
          </w:p>
        </w:tc>
        <w:tc>
          <w:tcPr>
            <w:tcW w:w="64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rPr>
              <w:t>% change</w:t>
            </w:r>
          </w:p>
        </w:tc>
      </w:tr>
      <w:tr>
        <w:trPr>
          <w:trHeight w:val="103"/>
        </w:trPr>
        <w:tc>
          <w:tcPr>
            <w:tcW w:w="5340" w:type="dxa"/>
            <w:vAlign w:val="bottom"/>
            <w:tcBorders>
              <w:left w:val="single" w:sz="8" w:color="auto"/>
              <w:bottom w:val="single" w:sz="8" w:color="auto"/>
              <w:right w:val="single" w:sz="8" w:color="auto"/>
            </w:tcBorders>
            <w:shd w:val="clear" w:color="auto" w:fill="2AD2C9"/>
          </w:tcPr>
          <w:p>
            <w:pPr>
              <w:spacing w:after="0"/>
              <w:rPr>
                <w:sz w:val="8"/>
                <w:szCs w:val="8"/>
                <w:color w:val="auto"/>
              </w:rPr>
            </w:pPr>
          </w:p>
        </w:tc>
        <w:tc>
          <w:tcPr>
            <w:tcW w:w="7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rPr>
              <w:t>2T23</w:t>
            </w:r>
          </w:p>
        </w:tc>
        <w:tc>
          <w:tcPr>
            <w:tcW w:w="7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rPr>
              <w:t>1T24</w:t>
            </w:r>
          </w:p>
        </w:tc>
        <w:tc>
          <w:tcPr>
            <w:tcW w:w="7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rPr>
              <w:t>2T24</w:t>
            </w:r>
          </w:p>
        </w:tc>
        <w:tc>
          <w:tcPr>
            <w:tcW w:w="5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rPr>
              <w:t>QoQ</w:t>
            </w:r>
          </w:p>
        </w:tc>
        <w:tc>
          <w:tcPr>
            <w:tcW w:w="560" w:type="dxa"/>
            <w:vAlign w:val="bottom"/>
            <w:tcBorders>
              <w:bottom w:val="single" w:sz="8" w:color="auto"/>
              <w:right w:val="single" w:sz="8" w:color="auto"/>
            </w:tcBorders>
            <w:shd w:val="clear" w:color="auto" w:fill="2AD2C9"/>
          </w:tcPr>
          <w:p>
            <w:pPr>
              <w:ind w:left="200"/>
              <w:spacing w:after="0"/>
              <w:rPr>
                <w:sz w:val="20"/>
                <w:szCs w:val="20"/>
                <w:color w:val="auto"/>
              </w:rPr>
            </w:pPr>
            <w:r>
              <w:rPr>
                <w:rFonts w:ascii="Arial" w:cs="Arial" w:eastAsia="Arial" w:hAnsi="Arial"/>
                <w:sz w:val="8"/>
                <w:szCs w:val="8"/>
                <w:b w:val="1"/>
                <w:bCs w:val="1"/>
                <w:color w:val="FFFFFF"/>
              </w:rPr>
              <w:t>YoY</w:t>
            </w:r>
          </w:p>
        </w:tc>
        <w:tc>
          <w:tcPr>
            <w:tcW w:w="600" w:type="dxa"/>
            <w:vAlign w:val="bottom"/>
            <w:tcBorders>
              <w:bottom w:val="single" w:sz="8" w:color="auto"/>
            </w:tcBorders>
            <w:shd w:val="clear" w:color="auto" w:fill="2AD2C9"/>
          </w:tcPr>
          <w:p>
            <w:pPr>
              <w:jc w:val="center"/>
              <w:ind w:left="79"/>
              <w:spacing w:after="0"/>
              <w:rPr>
                <w:sz w:val="20"/>
                <w:szCs w:val="20"/>
                <w:color w:val="auto"/>
              </w:rPr>
            </w:pPr>
            <w:r>
              <w:rPr>
                <w:rFonts w:ascii="Arial" w:cs="Arial" w:eastAsia="Arial" w:hAnsi="Arial"/>
                <w:sz w:val="8"/>
                <w:szCs w:val="8"/>
                <w:b w:val="1"/>
                <w:bCs w:val="1"/>
                <w:color w:val="FFFFFF"/>
              </w:rPr>
              <w:t>1H23</w:t>
            </w:r>
          </w:p>
        </w:tc>
        <w:tc>
          <w:tcPr>
            <w:tcW w:w="900" w:type="dxa"/>
            <w:vAlign w:val="bottom"/>
            <w:tcBorders>
              <w:bottom w:val="single" w:sz="8" w:color="auto"/>
              <w:right w:val="single" w:sz="8" w:color="auto"/>
            </w:tcBorders>
            <w:shd w:val="clear" w:color="auto" w:fill="2AD2C9"/>
          </w:tcPr>
          <w:p>
            <w:pPr>
              <w:jc w:val="center"/>
              <w:ind w:left="59"/>
              <w:spacing w:after="0"/>
              <w:rPr>
                <w:sz w:val="20"/>
                <w:szCs w:val="20"/>
                <w:color w:val="auto"/>
              </w:rPr>
            </w:pPr>
            <w:r>
              <w:rPr>
                <w:rFonts w:ascii="Arial" w:cs="Arial" w:eastAsia="Arial" w:hAnsi="Arial"/>
                <w:sz w:val="8"/>
                <w:szCs w:val="8"/>
                <w:b w:val="1"/>
                <w:bCs w:val="1"/>
                <w:color w:val="FFFFFF"/>
              </w:rPr>
              <w:t>1H24</w:t>
            </w:r>
          </w:p>
        </w:tc>
        <w:tc>
          <w:tcPr>
            <w:tcW w:w="6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rPr>
              <w:t>1H24 / 1H23</w:t>
            </w:r>
          </w:p>
        </w:tc>
      </w:tr>
      <w:tr>
        <w:trPr>
          <w:trHeight w:val="72"/>
        </w:trPr>
        <w:tc>
          <w:tcPr>
            <w:tcW w:w="5340" w:type="dxa"/>
            <w:vAlign w:val="bottom"/>
            <w:tcBorders>
              <w:left w:val="single" w:sz="8" w:color="auto"/>
              <w:right w:val="single" w:sz="8" w:color="auto"/>
            </w:tcBorders>
          </w:tcPr>
          <w:p>
            <w:pPr>
              <w:ind w:left="40"/>
              <w:spacing w:after="0" w:line="73" w:lineRule="exact"/>
              <w:rPr>
                <w:sz w:val="20"/>
                <w:szCs w:val="20"/>
                <w:color w:val="auto"/>
              </w:rPr>
            </w:pPr>
            <w:r>
              <w:rPr>
                <w:rFonts w:ascii="Arial" w:cs="Arial" w:eastAsia="Arial" w:hAnsi="Arial"/>
                <w:sz w:val="8"/>
                <w:szCs w:val="8"/>
                <w:b w:val="1"/>
                <w:bCs w:val="1"/>
                <w:color w:val="auto"/>
              </w:rPr>
              <w:t>Interest income and expense</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r>
      <w:tr>
        <w:trPr>
          <w:trHeight w:val="86"/>
        </w:trPr>
        <w:tc>
          <w:tcPr>
            <w:tcW w:w="5340" w:type="dxa"/>
            <w:vAlign w:val="bottom"/>
            <w:tcBorders>
              <w:left w:val="single" w:sz="8" w:color="auto"/>
              <w:right w:val="single" w:sz="8" w:color="auto"/>
            </w:tcBorders>
          </w:tcPr>
          <w:p>
            <w:pPr>
              <w:ind w:left="160"/>
              <w:spacing w:after="0" w:line="87" w:lineRule="exact"/>
              <w:rPr>
                <w:sz w:val="20"/>
                <w:szCs w:val="20"/>
                <w:color w:val="auto"/>
              </w:rPr>
            </w:pPr>
            <w:r>
              <w:rPr>
                <w:rFonts w:ascii="Arial" w:cs="Arial" w:eastAsia="Arial" w:hAnsi="Arial"/>
                <w:sz w:val="8"/>
                <w:szCs w:val="8"/>
                <w:color w:val="auto"/>
              </w:rPr>
              <w:t>Interest and similar income</w:t>
            </w:r>
          </w:p>
        </w:tc>
        <w:tc>
          <w:tcPr>
            <w:tcW w:w="740" w:type="dxa"/>
            <w:vAlign w:val="bottom"/>
          </w:tcPr>
          <w:p>
            <w:pPr>
              <w:jc w:val="center"/>
              <w:spacing w:after="0" w:line="87" w:lineRule="exact"/>
              <w:rPr>
                <w:sz w:val="20"/>
                <w:szCs w:val="20"/>
                <w:color w:val="auto"/>
              </w:rPr>
            </w:pPr>
            <w:r>
              <w:rPr>
                <w:rFonts w:ascii="Arial" w:cs="Arial" w:eastAsia="Arial" w:hAnsi="Arial"/>
                <w:sz w:val="8"/>
                <w:szCs w:val="8"/>
                <w:color w:val="auto"/>
              </w:rPr>
              <w:t>3,323,237</w:t>
            </w:r>
          </w:p>
        </w:tc>
        <w:tc>
          <w:tcPr>
            <w:tcW w:w="760" w:type="dxa"/>
            <w:vAlign w:val="bottom"/>
          </w:tcPr>
          <w:p>
            <w:pPr>
              <w:jc w:val="center"/>
              <w:spacing w:after="0" w:line="87" w:lineRule="exact"/>
              <w:rPr>
                <w:sz w:val="20"/>
                <w:szCs w:val="20"/>
                <w:color w:val="auto"/>
              </w:rPr>
            </w:pPr>
            <w:r>
              <w:rPr>
                <w:rFonts w:ascii="Arial" w:cs="Arial" w:eastAsia="Arial" w:hAnsi="Arial"/>
                <w:sz w:val="8"/>
                <w:szCs w:val="8"/>
                <w:color w:val="auto"/>
              </w:rPr>
              <w:t>3,522,707</w:t>
            </w:r>
          </w:p>
        </w:tc>
        <w:tc>
          <w:tcPr>
            <w:tcW w:w="780" w:type="dxa"/>
            <w:vAlign w:val="bottom"/>
            <w:tcBorders>
              <w:right w:val="single" w:sz="8" w:color="auto"/>
            </w:tcBorders>
          </w:tcPr>
          <w:p>
            <w:pPr>
              <w:jc w:val="center"/>
              <w:spacing w:after="0" w:line="87" w:lineRule="exact"/>
              <w:rPr>
                <w:sz w:val="20"/>
                <w:szCs w:val="20"/>
                <w:color w:val="auto"/>
              </w:rPr>
            </w:pPr>
            <w:r>
              <w:rPr>
                <w:rFonts w:ascii="Arial" w:cs="Arial" w:eastAsia="Arial" w:hAnsi="Arial"/>
                <w:sz w:val="8"/>
                <w:szCs w:val="8"/>
                <w:color w:val="auto"/>
              </w:rPr>
              <w:t>3,565,956</w:t>
            </w:r>
          </w:p>
        </w:tc>
        <w:tc>
          <w:tcPr>
            <w:tcW w:w="520" w:type="dxa"/>
            <w:vAlign w:val="bottom"/>
          </w:tcPr>
          <w:p>
            <w:pPr>
              <w:jc w:val="center"/>
              <w:spacing w:after="0" w:line="87" w:lineRule="exact"/>
              <w:rPr>
                <w:sz w:val="20"/>
                <w:szCs w:val="20"/>
                <w:color w:val="auto"/>
              </w:rPr>
            </w:pPr>
            <w:r>
              <w:rPr>
                <w:rFonts w:ascii="Arial" w:cs="Arial" w:eastAsia="Arial" w:hAnsi="Arial"/>
                <w:sz w:val="8"/>
                <w:szCs w:val="8"/>
                <w:color w:val="auto"/>
              </w:rPr>
              <w:t>1.2%</w:t>
            </w:r>
          </w:p>
        </w:tc>
        <w:tc>
          <w:tcPr>
            <w:tcW w:w="560" w:type="dxa"/>
            <w:vAlign w:val="bottom"/>
            <w:tcBorders>
              <w:right w:val="single" w:sz="8" w:color="auto"/>
            </w:tcBorders>
          </w:tcPr>
          <w:p>
            <w:pPr>
              <w:jc w:val="center"/>
              <w:spacing w:after="0" w:line="87" w:lineRule="exact"/>
              <w:rPr>
                <w:sz w:val="20"/>
                <w:szCs w:val="20"/>
                <w:color w:val="auto"/>
              </w:rPr>
            </w:pPr>
            <w:r>
              <w:rPr>
                <w:rFonts w:ascii="Arial" w:cs="Arial" w:eastAsia="Arial" w:hAnsi="Arial"/>
                <w:sz w:val="8"/>
                <w:szCs w:val="8"/>
                <w:color w:val="auto"/>
                <w:w w:val="98"/>
              </w:rPr>
              <w:t>7.3%</w:t>
            </w:r>
          </w:p>
        </w:tc>
        <w:tc>
          <w:tcPr>
            <w:tcW w:w="600" w:type="dxa"/>
            <w:vAlign w:val="bottom"/>
          </w:tcPr>
          <w:p>
            <w:pPr>
              <w:jc w:val="center"/>
              <w:ind w:left="79"/>
              <w:spacing w:after="0" w:line="87" w:lineRule="exact"/>
              <w:rPr>
                <w:sz w:val="20"/>
                <w:szCs w:val="20"/>
                <w:color w:val="auto"/>
              </w:rPr>
            </w:pPr>
            <w:r>
              <w:rPr>
                <w:rFonts w:ascii="Arial" w:cs="Arial" w:eastAsia="Arial" w:hAnsi="Arial"/>
                <w:sz w:val="8"/>
                <w:szCs w:val="8"/>
                <w:color w:val="auto"/>
              </w:rPr>
              <w:t>6,528,746</w:t>
            </w:r>
          </w:p>
        </w:tc>
        <w:tc>
          <w:tcPr>
            <w:tcW w:w="900" w:type="dxa"/>
            <w:vAlign w:val="bottom"/>
            <w:tcBorders>
              <w:right w:val="single" w:sz="8" w:color="auto"/>
            </w:tcBorders>
          </w:tcPr>
          <w:p>
            <w:pPr>
              <w:jc w:val="center"/>
              <w:ind w:left="59"/>
              <w:spacing w:after="0" w:line="87" w:lineRule="exact"/>
              <w:rPr>
                <w:sz w:val="20"/>
                <w:szCs w:val="20"/>
                <w:color w:val="auto"/>
              </w:rPr>
            </w:pPr>
            <w:r>
              <w:rPr>
                <w:rFonts w:ascii="Arial" w:cs="Arial" w:eastAsia="Arial" w:hAnsi="Arial"/>
                <w:sz w:val="8"/>
                <w:szCs w:val="8"/>
                <w:color w:val="auto"/>
              </w:rPr>
              <w:t>7,088,663</w:t>
            </w:r>
          </w:p>
        </w:tc>
        <w:tc>
          <w:tcPr>
            <w:tcW w:w="640" w:type="dxa"/>
            <w:vAlign w:val="bottom"/>
            <w:tcBorders>
              <w:right w:val="single" w:sz="8" w:color="auto"/>
            </w:tcBorders>
          </w:tcPr>
          <w:p>
            <w:pPr>
              <w:jc w:val="center"/>
              <w:spacing w:after="0" w:line="87" w:lineRule="exact"/>
              <w:rPr>
                <w:sz w:val="20"/>
                <w:szCs w:val="20"/>
                <w:color w:val="auto"/>
              </w:rPr>
            </w:pPr>
            <w:r>
              <w:rPr>
                <w:rFonts w:ascii="Arial" w:cs="Arial" w:eastAsia="Arial" w:hAnsi="Arial"/>
                <w:sz w:val="8"/>
                <w:szCs w:val="8"/>
                <w:color w:val="auto"/>
                <w:w w:val="98"/>
              </w:rPr>
              <w:t>8.6%</w:t>
            </w:r>
          </w:p>
        </w:tc>
      </w:tr>
      <w:tr>
        <w:trPr>
          <w:trHeight w:val="99"/>
        </w:trPr>
        <w:tc>
          <w:tcPr>
            <w:tcW w:w="5340" w:type="dxa"/>
            <w:vAlign w:val="bottom"/>
            <w:tcBorders>
              <w:left w:val="single" w:sz="8" w:color="auto"/>
              <w:right w:val="single" w:sz="8" w:color="auto"/>
            </w:tcBorders>
          </w:tcPr>
          <w:p>
            <w:pPr>
              <w:ind w:left="160"/>
              <w:spacing w:after="0" w:line="99" w:lineRule="exact"/>
              <w:rPr>
                <w:sz w:val="20"/>
                <w:szCs w:val="20"/>
                <w:color w:val="auto"/>
              </w:rPr>
            </w:pPr>
            <w:r>
              <w:rPr>
                <w:rFonts w:ascii="Arial" w:cs="Arial" w:eastAsia="Arial" w:hAnsi="Arial"/>
                <w:sz w:val="7"/>
                <w:szCs w:val="7"/>
                <w:color w:val="auto"/>
              </w:rPr>
              <w:t xml:space="preserve">Interest and similar expenses </w:t>
            </w:r>
            <w:r>
              <w:rPr>
                <w:rFonts w:ascii="Arial" w:cs="Arial" w:eastAsia="Arial" w:hAnsi="Arial"/>
                <w:sz w:val="11"/>
                <w:szCs w:val="11"/>
                <w:color w:val="auto"/>
                <w:vertAlign w:val="superscript"/>
              </w:rPr>
              <w:t>(1)</w:t>
            </w:r>
          </w:p>
        </w:tc>
        <w:tc>
          <w:tcPr>
            <w:tcW w:w="740" w:type="dxa"/>
            <w:vAlign w:val="bottom"/>
          </w:tcPr>
          <w:p>
            <w:pPr>
              <w:jc w:val="center"/>
              <w:spacing w:after="0"/>
              <w:rPr>
                <w:sz w:val="20"/>
                <w:szCs w:val="20"/>
                <w:color w:val="auto"/>
              </w:rPr>
            </w:pPr>
            <w:r>
              <w:rPr>
                <w:rFonts w:ascii="Arial" w:cs="Arial" w:eastAsia="Arial" w:hAnsi="Arial"/>
                <w:sz w:val="8"/>
                <w:szCs w:val="8"/>
                <w:color w:val="auto"/>
              </w:rPr>
              <w:t>(912,744)</w:t>
            </w:r>
          </w:p>
        </w:tc>
        <w:tc>
          <w:tcPr>
            <w:tcW w:w="760" w:type="dxa"/>
            <w:vAlign w:val="bottom"/>
          </w:tcPr>
          <w:p>
            <w:pPr>
              <w:jc w:val="center"/>
              <w:spacing w:after="0"/>
              <w:rPr>
                <w:sz w:val="20"/>
                <w:szCs w:val="20"/>
                <w:color w:val="auto"/>
              </w:rPr>
            </w:pPr>
            <w:r>
              <w:rPr>
                <w:rFonts w:ascii="Arial" w:cs="Arial" w:eastAsia="Arial" w:hAnsi="Arial"/>
                <w:sz w:val="8"/>
                <w:szCs w:val="8"/>
                <w:color w:val="auto"/>
              </w:rPr>
              <w:t>(911,699)</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(904,173)</w:t>
            </w:r>
          </w:p>
        </w:tc>
        <w:tc>
          <w:tcPr>
            <w:tcW w:w="520" w:type="dxa"/>
            <w:vAlign w:val="bottom"/>
          </w:tcPr>
          <w:p>
            <w:pPr>
              <w:jc w:val="center"/>
              <w:spacing w:after="0"/>
              <w:rPr>
                <w:sz w:val="20"/>
                <w:szCs w:val="20"/>
                <w:color w:val="auto"/>
              </w:rPr>
            </w:pPr>
            <w:r>
              <w:rPr>
                <w:rFonts w:ascii="Arial" w:cs="Arial" w:eastAsia="Arial" w:hAnsi="Arial"/>
                <w:sz w:val="8"/>
                <w:szCs w:val="8"/>
                <w:color w:val="auto"/>
              </w:rPr>
              <w:t>-0.8%</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-0.9%</w:t>
            </w:r>
          </w:p>
        </w:tc>
        <w:tc>
          <w:tcPr>
            <w:tcW w:w="600" w:type="dxa"/>
            <w:vAlign w:val="bottom"/>
          </w:tcPr>
          <w:p>
            <w:pPr>
              <w:jc w:val="center"/>
              <w:ind w:left="79"/>
              <w:spacing w:after="0"/>
              <w:rPr>
                <w:sz w:val="20"/>
                <w:szCs w:val="20"/>
                <w:color w:val="auto"/>
              </w:rPr>
            </w:pPr>
            <w:r>
              <w:rPr>
                <w:rFonts w:ascii="Arial" w:cs="Arial" w:eastAsia="Arial" w:hAnsi="Arial"/>
                <w:sz w:val="8"/>
                <w:szCs w:val="8"/>
                <w:color w:val="auto"/>
              </w:rPr>
              <w:t>(1,729,800)</w:t>
            </w:r>
          </w:p>
        </w:tc>
        <w:tc>
          <w:tcPr>
            <w:tcW w:w="900" w:type="dxa"/>
            <w:vAlign w:val="bottom"/>
            <w:tcBorders>
              <w:right w:val="single" w:sz="8" w:color="auto"/>
            </w:tcBorders>
          </w:tcPr>
          <w:p>
            <w:pPr>
              <w:jc w:val="center"/>
              <w:ind w:left="79"/>
              <w:spacing w:after="0"/>
              <w:rPr>
                <w:sz w:val="20"/>
                <w:szCs w:val="20"/>
                <w:color w:val="auto"/>
              </w:rPr>
            </w:pPr>
            <w:r>
              <w:rPr>
                <w:rFonts w:ascii="Arial" w:cs="Arial" w:eastAsia="Arial" w:hAnsi="Arial"/>
                <w:sz w:val="8"/>
                <w:szCs w:val="8"/>
                <w:color w:val="auto"/>
              </w:rPr>
              <w:t>(1,815,872)</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5.0%</w:t>
            </w:r>
          </w:p>
        </w:tc>
      </w:tr>
      <w:tr>
        <w:trPr>
          <w:trHeight w:val="112"/>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8"/>
                <w:szCs w:val="8"/>
                <w:b w:val="1"/>
                <w:bCs w:val="1"/>
                <w:color w:val="auto"/>
              </w:rPr>
              <w:t>Net interest, similar income and expenses</w:t>
            </w:r>
          </w:p>
        </w:tc>
        <w:tc>
          <w:tcPr>
            <w:tcW w:w="740" w:type="dxa"/>
            <w:vAlign w:val="bottom"/>
          </w:tcPr>
          <w:p>
            <w:pPr>
              <w:jc w:val="center"/>
              <w:spacing w:after="0"/>
              <w:rPr>
                <w:sz w:val="20"/>
                <w:szCs w:val="20"/>
                <w:color w:val="auto"/>
              </w:rPr>
            </w:pPr>
            <w:r>
              <w:rPr>
                <w:rFonts w:ascii="Arial" w:cs="Arial" w:eastAsia="Arial" w:hAnsi="Arial"/>
                <w:sz w:val="8"/>
                <w:szCs w:val="8"/>
                <w:b w:val="1"/>
                <w:bCs w:val="1"/>
                <w:color w:val="auto"/>
              </w:rPr>
              <w:t>2,410,493</w:t>
            </w:r>
          </w:p>
        </w:tc>
        <w:tc>
          <w:tcPr>
            <w:tcW w:w="760" w:type="dxa"/>
            <w:vAlign w:val="bottom"/>
          </w:tcPr>
          <w:p>
            <w:pPr>
              <w:jc w:val="center"/>
              <w:spacing w:after="0"/>
              <w:rPr>
                <w:sz w:val="20"/>
                <w:szCs w:val="20"/>
                <w:color w:val="auto"/>
              </w:rPr>
            </w:pPr>
            <w:r>
              <w:rPr>
                <w:rFonts w:ascii="Arial" w:cs="Arial" w:eastAsia="Arial" w:hAnsi="Arial"/>
                <w:sz w:val="8"/>
                <w:szCs w:val="8"/>
                <w:b w:val="1"/>
                <w:bCs w:val="1"/>
                <w:color w:val="auto"/>
              </w:rPr>
              <w:t>2,611,008</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2,661,783</w:t>
            </w:r>
          </w:p>
        </w:tc>
        <w:tc>
          <w:tcPr>
            <w:tcW w:w="520" w:type="dxa"/>
            <w:vAlign w:val="bottom"/>
          </w:tcPr>
          <w:p>
            <w:pPr>
              <w:jc w:val="center"/>
              <w:spacing w:after="0"/>
              <w:rPr>
                <w:sz w:val="20"/>
                <w:szCs w:val="20"/>
                <w:color w:val="auto"/>
              </w:rPr>
            </w:pPr>
            <w:r>
              <w:rPr>
                <w:rFonts w:ascii="Arial" w:cs="Arial" w:eastAsia="Arial" w:hAnsi="Arial"/>
                <w:sz w:val="8"/>
                <w:szCs w:val="8"/>
                <w:b w:val="1"/>
                <w:bCs w:val="1"/>
                <w:color w:val="auto"/>
              </w:rPr>
              <w:t>1.9%</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6"/>
              </w:rPr>
              <w:t>10.4%</w:t>
            </w:r>
          </w:p>
        </w:tc>
        <w:tc>
          <w:tcPr>
            <w:tcW w:w="600" w:type="dxa"/>
            <w:vAlign w:val="bottom"/>
          </w:tcPr>
          <w:p>
            <w:pPr>
              <w:jc w:val="center"/>
              <w:ind w:left="79"/>
              <w:spacing w:after="0"/>
              <w:rPr>
                <w:sz w:val="20"/>
                <w:szCs w:val="20"/>
                <w:color w:val="auto"/>
              </w:rPr>
            </w:pPr>
            <w:r>
              <w:rPr>
                <w:rFonts w:ascii="Arial" w:cs="Arial" w:eastAsia="Arial" w:hAnsi="Arial"/>
                <w:sz w:val="8"/>
                <w:szCs w:val="8"/>
                <w:b w:val="1"/>
                <w:bCs w:val="1"/>
                <w:color w:val="auto"/>
              </w:rPr>
              <w:t>4,798,946</w:t>
            </w:r>
          </w:p>
        </w:tc>
        <w:tc>
          <w:tcPr>
            <w:tcW w:w="900" w:type="dxa"/>
            <w:vAlign w:val="bottom"/>
            <w:tcBorders>
              <w:right w:val="single" w:sz="8" w:color="auto"/>
            </w:tcBorders>
          </w:tcPr>
          <w:p>
            <w:pPr>
              <w:jc w:val="center"/>
              <w:ind w:left="59"/>
              <w:spacing w:after="0"/>
              <w:rPr>
                <w:sz w:val="20"/>
                <w:szCs w:val="20"/>
                <w:color w:val="auto"/>
              </w:rPr>
            </w:pPr>
            <w:r>
              <w:rPr>
                <w:rFonts w:ascii="Arial" w:cs="Arial" w:eastAsia="Arial" w:hAnsi="Arial"/>
                <w:sz w:val="8"/>
                <w:szCs w:val="8"/>
                <w:b w:val="1"/>
                <w:bCs w:val="1"/>
                <w:color w:val="auto"/>
              </w:rPr>
              <w:t>5,272,791</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9.9%</w:t>
            </w:r>
          </w:p>
        </w:tc>
      </w:tr>
      <w:tr>
        <w:trPr>
          <w:trHeight w:val="165"/>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8"/>
                <w:szCs w:val="8"/>
                <w:color w:val="auto"/>
              </w:rPr>
              <w:t>Provision for credit losses on loan portfolio</w:t>
            </w:r>
          </w:p>
        </w:tc>
        <w:tc>
          <w:tcPr>
            <w:tcW w:w="740" w:type="dxa"/>
            <w:vAlign w:val="bottom"/>
          </w:tcPr>
          <w:p>
            <w:pPr>
              <w:jc w:val="center"/>
              <w:spacing w:after="0"/>
              <w:rPr>
                <w:sz w:val="20"/>
                <w:szCs w:val="20"/>
                <w:color w:val="auto"/>
              </w:rPr>
            </w:pPr>
            <w:r>
              <w:rPr>
                <w:rFonts w:ascii="Arial" w:cs="Arial" w:eastAsia="Arial" w:hAnsi="Arial"/>
                <w:sz w:val="8"/>
                <w:szCs w:val="8"/>
                <w:color w:val="auto"/>
              </w:rPr>
              <w:t>(657,546)</w:t>
            </w:r>
          </w:p>
        </w:tc>
        <w:tc>
          <w:tcPr>
            <w:tcW w:w="760" w:type="dxa"/>
            <w:vAlign w:val="bottom"/>
          </w:tcPr>
          <w:p>
            <w:pPr>
              <w:jc w:val="center"/>
              <w:spacing w:after="0"/>
              <w:rPr>
                <w:sz w:val="20"/>
                <w:szCs w:val="20"/>
                <w:color w:val="auto"/>
              </w:rPr>
            </w:pPr>
            <w:r>
              <w:rPr>
                <w:rFonts w:ascii="Arial" w:cs="Arial" w:eastAsia="Arial" w:hAnsi="Arial"/>
                <w:sz w:val="8"/>
                <w:szCs w:val="8"/>
                <w:color w:val="auto"/>
              </w:rPr>
              <w:t>(657,384)</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(844,236)</w:t>
            </w:r>
          </w:p>
        </w:tc>
        <w:tc>
          <w:tcPr>
            <w:tcW w:w="520" w:type="dxa"/>
            <w:vAlign w:val="bottom"/>
          </w:tcPr>
          <w:p>
            <w:pPr>
              <w:jc w:val="center"/>
              <w:spacing w:after="0"/>
              <w:rPr>
                <w:sz w:val="20"/>
                <w:szCs w:val="20"/>
                <w:color w:val="auto"/>
              </w:rPr>
            </w:pPr>
            <w:r>
              <w:rPr>
                <w:rFonts w:ascii="Arial" w:cs="Arial" w:eastAsia="Arial" w:hAnsi="Arial"/>
                <w:sz w:val="8"/>
                <w:szCs w:val="8"/>
                <w:color w:val="auto"/>
              </w:rPr>
              <w:t>28.4%</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28.4%</w:t>
            </w:r>
          </w:p>
        </w:tc>
        <w:tc>
          <w:tcPr>
            <w:tcW w:w="600" w:type="dxa"/>
            <w:vAlign w:val="bottom"/>
          </w:tcPr>
          <w:p>
            <w:pPr>
              <w:jc w:val="center"/>
              <w:ind w:left="79"/>
              <w:spacing w:after="0"/>
              <w:rPr>
                <w:sz w:val="20"/>
                <w:szCs w:val="20"/>
                <w:color w:val="auto"/>
              </w:rPr>
            </w:pPr>
            <w:r>
              <w:rPr>
                <w:rFonts w:ascii="Arial" w:cs="Arial" w:eastAsia="Arial" w:hAnsi="Arial"/>
                <w:sz w:val="8"/>
                <w:szCs w:val="8"/>
                <w:color w:val="auto"/>
              </w:rPr>
              <w:t>(1,189,738)</w:t>
            </w:r>
          </w:p>
        </w:tc>
        <w:tc>
          <w:tcPr>
            <w:tcW w:w="900" w:type="dxa"/>
            <w:vAlign w:val="bottom"/>
            <w:tcBorders>
              <w:right w:val="single" w:sz="8" w:color="auto"/>
            </w:tcBorders>
          </w:tcPr>
          <w:p>
            <w:pPr>
              <w:jc w:val="center"/>
              <w:ind w:left="79"/>
              <w:spacing w:after="0"/>
              <w:rPr>
                <w:sz w:val="20"/>
                <w:szCs w:val="20"/>
                <w:color w:val="auto"/>
              </w:rPr>
            </w:pPr>
            <w:r>
              <w:rPr>
                <w:rFonts w:ascii="Arial" w:cs="Arial" w:eastAsia="Arial" w:hAnsi="Arial"/>
                <w:sz w:val="8"/>
                <w:szCs w:val="8"/>
                <w:color w:val="auto"/>
              </w:rPr>
              <w:t>(1,501,620)</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26.2%</w:t>
            </w:r>
          </w:p>
        </w:tc>
      </w:tr>
      <w:tr>
        <w:trPr>
          <w:trHeight w:val="93"/>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8"/>
                <w:szCs w:val="8"/>
                <w:color w:val="auto"/>
              </w:rPr>
              <w:t>Recoveries of written-off loans</w:t>
            </w:r>
          </w:p>
        </w:tc>
        <w:tc>
          <w:tcPr>
            <w:tcW w:w="740" w:type="dxa"/>
            <w:vAlign w:val="bottom"/>
          </w:tcPr>
          <w:p>
            <w:pPr>
              <w:jc w:val="center"/>
              <w:spacing w:after="0"/>
              <w:rPr>
                <w:sz w:val="20"/>
                <w:szCs w:val="20"/>
                <w:color w:val="auto"/>
              </w:rPr>
            </w:pPr>
            <w:r>
              <w:rPr>
                <w:rFonts w:ascii="Arial" w:cs="Arial" w:eastAsia="Arial" w:hAnsi="Arial"/>
                <w:sz w:val="8"/>
                <w:szCs w:val="8"/>
                <w:color w:val="auto"/>
                <w:w w:val="97"/>
              </w:rPr>
              <w:t>53,892</w:t>
            </w:r>
          </w:p>
        </w:tc>
        <w:tc>
          <w:tcPr>
            <w:tcW w:w="760" w:type="dxa"/>
            <w:vAlign w:val="bottom"/>
          </w:tcPr>
          <w:p>
            <w:pPr>
              <w:jc w:val="center"/>
              <w:spacing w:after="0"/>
              <w:rPr>
                <w:sz w:val="20"/>
                <w:szCs w:val="20"/>
                <w:color w:val="auto"/>
              </w:rPr>
            </w:pPr>
            <w:r>
              <w:rPr>
                <w:rFonts w:ascii="Arial" w:cs="Arial" w:eastAsia="Arial" w:hAnsi="Arial"/>
                <w:sz w:val="8"/>
                <w:szCs w:val="8"/>
                <w:color w:val="auto"/>
                <w:w w:val="97"/>
              </w:rPr>
              <w:t>55,320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7"/>
              </w:rPr>
              <w:t>64,914</w:t>
            </w:r>
          </w:p>
        </w:tc>
        <w:tc>
          <w:tcPr>
            <w:tcW w:w="520" w:type="dxa"/>
            <w:vAlign w:val="bottom"/>
          </w:tcPr>
          <w:p>
            <w:pPr>
              <w:jc w:val="center"/>
              <w:spacing w:after="0"/>
              <w:rPr>
                <w:sz w:val="20"/>
                <w:szCs w:val="20"/>
                <w:color w:val="auto"/>
              </w:rPr>
            </w:pPr>
            <w:r>
              <w:rPr>
                <w:rFonts w:ascii="Arial" w:cs="Arial" w:eastAsia="Arial" w:hAnsi="Arial"/>
                <w:sz w:val="8"/>
                <w:szCs w:val="8"/>
                <w:color w:val="auto"/>
              </w:rPr>
              <w:t>17.3%</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20.5%</w:t>
            </w:r>
          </w:p>
        </w:tc>
        <w:tc>
          <w:tcPr>
            <w:tcW w:w="600" w:type="dxa"/>
            <w:vAlign w:val="bottom"/>
          </w:tcPr>
          <w:p>
            <w:pPr>
              <w:jc w:val="center"/>
              <w:ind w:left="79"/>
              <w:spacing w:after="0"/>
              <w:rPr>
                <w:sz w:val="20"/>
                <w:szCs w:val="20"/>
                <w:color w:val="auto"/>
              </w:rPr>
            </w:pPr>
            <w:r>
              <w:rPr>
                <w:rFonts w:ascii="Arial" w:cs="Arial" w:eastAsia="Arial" w:hAnsi="Arial"/>
                <w:sz w:val="8"/>
                <w:szCs w:val="8"/>
                <w:color w:val="auto"/>
                <w:w w:val="96"/>
              </w:rPr>
              <w:t>101,309</w:t>
            </w:r>
          </w:p>
        </w:tc>
        <w:tc>
          <w:tcPr>
            <w:tcW w:w="900" w:type="dxa"/>
            <w:vAlign w:val="bottom"/>
            <w:tcBorders>
              <w:right w:val="single" w:sz="8" w:color="auto"/>
            </w:tcBorders>
          </w:tcPr>
          <w:p>
            <w:pPr>
              <w:jc w:val="center"/>
              <w:ind w:left="79"/>
              <w:spacing w:after="0"/>
              <w:rPr>
                <w:sz w:val="20"/>
                <w:szCs w:val="20"/>
                <w:color w:val="auto"/>
              </w:rPr>
            </w:pPr>
            <w:r>
              <w:rPr>
                <w:rFonts w:ascii="Arial" w:cs="Arial" w:eastAsia="Arial" w:hAnsi="Arial"/>
                <w:sz w:val="8"/>
                <w:szCs w:val="8"/>
                <w:color w:val="auto"/>
              </w:rPr>
              <w:t>120,234</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18.7%</w:t>
            </w:r>
          </w:p>
        </w:tc>
      </w:tr>
      <w:tr>
        <w:trPr>
          <w:trHeight w:val="112"/>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8"/>
                <w:szCs w:val="8"/>
                <w:b w:val="1"/>
                <w:bCs w:val="1"/>
                <w:color w:val="auto"/>
              </w:rPr>
              <w:t>Provision for credit losses on loan portfolio, net of recoveries</w:t>
            </w:r>
          </w:p>
        </w:tc>
        <w:tc>
          <w:tcPr>
            <w:tcW w:w="740" w:type="dxa"/>
            <w:vAlign w:val="bottom"/>
          </w:tcPr>
          <w:p>
            <w:pPr>
              <w:jc w:val="center"/>
              <w:spacing w:after="0"/>
              <w:rPr>
                <w:sz w:val="20"/>
                <w:szCs w:val="20"/>
                <w:color w:val="auto"/>
              </w:rPr>
            </w:pPr>
            <w:r>
              <w:rPr>
                <w:rFonts w:ascii="Arial" w:cs="Arial" w:eastAsia="Arial" w:hAnsi="Arial"/>
                <w:sz w:val="8"/>
                <w:szCs w:val="8"/>
                <w:b w:val="1"/>
                <w:bCs w:val="1"/>
                <w:color w:val="auto"/>
              </w:rPr>
              <w:t>(603,654)</w:t>
            </w:r>
          </w:p>
        </w:tc>
        <w:tc>
          <w:tcPr>
            <w:tcW w:w="760" w:type="dxa"/>
            <w:vAlign w:val="bottom"/>
          </w:tcPr>
          <w:p>
            <w:pPr>
              <w:jc w:val="center"/>
              <w:spacing w:after="0"/>
              <w:rPr>
                <w:sz w:val="20"/>
                <w:szCs w:val="20"/>
                <w:color w:val="auto"/>
              </w:rPr>
            </w:pPr>
            <w:r>
              <w:rPr>
                <w:rFonts w:ascii="Arial" w:cs="Arial" w:eastAsia="Arial" w:hAnsi="Arial"/>
                <w:sz w:val="8"/>
                <w:szCs w:val="8"/>
                <w:b w:val="1"/>
                <w:bCs w:val="1"/>
                <w:color w:val="auto"/>
              </w:rPr>
              <w:t>(602,064)</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(779,322)</w:t>
            </w:r>
          </w:p>
        </w:tc>
        <w:tc>
          <w:tcPr>
            <w:tcW w:w="520" w:type="dxa"/>
            <w:vAlign w:val="bottom"/>
          </w:tcPr>
          <w:p>
            <w:pPr>
              <w:jc w:val="center"/>
              <w:spacing w:after="0"/>
              <w:rPr>
                <w:sz w:val="20"/>
                <w:szCs w:val="20"/>
                <w:color w:val="auto"/>
              </w:rPr>
            </w:pPr>
            <w:r>
              <w:rPr>
                <w:rFonts w:ascii="Arial" w:cs="Arial" w:eastAsia="Arial" w:hAnsi="Arial"/>
                <w:sz w:val="8"/>
                <w:szCs w:val="8"/>
                <w:b w:val="1"/>
                <w:bCs w:val="1"/>
                <w:color w:val="auto"/>
              </w:rPr>
              <w:t>29.4%</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6"/>
              </w:rPr>
              <w:t>29.1%</w:t>
            </w:r>
          </w:p>
        </w:tc>
        <w:tc>
          <w:tcPr>
            <w:tcW w:w="600" w:type="dxa"/>
            <w:vAlign w:val="bottom"/>
          </w:tcPr>
          <w:p>
            <w:pPr>
              <w:jc w:val="center"/>
              <w:ind w:left="79"/>
              <w:spacing w:after="0"/>
              <w:rPr>
                <w:sz w:val="20"/>
                <w:szCs w:val="20"/>
                <w:color w:val="auto"/>
              </w:rPr>
            </w:pPr>
            <w:r>
              <w:rPr>
                <w:rFonts w:ascii="Arial" w:cs="Arial" w:eastAsia="Arial" w:hAnsi="Arial"/>
                <w:sz w:val="8"/>
                <w:szCs w:val="8"/>
                <w:b w:val="1"/>
                <w:bCs w:val="1"/>
                <w:color w:val="auto"/>
              </w:rPr>
              <w:t>(1,088,429)</w:t>
            </w:r>
          </w:p>
        </w:tc>
        <w:tc>
          <w:tcPr>
            <w:tcW w:w="900" w:type="dxa"/>
            <w:vAlign w:val="bottom"/>
            <w:tcBorders>
              <w:right w:val="single" w:sz="8" w:color="auto"/>
            </w:tcBorders>
          </w:tcPr>
          <w:p>
            <w:pPr>
              <w:jc w:val="center"/>
              <w:ind w:left="79"/>
              <w:spacing w:after="0"/>
              <w:rPr>
                <w:sz w:val="20"/>
                <w:szCs w:val="20"/>
                <w:color w:val="auto"/>
              </w:rPr>
            </w:pPr>
            <w:r>
              <w:rPr>
                <w:rFonts w:ascii="Arial" w:cs="Arial" w:eastAsia="Arial" w:hAnsi="Arial"/>
                <w:sz w:val="8"/>
                <w:szCs w:val="8"/>
                <w:b w:val="1"/>
                <w:bCs w:val="1"/>
                <w:color w:val="auto"/>
              </w:rPr>
              <w:t>(1,381,386)</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6"/>
              </w:rPr>
              <w:t>26.9%</w:t>
            </w:r>
          </w:p>
        </w:tc>
      </w:tr>
      <w:tr>
        <w:trPr>
          <w:trHeight w:val="165"/>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8"/>
                <w:szCs w:val="8"/>
                <w:b w:val="1"/>
                <w:bCs w:val="1"/>
                <w:color w:val="auto"/>
              </w:rPr>
              <w:t>Net interest, similar income and expenses,</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r>
      <w:tr>
        <w:trPr>
          <w:trHeight w:val="112"/>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8"/>
                <w:szCs w:val="8"/>
                <w:b w:val="1"/>
                <w:bCs w:val="1"/>
                <w:color w:val="auto"/>
              </w:rPr>
              <w:t>after provision for credit losses on loan portfolio</w:t>
            </w:r>
          </w:p>
        </w:tc>
        <w:tc>
          <w:tcPr>
            <w:tcW w:w="740" w:type="dxa"/>
            <w:vAlign w:val="bottom"/>
          </w:tcPr>
          <w:p>
            <w:pPr>
              <w:jc w:val="center"/>
              <w:spacing w:after="0"/>
              <w:rPr>
                <w:sz w:val="20"/>
                <w:szCs w:val="20"/>
                <w:color w:val="auto"/>
              </w:rPr>
            </w:pPr>
            <w:r>
              <w:rPr>
                <w:rFonts w:ascii="Arial" w:cs="Arial" w:eastAsia="Arial" w:hAnsi="Arial"/>
                <w:sz w:val="8"/>
                <w:szCs w:val="8"/>
                <w:b w:val="1"/>
                <w:bCs w:val="1"/>
                <w:color w:val="auto"/>
              </w:rPr>
              <w:t>1,806,839</w:t>
            </w:r>
          </w:p>
        </w:tc>
        <w:tc>
          <w:tcPr>
            <w:tcW w:w="760" w:type="dxa"/>
            <w:vAlign w:val="bottom"/>
          </w:tcPr>
          <w:p>
            <w:pPr>
              <w:jc w:val="center"/>
              <w:spacing w:after="0"/>
              <w:rPr>
                <w:sz w:val="20"/>
                <w:szCs w:val="20"/>
                <w:color w:val="auto"/>
              </w:rPr>
            </w:pPr>
            <w:r>
              <w:rPr>
                <w:rFonts w:ascii="Arial" w:cs="Arial" w:eastAsia="Arial" w:hAnsi="Arial"/>
                <w:sz w:val="8"/>
                <w:szCs w:val="8"/>
                <w:b w:val="1"/>
                <w:bCs w:val="1"/>
                <w:color w:val="auto"/>
              </w:rPr>
              <w:t>2,008,944</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1,882,461</w:t>
            </w:r>
          </w:p>
        </w:tc>
        <w:tc>
          <w:tcPr>
            <w:tcW w:w="520" w:type="dxa"/>
            <w:vAlign w:val="bottom"/>
          </w:tcPr>
          <w:p>
            <w:pPr>
              <w:jc w:val="center"/>
              <w:spacing w:after="0"/>
              <w:rPr>
                <w:sz w:val="20"/>
                <w:szCs w:val="20"/>
                <w:color w:val="auto"/>
              </w:rPr>
            </w:pPr>
            <w:r>
              <w:rPr>
                <w:rFonts w:ascii="Arial" w:cs="Arial" w:eastAsia="Arial" w:hAnsi="Arial"/>
                <w:sz w:val="8"/>
                <w:szCs w:val="8"/>
                <w:b w:val="1"/>
                <w:bCs w:val="1"/>
                <w:color w:val="auto"/>
              </w:rPr>
              <w:t>-6.3%</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4.2%</w:t>
            </w:r>
          </w:p>
        </w:tc>
        <w:tc>
          <w:tcPr>
            <w:tcW w:w="600" w:type="dxa"/>
            <w:vAlign w:val="bottom"/>
          </w:tcPr>
          <w:p>
            <w:pPr>
              <w:jc w:val="center"/>
              <w:ind w:left="79"/>
              <w:spacing w:after="0"/>
              <w:rPr>
                <w:sz w:val="20"/>
                <w:szCs w:val="20"/>
                <w:color w:val="auto"/>
              </w:rPr>
            </w:pPr>
            <w:r>
              <w:rPr>
                <w:rFonts w:ascii="Arial" w:cs="Arial" w:eastAsia="Arial" w:hAnsi="Arial"/>
                <w:sz w:val="8"/>
                <w:szCs w:val="8"/>
                <w:b w:val="1"/>
                <w:bCs w:val="1"/>
                <w:color w:val="auto"/>
              </w:rPr>
              <w:t>3,710,517</w:t>
            </w:r>
          </w:p>
        </w:tc>
        <w:tc>
          <w:tcPr>
            <w:tcW w:w="900" w:type="dxa"/>
            <w:vAlign w:val="bottom"/>
            <w:tcBorders>
              <w:right w:val="single" w:sz="8" w:color="auto"/>
            </w:tcBorders>
          </w:tcPr>
          <w:p>
            <w:pPr>
              <w:jc w:val="center"/>
              <w:ind w:left="59"/>
              <w:spacing w:after="0"/>
              <w:rPr>
                <w:sz w:val="20"/>
                <w:szCs w:val="20"/>
                <w:color w:val="auto"/>
              </w:rPr>
            </w:pPr>
            <w:r>
              <w:rPr>
                <w:rFonts w:ascii="Arial" w:cs="Arial" w:eastAsia="Arial" w:hAnsi="Arial"/>
                <w:sz w:val="8"/>
                <w:szCs w:val="8"/>
                <w:b w:val="1"/>
                <w:bCs w:val="1"/>
                <w:color w:val="auto"/>
              </w:rPr>
              <w:t>3,891,405</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4.9%</w:t>
            </w:r>
          </w:p>
        </w:tc>
      </w:tr>
      <w:tr>
        <w:trPr>
          <w:trHeight w:val="165"/>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8"/>
                <w:szCs w:val="8"/>
                <w:b w:val="1"/>
                <w:bCs w:val="1"/>
                <w:color w:val="auto"/>
              </w:rPr>
              <w:t>Other income</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r>
      <w:tr>
        <w:trPr>
          <w:trHeight w:val="93"/>
        </w:trPr>
        <w:tc>
          <w:tcPr>
            <w:tcW w:w="53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Fee income</w:t>
            </w:r>
          </w:p>
        </w:tc>
        <w:tc>
          <w:tcPr>
            <w:tcW w:w="740" w:type="dxa"/>
            <w:vAlign w:val="bottom"/>
          </w:tcPr>
          <w:p>
            <w:pPr>
              <w:jc w:val="center"/>
              <w:spacing w:after="0"/>
              <w:rPr>
                <w:sz w:val="20"/>
                <w:szCs w:val="20"/>
                <w:color w:val="auto"/>
              </w:rPr>
            </w:pPr>
            <w:r>
              <w:rPr>
                <w:rFonts w:ascii="Arial" w:cs="Arial" w:eastAsia="Arial" w:hAnsi="Arial"/>
                <w:sz w:val="8"/>
                <w:szCs w:val="8"/>
                <w:color w:val="auto"/>
              </w:rPr>
              <w:t>723,231</w:t>
            </w:r>
          </w:p>
        </w:tc>
        <w:tc>
          <w:tcPr>
            <w:tcW w:w="760" w:type="dxa"/>
            <w:vAlign w:val="bottom"/>
          </w:tcPr>
          <w:p>
            <w:pPr>
              <w:jc w:val="center"/>
              <w:spacing w:after="0"/>
              <w:rPr>
                <w:sz w:val="20"/>
                <w:szCs w:val="20"/>
                <w:color w:val="auto"/>
              </w:rPr>
            </w:pPr>
            <w:r>
              <w:rPr>
                <w:rFonts w:ascii="Arial" w:cs="Arial" w:eastAsia="Arial" w:hAnsi="Arial"/>
                <w:sz w:val="8"/>
                <w:szCs w:val="8"/>
                <w:color w:val="auto"/>
              </w:rPr>
              <w:t>771,463</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812,503</w:t>
            </w:r>
          </w:p>
        </w:tc>
        <w:tc>
          <w:tcPr>
            <w:tcW w:w="520" w:type="dxa"/>
            <w:vAlign w:val="bottom"/>
          </w:tcPr>
          <w:p>
            <w:pPr>
              <w:jc w:val="center"/>
              <w:spacing w:after="0"/>
              <w:rPr>
                <w:sz w:val="20"/>
                <w:szCs w:val="20"/>
                <w:color w:val="auto"/>
              </w:rPr>
            </w:pPr>
            <w:r>
              <w:rPr>
                <w:rFonts w:ascii="Arial" w:cs="Arial" w:eastAsia="Arial" w:hAnsi="Arial"/>
                <w:sz w:val="8"/>
                <w:szCs w:val="8"/>
                <w:color w:val="auto"/>
              </w:rPr>
              <w:t>5.3%</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12.3%</w:t>
            </w:r>
          </w:p>
        </w:tc>
        <w:tc>
          <w:tcPr>
            <w:tcW w:w="600" w:type="dxa"/>
            <w:vAlign w:val="bottom"/>
          </w:tcPr>
          <w:p>
            <w:pPr>
              <w:jc w:val="center"/>
              <w:ind w:left="79"/>
              <w:spacing w:after="0"/>
              <w:rPr>
                <w:sz w:val="20"/>
                <w:szCs w:val="20"/>
                <w:color w:val="auto"/>
              </w:rPr>
            </w:pPr>
            <w:r>
              <w:rPr>
                <w:rFonts w:ascii="Arial" w:cs="Arial" w:eastAsia="Arial" w:hAnsi="Arial"/>
                <w:sz w:val="8"/>
                <w:szCs w:val="8"/>
                <w:color w:val="auto"/>
              </w:rPr>
              <w:t>1,421,438</w:t>
            </w:r>
          </w:p>
        </w:tc>
        <w:tc>
          <w:tcPr>
            <w:tcW w:w="900" w:type="dxa"/>
            <w:vAlign w:val="bottom"/>
            <w:tcBorders>
              <w:right w:val="single" w:sz="8" w:color="auto"/>
            </w:tcBorders>
          </w:tcPr>
          <w:p>
            <w:pPr>
              <w:jc w:val="center"/>
              <w:ind w:left="59"/>
              <w:spacing w:after="0"/>
              <w:rPr>
                <w:sz w:val="20"/>
                <w:szCs w:val="20"/>
                <w:color w:val="auto"/>
              </w:rPr>
            </w:pPr>
            <w:r>
              <w:rPr>
                <w:rFonts w:ascii="Arial" w:cs="Arial" w:eastAsia="Arial" w:hAnsi="Arial"/>
                <w:sz w:val="8"/>
                <w:szCs w:val="8"/>
                <w:color w:val="auto"/>
              </w:rPr>
              <w:t>1,583,966</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11.4%</w:t>
            </w:r>
          </w:p>
        </w:tc>
      </w:tr>
      <w:tr>
        <w:trPr>
          <w:trHeight w:val="93"/>
        </w:trPr>
        <w:tc>
          <w:tcPr>
            <w:tcW w:w="53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Net gain on foreign exchange transactions</w:t>
            </w:r>
          </w:p>
        </w:tc>
        <w:tc>
          <w:tcPr>
            <w:tcW w:w="740" w:type="dxa"/>
            <w:vAlign w:val="bottom"/>
          </w:tcPr>
          <w:p>
            <w:pPr>
              <w:jc w:val="center"/>
              <w:spacing w:after="0"/>
              <w:rPr>
                <w:sz w:val="20"/>
                <w:szCs w:val="20"/>
                <w:color w:val="auto"/>
              </w:rPr>
            </w:pPr>
            <w:r>
              <w:rPr>
                <w:rFonts w:ascii="Arial" w:cs="Arial" w:eastAsia="Arial" w:hAnsi="Arial"/>
                <w:sz w:val="8"/>
                <w:szCs w:val="8"/>
                <w:color w:val="auto"/>
              </w:rPr>
              <w:t>244,314</w:t>
            </w:r>
          </w:p>
        </w:tc>
        <w:tc>
          <w:tcPr>
            <w:tcW w:w="760" w:type="dxa"/>
            <w:vAlign w:val="bottom"/>
          </w:tcPr>
          <w:p>
            <w:pPr>
              <w:jc w:val="center"/>
              <w:spacing w:after="0"/>
              <w:rPr>
                <w:sz w:val="20"/>
                <w:szCs w:val="20"/>
                <w:color w:val="auto"/>
              </w:rPr>
            </w:pPr>
            <w:r>
              <w:rPr>
                <w:rFonts w:ascii="Arial" w:cs="Arial" w:eastAsia="Arial" w:hAnsi="Arial"/>
                <w:sz w:val="8"/>
                <w:szCs w:val="8"/>
                <w:color w:val="auto"/>
              </w:rPr>
              <w:t>259,059</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289,381</w:t>
            </w:r>
          </w:p>
        </w:tc>
        <w:tc>
          <w:tcPr>
            <w:tcW w:w="520" w:type="dxa"/>
            <w:vAlign w:val="bottom"/>
          </w:tcPr>
          <w:p>
            <w:pPr>
              <w:jc w:val="center"/>
              <w:spacing w:after="0"/>
              <w:rPr>
                <w:sz w:val="20"/>
                <w:szCs w:val="20"/>
                <w:color w:val="auto"/>
              </w:rPr>
            </w:pPr>
            <w:r>
              <w:rPr>
                <w:rFonts w:ascii="Arial" w:cs="Arial" w:eastAsia="Arial" w:hAnsi="Arial"/>
                <w:sz w:val="8"/>
                <w:szCs w:val="8"/>
                <w:color w:val="auto"/>
              </w:rPr>
              <w:t>11.7%</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18.4%</w:t>
            </w:r>
          </w:p>
        </w:tc>
        <w:tc>
          <w:tcPr>
            <w:tcW w:w="600" w:type="dxa"/>
            <w:vAlign w:val="bottom"/>
          </w:tcPr>
          <w:p>
            <w:pPr>
              <w:jc w:val="center"/>
              <w:ind w:left="79"/>
              <w:spacing w:after="0"/>
              <w:rPr>
                <w:sz w:val="20"/>
                <w:szCs w:val="20"/>
                <w:color w:val="auto"/>
              </w:rPr>
            </w:pPr>
            <w:r>
              <w:rPr>
                <w:rFonts w:ascii="Arial" w:cs="Arial" w:eastAsia="Arial" w:hAnsi="Arial"/>
                <w:sz w:val="8"/>
                <w:szCs w:val="8"/>
                <w:color w:val="auto"/>
                <w:w w:val="96"/>
              </w:rPr>
              <w:t>483,861</w:t>
            </w:r>
          </w:p>
        </w:tc>
        <w:tc>
          <w:tcPr>
            <w:tcW w:w="900" w:type="dxa"/>
            <w:vAlign w:val="bottom"/>
            <w:tcBorders>
              <w:right w:val="single" w:sz="8" w:color="auto"/>
            </w:tcBorders>
          </w:tcPr>
          <w:p>
            <w:pPr>
              <w:jc w:val="center"/>
              <w:ind w:left="79"/>
              <w:spacing w:after="0"/>
              <w:rPr>
                <w:sz w:val="20"/>
                <w:szCs w:val="20"/>
                <w:color w:val="auto"/>
              </w:rPr>
            </w:pPr>
            <w:r>
              <w:rPr>
                <w:rFonts w:ascii="Arial" w:cs="Arial" w:eastAsia="Arial" w:hAnsi="Arial"/>
                <w:sz w:val="8"/>
                <w:szCs w:val="8"/>
                <w:color w:val="auto"/>
              </w:rPr>
              <w:t>548,440</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13.3%</w:t>
            </w:r>
          </w:p>
        </w:tc>
      </w:tr>
      <w:tr>
        <w:trPr>
          <w:trHeight w:val="93"/>
        </w:trPr>
        <w:tc>
          <w:tcPr>
            <w:tcW w:w="53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Net loss on securities</w:t>
            </w:r>
          </w:p>
        </w:tc>
        <w:tc>
          <w:tcPr>
            <w:tcW w:w="740" w:type="dxa"/>
            <w:vAlign w:val="bottom"/>
          </w:tcPr>
          <w:p>
            <w:pPr>
              <w:jc w:val="center"/>
              <w:spacing w:after="0"/>
              <w:rPr>
                <w:sz w:val="20"/>
                <w:szCs w:val="20"/>
                <w:color w:val="auto"/>
              </w:rPr>
            </w:pPr>
            <w:r>
              <w:rPr>
                <w:rFonts w:ascii="Arial" w:cs="Arial" w:eastAsia="Arial" w:hAnsi="Arial"/>
                <w:sz w:val="8"/>
                <w:szCs w:val="8"/>
                <w:color w:val="auto"/>
                <w:w w:val="97"/>
              </w:rPr>
              <w:t>36,377</w:t>
            </w:r>
          </w:p>
        </w:tc>
        <w:tc>
          <w:tcPr>
            <w:tcW w:w="760" w:type="dxa"/>
            <w:vAlign w:val="bottom"/>
          </w:tcPr>
          <w:p>
            <w:pPr>
              <w:jc w:val="center"/>
              <w:spacing w:after="0"/>
              <w:rPr>
                <w:sz w:val="20"/>
                <w:szCs w:val="20"/>
                <w:color w:val="auto"/>
              </w:rPr>
            </w:pPr>
            <w:r>
              <w:rPr>
                <w:rFonts w:ascii="Arial" w:cs="Arial" w:eastAsia="Arial" w:hAnsi="Arial"/>
                <w:sz w:val="8"/>
                <w:szCs w:val="8"/>
                <w:color w:val="auto"/>
                <w:w w:val="97"/>
              </w:rPr>
              <w:t>77,981</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7"/>
              </w:rPr>
              <w:t>66,080</w:t>
            </w:r>
          </w:p>
        </w:tc>
        <w:tc>
          <w:tcPr>
            <w:tcW w:w="520" w:type="dxa"/>
            <w:vAlign w:val="bottom"/>
          </w:tcPr>
          <w:p>
            <w:pPr>
              <w:jc w:val="center"/>
              <w:spacing w:after="0"/>
              <w:rPr>
                <w:sz w:val="20"/>
                <w:szCs w:val="20"/>
                <w:color w:val="auto"/>
              </w:rPr>
            </w:pPr>
            <w:r>
              <w:rPr>
                <w:rFonts w:ascii="Arial" w:cs="Arial" w:eastAsia="Arial" w:hAnsi="Arial"/>
                <w:sz w:val="8"/>
                <w:szCs w:val="8"/>
                <w:color w:val="auto"/>
              </w:rPr>
              <w:t>-15.3%</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81.7%</w:t>
            </w:r>
          </w:p>
        </w:tc>
        <w:tc>
          <w:tcPr>
            <w:tcW w:w="600" w:type="dxa"/>
            <w:vAlign w:val="bottom"/>
          </w:tcPr>
          <w:p>
            <w:pPr>
              <w:jc w:val="center"/>
              <w:ind w:left="79"/>
              <w:spacing w:after="0"/>
              <w:rPr>
                <w:sz w:val="20"/>
                <w:szCs w:val="20"/>
                <w:color w:val="auto"/>
              </w:rPr>
            </w:pPr>
            <w:r>
              <w:rPr>
                <w:rFonts w:ascii="Arial" w:cs="Arial" w:eastAsia="Arial" w:hAnsi="Arial"/>
                <w:sz w:val="8"/>
                <w:szCs w:val="8"/>
                <w:color w:val="auto"/>
                <w:w w:val="97"/>
              </w:rPr>
              <w:t>63,375</w:t>
            </w:r>
          </w:p>
        </w:tc>
        <w:tc>
          <w:tcPr>
            <w:tcW w:w="900" w:type="dxa"/>
            <w:vAlign w:val="bottom"/>
            <w:tcBorders>
              <w:right w:val="single" w:sz="8" w:color="auto"/>
            </w:tcBorders>
          </w:tcPr>
          <w:p>
            <w:pPr>
              <w:jc w:val="center"/>
              <w:ind w:left="79"/>
              <w:spacing w:after="0"/>
              <w:rPr>
                <w:sz w:val="20"/>
                <w:szCs w:val="20"/>
                <w:color w:val="auto"/>
              </w:rPr>
            </w:pPr>
            <w:r>
              <w:rPr>
                <w:rFonts w:ascii="Arial" w:cs="Arial" w:eastAsia="Arial" w:hAnsi="Arial"/>
                <w:sz w:val="8"/>
                <w:szCs w:val="8"/>
                <w:color w:val="auto"/>
              </w:rPr>
              <w:t>144,061</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5"/>
              </w:rPr>
              <w:t>127.3%</w:t>
            </w:r>
          </w:p>
        </w:tc>
      </w:tr>
      <w:tr>
        <w:trPr>
          <w:trHeight w:val="93"/>
        </w:trPr>
        <w:tc>
          <w:tcPr>
            <w:tcW w:w="53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Net gain (loss) from associates</w:t>
            </w:r>
          </w:p>
        </w:tc>
        <w:tc>
          <w:tcPr>
            <w:tcW w:w="740" w:type="dxa"/>
            <w:vAlign w:val="bottom"/>
          </w:tcPr>
          <w:p>
            <w:pPr>
              <w:jc w:val="center"/>
              <w:spacing w:after="0"/>
              <w:rPr>
                <w:sz w:val="20"/>
                <w:szCs w:val="20"/>
                <w:color w:val="auto"/>
              </w:rPr>
            </w:pPr>
            <w:r>
              <w:rPr>
                <w:rFonts w:ascii="Arial" w:cs="Arial" w:eastAsia="Arial" w:hAnsi="Arial"/>
                <w:sz w:val="8"/>
                <w:szCs w:val="8"/>
                <w:color w:val="auto"/>
              </w:rPr>
              <w:t>(1,355)</w:t>
            </w:r>
          </w:p>
        </w:tc>
        <w:tc>
          <w:tcPr>
            <w:tcW w:w="760" w:type="dxa"/>
            <w:vAlign w:val="bottom"/>
          </w:tcPr>
          <w:p>
            <w:pPr>
              <w:jc w:val="center"/>
              <w:spacing w:after="0"/>
              <w:rPr>
                <w:sz w:val="20"/>
                <w:szCs w:val="20"/>
                <w:color w:val="auto"/>
              </w:rPr>
            </w:pPr>
            <w:r>
              <w:rPr>
                <w:rFonts w:ascii="Arial" w:cs="Arial" w:eastAsia="Arial" w:hAnsi="Arial"/>
                <w:sz w:val="8"/>
                <w:szCs w:val="8"/>
                <w:color w:val="auto"/>
              </w:rPr>
              <w:t>(535)</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2,647</w:t>
            </w:r>
          </w:p>
        </w:tc>
        <w:tc>
          <w:tcPr>
            <w:tcW w:w="520" w:type="dxa"/>
            <w:vAlign w:val="bottom"/>
          </w:tcPr>
          <w:p>
            <w:pPr>
              <w:jc w:val="center"/>
              <w:spacing w:after="0"/>
              <w:rPr>
                <w:sz w:val="20"/>
                <w:szCs w:val="20"/>
                <w:color w:val="auto"/>
              </w:rPr>
            </w:pPr>
            <w:r>
              <w:rPr>
                <w:rFonts w:ascii="Arial" w:cs="Arial" w:eastAsia="Arial" w:hAnsi="Arial"/>
                <w:sz w:val="8"/>
                <w:szCs w:val="8"/>
                <w:color w:val="auto"/>
              </w:rPr>
              <w:t>n.a.</w:t>
            </w:r>
          </w:p>
        </w:tc>
        <w:tc>
          <w:tcPr>
            <w:tcW w:w="560" w:type="dxa"/>
            <w:vAlign w:val="bottom"/>
            <w:tcBorders>
              <w:right w:val="single" w:sz="8" w:color="auto"/>
            </w:tcBorders>
          </w:tcPr>
          <w:p>
            <w:pPr>
              <w:ind w:left="200"/>
              <w:spacing w:after="0"/>
              <w:rPr>
                <w:sz w:val="20"/>
                <w:szCs w:val="20"/>
                <w:color w:val="auto"/>
              </w:rPr>
            </w:pPr>
            <w:r>
              <w:rPr>
                <w:rFonts w:ascii="Arial" w:cs="Arial" w:eastAsia="Arial" w:hAnsi="Arial"/>
                <w:sz w:val="8"/>
                <w:szCs w:val="8"/>
                <w:color w:val="auto"/>
              </w:rPr>
              <w:t>n.a.</w:t>
            </w:r>
          </w:p>
        </w:tc>
        <w:tc>
          <w:tcPr>
            <w:tcW w:w="600" w:type="dxa"/>
            <w:vAlign w:val="bottom"/>
          </w:tcPr>
          <w:p>
            <w:pPr>
              <w:jc w:val="center"/>
              <w:ind w:left="79"/>
              <w:spacing w:after="0"/>
              <w:rPr>
                <w:sz w:val="20"/>
                <w:szCs w:val="20"/>
                <w:color w:val="auto"/>
              </w:rPr>
            </w:pPr>
            <w:r>
              <w:rPr>
                <w:rFonts w:ascii="Arial" w:cs="Arial" w:eastAsia="Arial" w:hAnsi="Arial"/>
                <w:sz w:val="8"/>
                <w:szCs w:val="8"/>
                <w:color w:val="auto"/>
              </w:rPr>
              <w:t>(8,624)</w:t>
            </w:r>
          </w:p>
        </w:tc>
        <w:tc>
          <w:tcPr>
            <w:tcW w:w="900" w:type="dxa"/>
            <w:vAlign w:val="bottom"/>
            <w:tcBorders>
              <w:right w:val="single" w:sz="8" w:color="auto"/>
            </w:tcBorders>
          </w:tcPr>
          <w:p>
            <w:pPr>
              <w:jc w:val="center"/>
              <w:ind w:left="59"/>
              <w:spacing w:after="0"/>
              <w:rPr>
                <w:sz w:val="20"/>
                <w:szCs w:val="20"/>
                <w:color w:val="auto"/>
              </w:rPr>
            </w:pPr>
            <w:r>
              <w:rPr>
                <w:rFonts w:ascii="Arial" w:cs="Arial" w:eastAsia="Arial" w:hAnsi="Arial"/>
                <w:sz w:val="8"/>
                <w:szCs w:val="8"/>
                <w:color w:val="auto"/>
                <w:w w:val="99"/>
              </w:rPr>
              <w:t>2,112</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n.a.</w:t>
            </w:r>
          </w:p>
        </w:tc>
      </w:tr>
      <w:tr>
        <w:trPr>
          <w:trHeight w:val="93"/>
        </w:trPr>
        <w:tc>
          <w:tcPr>
            <w:tcW w:w="53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Net gain (loss) on derivatives held for trading</w:t>
            </w:r>
          </w:p>
        </w:tc>
        <w:tc>
          <w:tcPr>
            <w:tcW w:w="740" w:type="dxa"/>
            <w:vAlign w:val="bottom"/>
          </w:tcPr>
          <w:p>
            <w:pPr>
              <w:jc w:val="center"/>
              <w:spacing w:after="0"/>
              <w:rPr>
                <w:sz w:val="20"/>
                <w:szCs w:val="20"/>
                <w:color w:val="auto"/>
              </w:rPr>
            </w:pPr>
            <w:r>
              <w:rPr>
                <w:rFonts w:ascii="Arial" w:cs="Arial" w:eastAsia="Arial" w:hAnsi="Arial"/>
                <w:sz w:val="8"/>
                <w:szCs w:val="8"/>
                <w:color w:val="auto"/>
                <w:w w:val="97"/>
              </w:rPr>
              <w:t>36,271</w:t>
            </w:r>
          </w:p>
        </w:tc>
        <w:tc>
          <w:tcPr>
            <w:tcW w:w="760" w:type="dxa"/>
            <w:vAlign w:val="bottom"/>
          </w:tcPr>
          <w:p>
            <w:pPr>
              <w:jc w:val="center"/>
              <w:spacing w:after="0"/>
              <w:rPr>
                <w:sz w:val="20"/>
                <w:szCs w:val="20"/>
                <w:color w:val="auto"/>
              </w:rPr>
            </w:pPr>
            <w:r>
              <w:rPr>
                <w:rFonts w:ascii="Arial" w:cs="Arial" w:eastAsia="Arial" w:hAnsi="Arial"/>
                <w:sz w:val="8"/>
                <w:szCs w:val="8"/>
                <w:color w:val="auto"/>
                <w:w w:val="97"/>
              </w:rPr>
              <w:t>18,726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7"/>
              </w:rPr>
              <w:t>17,151</w:t>
            </w:r>
          </w:p>
        </w:tc>
        <w:tc>
          <w:tcPr>
            <w:tcW w:w="520" w:type="dxa"/>
            <w:vAlign w:val="bottom"/>
          </w:tcPr>
          <w:p>
            <w:pPr>
              <w:jc w:val="center"/>
              <w:spacing w:after="0"/>
              <w:rPr>
                <w:sz w:val="20"/>
                <w:szCs w:val="20"/>
                <w:color w:val="auto"/>
              </w:rPr>
            </w:pPr>
            <w:r>
              <w:rPr>
                <w:rFonts w:ascii="Arial" w:cs="Arial" w:eastAsia="Arial" w:hAnsi="Arial"/>
                <w:sz w:val="8"/>
                <w:szCs w:val="8"/>
                <w:color w:val="auto"/>
              </w:rPr>
              <w:t>-8.4%</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-52.7%</w:t>
            </w:r>
          </w:p>
        </w:tc>
        <w:tc>
          <w:tcPr>
            <w:tcW w:w="600" w:type="dxa"/>
            <w:vAlign w:val="bottom"/>
          </w:tcPr>
          <w:p>
            <w:pPr>
              <w:jc w:val="center"/>
              <w:ind w:left="79"/>
              <w:spacing w:after="0"/>
              <w:rPr>
                <w:sz w:val="20"/>
                <w:szCs w:val="20"/>
                <w:color w:val="auto"/>
              </w:rPr>
            </w:pPr>
            <w:r>
              <w:rPr>
                <w:rFonts w:ascii="Arial" w:cs="Arial" w:eastAsia="Arial" w:hAnsi="Arial"/>
                <w:sz w:val="8"/>
                <w:szCs w:val="8"/>
                <w:color w:val="auto"/>
                <w:w w:val="97"/>
              </w:rPr>
              <w:t>56,824</w:t>
            </w:r>
          </w:p>
        </w:tc>
        <w:tc>
          <w:tcPr>
            <w:tcW w:w="900" w:type="dxa"/>
            <w:vAlign w:val="bottom"/>
            <w:tcBorders>
              <w:right w:val="single" w:sz="8" w:color="auto"/>
            </w:tcBorders>
          </w:tcPr>
          <w:p>
            <w:pPr>
              <w:jc w:val="center"/>
              <w:ind w:left="79"/>
              <w:spacing w:after="0"/>
              <w:rPr>
                <w:sz w:val="20"/>
                <w:szCs w:val="20"/>
                <w:color w:val="auto"/>
              </w:rPr>
            </w:pPr>
            <w:r>
              <w:rPr>
                <w:rFonts w:ascii="Arial" w:cs="Arial" w:eastAsia="Arial" w:hAnsi="Arial"/>
                <w:sz w:val="8"/>
                <w:szCs w:val="8"/>
                <w:color w:val="auto"/>
              </w:rPr>
              <w:t>35,877</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-36.9%</w:t>
            </w:r>
          </w:p>
        </w:tc>
      </w:tr>
      <w:tr>
        <w:trPr>
          <w:trHeight w:val="93"/>
        </w:trPr>
        <w:tc>
          <w:tcPr>
            <w:tcW w:w="53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Net gain (loss) from exchange differences</w:t>
            </w:r>
          </w:p>
        </w:tc>
        <w:tc>
          <w:tcPr>
            <w:tcW w:w="740" w:type="dxa"/>
            <w:vAlign w:val="bottom"/>
          </w:tcPr>
          <w:p>
            <w:pPr>
              <w:jc w:val="center"/>
              <w:spacing w:after="0"/>
              <w:rPr>
                <w:sz w:val="20"/>
                <w:szCs w:val="20"/>
                <w:color w:val="auto"/>
              </w:rPr>
            </w:pPr>
            <w:r>
              <w:rPr>
                <w:rFonts w:ascii="Arial" w:cs="Arial" w:eastAsia="Arial" w:hAnsi="Arial"/>
                <w:sz w:val="8"/>
                <w:szCs w:val="8"/>
                <w:color w:val="auto"/>
                <w:w w:val="99"/>
              </w:rPr>
              <w:t>7,961</w:t>
            </w:r>
          </w:p>
        </w:tc>
        <w:tc>
          <w:tcPr>
            <w:tcW w:w="760" w:type="dxa"/>
            <w:vAlign w:val="bottom"/>
          </w:tcPr>
          <w:p>
            <w:pPr>
              <w:jc w:val="center"/>
              <w:spacing w:after="0"/>
              <w:rPr>
                <w:sz w:val="20"/>
                <w:szCs w:val="20"/>
                <w:color w:val="auto"/>
              </w:rPr>
            </w:pPr>
            <w:r>
              <w:rPr>
                <w:rFonts w:ascii="Arial" w:cs="Arial" w:eastAsia="Arial" w:hAnsi="Arial"/>
                <w:sz w:val="8"/>
                <w:szCs w:val="8"/>
                <w:color w:val="auto"/>
                <w:w w:val="99"/>
              </w:rPr>
              <w:t>8,987</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6,109</w:t>
            </w:r>
          </w:p>
        </w:tc>
        <w:tc>
          <w:tcPr>
            <w:tcW w:w="520" w:type="dxa"/>
            <w:vAlign w:val="bottom"/>
          </w:tcPr>
          <w:p>
            <w:pPr>
              <w:jc w:val="center"/>
              <w:spacing w:after="0"/>
              <w:rPr>
                <w:sz w:val="20"/>
                <w:szCs w:val="20"/>
                <w:color w:val="auto"/>
              </w:rPr>
            </w:pPr>
            <w:r>
              <w:rPr>
                <w:rFonts w:ascii="Arial" w:cs="Arial" w:eastAsia="Arial" w:hAnsi="Arial"/>
                <w:sz w:val="8"/>
                <w:szCs w:val="8"/>
                <w:color w:val="auto"/>
              </w:rPr>
              <w:t>-32.0%</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-23.3%</w:t>
            </w:r>
          </w:p>
        </w:tc>
        <w:tc>
          <w:tcPr>
            <w:tcW w:w="600" w:type="dxa"/>
            <w:vAlign w:val="bottom"/>
          </w:tcPr>
          <w:p>
            <w:pPr>
              <w:jc w:val="center"/>
              <w:ind w:left="79"/>
              <w:spacing w:after="0"/>
              <w:rPr>
                <w:sz w:val="20"/>
                <w:szCs w:val="20"/>
                <w:color w:val="auto"/>
              </w:rPr>
            </w:pPr>
            <w:r>
              <w:rPr>
                <w:rFonts w:ascii="Arial" w:cs="Arial" w:eastAsia="Arial" w:hAnsi="Arial"/>
                <w:sz w:val="8"/>
                <w:szCs w:val="8"/>
                <w:color w:val="auto"/>
                <w:w w:val="97"/>
              </w:rPr>
              <w:t>12,652</w:t>
            </w:r>
          </w:p>
        </w:tc>
        <w:tc>
          <w:tcPr>
            <w:tcW w:w="900" w:type="dxa"/>
            <w:vAlign w:val="bottom"/>
            <w:tcBorders>
              <w:right w:val="single" w:sz="8" w:color="auto"/>
            </w:tcBorders>
          </w:tcPr>
          <w:p>
            <w:pPr>
              <w:jc w:val="center"/>
              <w:ind w:left="79"/>
              <w:spacing w:after="0"/>
              <w:rPr>
                <w:sz w:val="20"/>
                <w:szCs w:val="20"/>
                <w:color w:val="auto"/>
              </w:rPr>
            </w:pPr>
            <w:r>
              <w:rPr>
                <w:rFonts w:ascii="Arial" w:cs="Arial" w:eastAsia="Arial" w:hAnsi="Arial"/>
                <w:sz w:val="8"/>
                <w:szCs w:val="8"/>
                <w:color w:val="auto"/>
              </w:rPr>
              <w:t>15,096</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19.3%</w:t>
            </w:r>
          </w:p>
        </w:tc>
      </w:tr>
      <w:tr>
        <w:trPr>
          <w:trHeight w:val="93"/>
        </w:trPr>
        <w:tc>
          <w:tcPr>
            <w:tcW w:w="53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Others</w:t>
            </w:r>
          </w:p>
        </w:tc>
        <w:tc>
          <w:tcPr>
            <w:tcW w:w="740" w:type="dxa"/>
            <w:vAlign w:val="bottom"/>
          </w:tcPr>
          <w:p>
            <w:pPr>
              <w:jc w:val="center"/>
              <w:spacing w:after="0"/>
              <w:rPr>
                <w:sz w:val="20"/>
                <w:szCs w:val="20"/>
                <w:color w:val="auto"/>
              </w:rPr>
            </w:pPr>
            <w:r>
              <w:rPr>
                <w:rFonts w:ascii="Arial" w:cs="Arial" w:eastAsia="Arial" w:hAnsi="Arial"/>
                <w:sz w:val="8"/>
                <w:szCs w:val="8"/>
                <w:color w:val="auto"/>
                <w:w w:val="96"/>
              </w:rPr>
              <w:t>113,963</w:t>
            </w:r>
          </w:p>
        </w:tc>
        <w:tc>
          <w:tcPr>
            <w:tcW w:w="760" w:type="dxa"/>
            <w:vAlign w:val="bottom"/>
          </w:tcPr>
          <w:p>
            <w:pPr>
              <w:jc w:val="center"/>
              <w:spacing w:after="0"/>
              <w:rPr>
                <w:sz w:val="20"/>
                <w:szCs w:val="20"/>
                <w:color w:val="auto"/>
              </w:rPr>
            </w:pPr>
            <w:r>
              <w:rPr>
                <w:rFonts w:ascii="Arial" w:cs="Arial" w:eastAsia="Arial" w:hAnsi="Arial"/>
                <w:sz w:val="8"/>
                <w:szCs w:val="8"/>
                <w:color w:val="auto"/>
                <w:w w:val="97"/>
              </w:rPr>
              <w:t>44,337</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7"/>
              </w:rPr>
              <w:t>72,302</w:t>
            </w:r>
          </w:p>
        </w:tc>
        <w:tc>
          <w:tcPr>
            <w:tcW w:w="520" w:type="dxa"/>
            <w:vAlign w:val="bottom"/>
          </w:tcPr>
          <w:p>
            <w:pPr>
              <w:jc w:val="center"/>
              <w:spacing w:after="0"/>
              <w:rPr>
                <w:sz w:val="20"/>
                <w:szCs w:val="20"/>
                <w:color w:val="auto"/>
              </w:rPr>
            </w:pPr>
            <w:r>
              <w:rPr>
                <w:rFonts w:ascii="Arial" w:cs="Arial" w:eastAsia="Arial" w:hAnsi="Arial"/>
                <w:sz w:val="8"/>
                <w:szCs w:val="8"/>
                <w:color w:val="auto"/>
              </w:rPr>
              <w:t>63.1%</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-36.6%</w:t>
            </w:r>
          </w:p>
        </w:tc>
        <w:tc>
          <w:tcPr>
            <w:tcW w:w="600" w:type="dxa"/>
            <w:vAlign w:val="bottom"/>
          </w:tcPr>
          <w:p>
            <w:pPr>
              <w:jc w:val="center"/>
              <w:ind w:left="79"/>
              <w:spacing w:after="0"/>
              <w:rPr>
                <w:sz w:val="20"/>
                <w:szCs w:val="20"/>
                <w:color w:val="auto"/>
              </w:rPr>
            </w:pPr>
            <w:r>
              <w:rPr>
                <w:rFonts w:ascii="Arial" w:cs="Arial" w:eastAsia="Arial" w:hAnsi="Arial"/>
                <w:sz w:val="8"/>
                <w:szCs w:val="8"/>
                <w:color w:val="auto"/>
                <w:w w:val="96"/>
              </w:rPr>
              <w:t>182,218</w:t>
            </w:r>
          </w:p>
        </w:tc>
        <w:tc>
          <w:tcPr>
            <w:tcW w:w="900" w:type="dxa"/>
            <w:vAlign w:val="bottom"/>
            <w:tcBorders>
              <w:right w:val="single" w:sz="8" w:color="auto"/>
            </w:tcBorders>
          </w:tcPr>
          <w:p>
            <w:pPr>
              <w:jc w:val="center"/>
              <w:ind w:left="79"/>
              <w:spacing w:after="0"/>
              <w:rPr>
                <w:sz w:val="20"/>
                <w:szCs w:val="20"/>
                <w:color w:val="auto"/>
              </w:rPr>
            </w:pPr>
            <w:r>
              <w:rPr>
                <w:rFonts w:ascii="Arial" w:cs="Arial" w:eastAsia="Arial" w:hAnsi="Arial"/>
                <w:sz w:val="8"/>
                <w:szCs w:val="8"/>
                <w:color w:val="auto"/>
              </w:rPr>
              <w:t>116,639</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-36.0%</w:t>
            </w:r>
          </w:p>
        </w:tc>
      </w:tr>
      <w:tr>
        <w:trPr>
          <w:trHeight w:val="112"/>
        </w:trPr>
        <w:tc>
          <w:tcPr>
            <w:tcW w:w="53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b w:val="1"/>
                <w:bCs w:val="1"/>
                <w:color w:val="auto"/>
              </w:rPr>
              <w:t>Total other income</w:t>
            </w:r>
          </w:p>
        </w:tc>
        <w:tc>
          <w:tcPr>
            <w:tcW w:w="740" w:type="dxa"/>
            <w:vAlign w:val="bottom"/>
          </w:tcPr>
          <w:p>
            <w:pPr>
              <w:jc w:val="center"/>
              <w:spacing w:after="0"/>
              <w:rPr>
                <w:sz w:val="20"/>
                <w:szCs w:val="20"/>
                <w:color w:val="auto"/>
              </w:rPr>
            </w:pPr>
            <w:r>
              <w:rPr>
                <w:rFonts w:ascii="Arial" w:cs="Arial" w:eastAsia="Arial" w:hAnsi="Arial"/>
                <w:sz w:val="8"/>
                <w:szCs w:val="8"/>
                <w:b w:val="1"/>
                <w:bCs w:val="1"/>
                <w:color w:val="auto"/>
              </w:rPr>
              <w:t>1,160,762</w:t>
            </w:r>
          </w:p>
        </w:tc>
        <w:tc>
          <w:tcPr>
            <w:tcW w:w="760" w:type="dxa"/>
            <w:vAlign w:val="bottom"/>
          </w:tcPr>
          <w:p>
            <w:pPr>
              <w:jc w:val="center"/>
              <w:spacing w:after="0"/>
              <w:rPr>
                <w:sz w:val="20"/>
                <w:szCs w:val="20"/>
                <w:color w:val="auto"/>
              </w:rPr>
            </w:pPr>
            <w:r>
              <w:rPr>
                <w:rFonts w:ascii="Arial" w:cs="Arial" w:eastAsia="Arial" w:hAnsi="Arial"/>
                <w:sz w:val="8"/>
                <w:szCs w:val="8"/>
                <w:b w:val="1"/>
                <w:bCs w:val="1"/>
                <w:color w:val="auto"/>
              </w:rPr>
              <w:t>1,180,018</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1,266,173</w:t>
            </w:r>
          </w:p>
        </w:tc>
        <w:tc>
          <w:tcPr>
            <w:tcW w:w="520" w:type="dxa"/>
            <w:vAlign w:val="bottom"/>
          </w:tcPr>
          <w:p>
            <w:pPr>
              <w:jc w:val="center"/>
              <w:spacing w:after="0"/>
              <w:rPr>
                <w:sz w:val="20"/>
                <w:szCs w:val="20"/>
                <w:color w:val="auto"/>
              </w:rPr>
            </w:pPr>
            <w:r>
              <w:rPr>
                <w:rFonts w:ascii="Arial" w:cs="Arial" w:eastAsia="Arial" w:hAnsi="Arial"/>
                <w:sz w:val="8"/>
                <w:szCs w:val="8"/>
                <w:b w:val="1"/>
                <w:bCs w:val="1"/>
                <w:color w:val="auto"/>
              </w:rPr>
              <w:t>7.3%</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9.1%</w:t>
            </w:r>
          </w:p>
        </w:tc>
        <w:tc>
          <w:tcPr>
            <w:tcW w:w="600" w:type="dxa"/>
            <w:vAlign w:val="bottom"/>
          </w:tcPr>
          <w:p>
            <w:pPr>
              <w:jc w:val="center"/>
              <w:ind w:left="79"/>
              <w:spacing w:after="0"/>
              <w:rPr>
                <w:sz w:val="20"/>
                <w:szCs w:val="20"/>
                <w:color w:val="auto"/>
              </w:rPr>
            </w:pPr>
            <w:r>
              <w:rPr>
                <w:rFonts w:ascii="Arial" w:cs="Arial" w:eastAsia="Arial" w:hAnsi="Arial"/>
                <w:sz w:val="8"/>
                <w:szCs w:val="8"/>
                <w:b w:val="1"/>
                <w:bCs w:val="1"/>
                <w:color w:val="auto"/>
              </w:rPr>
              <w:t>2,211,744</w:t>
            </w:r>
          </w:p>
        </w:tc>
        <w:tc>
          <w:tcPr>
            <w:tcW w:w="900" w:type="dxa"/>
            <w:vAlign w:val="bottom"/>
            <w:tcBorders>
              <w:right w:val="single" w:sz="8" w:color="auto"/>
            </w:tcBorders>
          </w:tcPr>
          <w:p>
            <w:pPr>
              <w:jc w:val="center"/>
              <w:ind w:left="59"/>
              <w:spacing w:after="0"/>
              <w:rPr>
                <w:sz w:val="20"/>
                <w:szCs w:val="20"/>
                <w:color w:val="auto"/>
              </w:rPr>
            </w:pPr>
            <w:r>
              <w:rPr>
                <w:rFonts w:ascii="Arial" w:cs="Arial" w:eastAsia="Arial" w:hAnsi="Arial"/>
                <w:sz w:val="8"/>
                <w:szCs w:val="8"/>
                <w:b w:val="1"/>
                <w:bCs w:val="1"/>
                <w:color w:val="auto"/>
              </w:rPr>
              <w:t>2,446,191</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6"/>
              </w:rPr>
              <w:t>10.6%</w:t>
            </w:r>
          </w:p>
        </w:tc>
      </w:tr>
      <w:tr>
        <w:trPr>
          <w:trHeight w:val="165"/>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8"/>
                <w:szCs w:val="8"/>
                <w:b w:val="1"/>
                <w:bCs w:val="1"/>
                <w:color w:val="auto"/>
              </w:rPr>
              <w:t>Total expenses</w:t>
            </w: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r>
      <w:tr>
        <w:trPr>
          <w:trHeight w:val="93"/>
        </w:trPr>
        <w:tc>
          <w:tcPr>
            <w:tcW w:w="53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Salaries and employee benefits</w:t>
            </w:r>
          </w:p>
        </w:tc>
        <w:tc>
          <w:tcPr>
            <w:tcW w:w="740" w:type="dxa"/>
            <w:vAlign w:val="bottom"/>
          </w:tcPr>
          <w:p>
            <w:pPr>
              <w:jc w:val="center"/>
              <w:spacing w:after="0"/>
              <w:rPr>
                <w:sz w:val="20"/>
                <w:szCs w:val="20"/>
                <w:color w:val="auto"/>
              </w:rPr>
            </w:pPr>
            <w:r>
              <w:rPr>
                <w:rFonts w:ascii="Arial" w:cs="Arial" w:eastAsia="Arial" w:hAnsi="Arial"/>
                <w:sz w:val="8"/>
                <w:szCs w:val="8"/>
                <w:color w:val="auto"/>
              </w:rPr>
              <w:t>(563,407)</w:t>
            </w:r>
          </w:p>
        </w:tc>
        <w:tc>
          <w:tcPr>
            <w:tcW w:w="760" w:type="dxa"/>
            <w:vAlign w:val="bottom"/>
          </w:tcPr>
          <w:p>
            <w:pPr>
              <w:jc w:val="center"/>
              <w:spacing w:after="0"/>
              <w:rPr>
                <w:sz w:val="20"/>
                <w:szCs w:val="20"/>
                <w:color w:val="auto"/>
              </w:rPr>
            </w:pPr>
            <w:r>
              <w:rPr>
                <w:rFonts w:ascii="Arial" w:cs="Arial" w:eastAsia="Arial" w:hAnsi="Arial"/>
                <w:sz w:val="8"/>
                <w:szCs w:val="8"/>
                <w:color w:val="auto"/>
              </w:rPr>
              <w:t>(588,744)</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(623,526)</w:t>
            </w:r>
          </w:p>
        </w:tc>
        <w:tc>
          <w:tcPr>
            <w:tcW w:w="520" w:type="dxa"/>
            <w:vAlign w:val="bottom"/>
          </w:tcPr>
          <w:p>
            <w:pPr>
              <w:jc w:val="center"/>
              <w:spacing w:after="0"/>
              <w:rPr>
                <w:sz w:val="20"/>
                <w:szCs w:val="20"/>
                <w:color w:val="auto"/>
              </w:rPr>
            </w:pPr>
            <w:r>
              <w:rPr>
                <w:rFonts w:ascii="Arial" w:cs="Arial" w:eastAsia="Arial" w:hAnsi="Arial"/>
                <w:sz w:val="8"/>
                <w:szCs w:val="8"/>
                <w:color w:val="auto"/>
              </w:rPr>
              <w:t>5.9%</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10.7%</w:t>
            </w:r>
          </w:p>
        </w:tc>
        <w:tc>
          <w:tcPr>
            <w:tcW w:w="600" w:type="dxa"/>
            <w:vAlign w:val="bottom"/>
          </w:tcPr>
          <w:p>
            <w:pPr>
              <w:jc w:val="center"/>
              <w:ind w:left="79"/>
              <w:spacing w:after="0"/>
              <w:rPr>
                <w:sz w:val="20"/>
                <w:szCs w:val="20"/>
                <w:color w:val="auto"/>
              </w:rPr>
            </w:pPr>
            <w:r>
              <w:rPr>
                <w:rFonts w:ascii="Arial" w:cs="Arial" w:eastAsia="Arial" w:hAnsi="Arial"/>
                <w:sz w:val="8"/>
                <w:szCs w:val="8"/>
                <w:color w:val="auto"/>
              </w:rPr>
              <w:t>(1,109,455)</w:t>
            </w:r>
          </w:p>
        </w:tc>
        <w:tc>
          <w:tcPr>
            <w:tcW w:w="900" w:type="dxa"/>
            <w:vAlign w:val="bottom"/>
            <w:tcBorders>
              <w:right w:val="single" w:sz="8" w:color="auto"/>
            </w:tcBorders>
          </w:tcPr>
          <w:p>
            <w:pPr>
              <w:jc w:val="center"/>
              <w:ind w:left="79"/>
              <w:spacing w:after="0"/>
              <w:rPr>
                <w:sz w:val="20"/>
                <w:szCs w:val="20"/>
                <w:color w:val="auto"/>
              </w:rPr>
            </w:pPr>
            <w:r>
              <w:rPr>
                <w:rFonts w:ascii="Arial" w:cs="Arial" w:eastAsia="Arial" w:hAnsi="Arial"/>
                <w:sz w:val="8"/>
                <w:szCs w:val="8"/>
                <w:color w:val="auto"/>
              </w:rPr>
              <w:t>(1,212,270)</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9.3%</w:t>
            </w:r>
          </w:p>
        </w:tc>
      </w:tr>
      <w:tr>
        <w:trPr>
          <w:trHeight w:val="93"/>
        </w:trPr>
        <w:tc>
          <w:tcPr>
            <w:tcW w:w="53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Administrative expenses</w:t>
            </w:r>
          </w:p>
        </w:tc>
        <w:tc>
          <w:tcPr>
            <w:tcW w:w="740" w:type="dxa"/>
            <w:vAlign w:val="bottom"/>
          </w:tcPr>
          <w:p>
            <w:pPr>
              <w:jc w:val="center"/>
              <w:spacing w:after="0"/>
              <w:rPr>
                <w:sz w:val="20"/>
                <w:szCs w:val="20"/>
                <w:color w:val="auto"/>
              </w:rPr>
            </w:pPr>
            <w:r>
              <w:rPr>
                <w:rFonts w:ascii="Arial" w:cs="Arial" w:eastAsia="Arial" w:hAnsi="Arial"/>
                <w:sz w:val="8"/>
                <w:szCs w:val="8"/>
                <w:color w:val="auto"/>
              </w:rPr>
              <w:t>(599,803)</w:t>
            </w:r>
          </w:p>
        </w:tc>
        <w:tc>
          <w:tcPr>
            <w:tcW w:w="760" w:type="dxa"/>
            <w:vAlign w:val="bottom"/>
          </w:tcPr>
          <w:p>
            <w:pPr>
              <w:jc w:val="center"/>
              <w:spacing w:after="0"/>
              <w:rPr>
                <w:sz w:val="20"/>
                <w:szCs w:val="20"/>
                <w:color w:val="auto"/>
              </w:rPr>
            </w:pPr>
            <w:r>
              <w:rPr>
                <w:rFonts w:ascii="Arial" w:cs="Arial" w:eastAsia="Arial" w:hAnsi="Arial"/>
                <w:sz w:val="8"/>
                <w:szCs w:val="8"/>
                <w:color w:val="auto"/>
              </w:rPr>
              <w:t>(622,024)</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(708,027)</w:t>
            </w:r>
          </w:p>
        </w:tc>
        <w:tc>
          <w:tcPr>
            <w:tcW w:w="520" w:type="dxa"/>
            <w:vAlign w:val="bottom"/>
          </w:tcPr>
          <w:p>
            <w:pPr>
              <w:jc w:val="center"/>
              <w:spacing w:after="0"/>
              <w:rPr>
                <w:sz w:val="20"/>
                <w:szCs w:val="20"/>
                <w:color w:val="auto"/>
              </w:rPr>
            </w:pPr>
            <w:r>
              <w:rPr>
                <w:rFonts w:ascii="Arial" w:cs="Arial" w:eastAsia="Arial" w:hAnsi="Arial"/>
                <w:sz w:val="8"/>
                <w:szCs w:val="8"/>
                <w:color w:val="auto"/>
              </w:rPr>
              <w:t>13.8%</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18.0%</w:t>
            </w:r>
          </w:p>
        </w:tc>
        <w:tc>
          <w:tcPr>
            <w:tcW w:w="600" w:type="dxa"/>
            <w:vAlign w:val="bottom"/>
          </w:tcPr>
          <w:p>
            <w:pPr>
              <w:jc w:val="center"/>
              <w:ind w:left="79"/>
              <w:spacing w:after="0"/>
              <w:rPr>
                <w:sz w:val="20"/>
                <w:szCs w:val="20"/>
                <w:color w:val="auto"/>
              </w:rPr>
            </w:pPr>
            <w:r>
              <w:rPr>
                <w:rFonts w:ascii="Arial" w:cs="Arial" w:eastAsia="Arial" w:hAnsi="Arial"/>
                <w:sz w:val="8"/>
                <w:szCs w:val="8"/>
                <w:color w:val="auto"/>
              </w:rPr>
              <w:t>(1,171,583)</w:t>
            </w:r>
          </w:p>
        </w:tc>
        <w:tc>
          <w:tcPr>
            <w:tcW w:w="900" w:type="dxa"/>
            <w:vAlign w:val="bottom"/>
            <w:tcBorders>
              <w:right w:val="single" w:sz="8" w:color="auto"/>
            </w:tcBorders>
          </w:tcPr>
          <w:p>
            <w:pPr>
              <w:jc w:val="center"/>
              <w:ind w:left="79"/>
              <w:spacing w:after="0"/>
              <w:rPr>
                <w:sz w:val="20"/>
                <w:szCs w:val="20"/>
                <w:color w:val="auto"/>
              </w:rPr>
            </w:pPr>
            <w:r>
              <w:rPr>
                <w:rFonts w:ascii="Arial" w:cs="Arial" w:eastAsia="Arial" w:hAnsi="Arial"/>
                <w:sz w:val="8"/>
                <w:szCs w:val="8"/>
                <w:color w:val="auto"/>
              </w:rPr>
              <w:t>(1,330,051)</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13.5%</w:t>
            </w:r>
          </w:p>
        </w:tc>
      </w:tr>
      <w:tr>
        <w:trPr>
          <w:trHeight w:val="93"/>
        </w:trPr>
        <w:tc>
          <w:tcPr>
            <w:tcW w:w="53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Depreciation and amortization (2)</w:t>
            </w:r>
          </w:p>
        </w:tc>
        <w:tc>
          <w:tcPr>
            <w:tcW w:w="740" w:type="dxa"/>
            <w:vAlign w:val="bottom"/>
          </w:tcPr>
          <w:p>
            <w:pPr>
              <w:jc w:val="center"/>
              <w:spacing w:after="0"/>
              <w:rPr>
                <w:sz w:val="20"/>
                <w:szCs w:val="20"/>
                <w:color w:val="auto"/>
              </w:rPr>
            </w:pPr>
            <w:r>
              <w:rPr>
                <w:rFonts w:ascii="Arial" w:cs="Arial" w:eastAsia="Arial" w:hAnsi="Arial"/>
                <w:sz w:val="8"/>
                <w:szCs w:val="8"/>
                <w:color w:val="auto"/>
              </w:rPr>
              <w:t>(112,661)</w:t>
            </w:r>
          </w:p>
        </w:tc>
        <w:tc>
          <w:tcPr>
            <w:tcW w:w="760" w:type="dxa"/>
            <w:vAlign w:val="bottom"/>
          </w:tcPr>
          <w:p>
            <w:pPr>
              <w:jc w:val="center"/>
              <w:spacing w:after="0"/>
              <w:rPr>
                <w:sz w:val="20"/>
                <w:szCs w:val="20"/>
                <w:color w:val="auto"/>
              </w:rPr>
            </w:pPr>
            <w:r>
              <w:rPr>
                <w:rFonts w:ascii="Arial" w:cs="Arial" w:eastAsia="Arial" w:hAnsi="Arial"/>
                <w:sz w:val="8"/>
                <w:szCs w:val="8"/>
                <w:color w:val="auto"/>
              </w:rPr>
              <w:t>(119,025)</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(117,218)</w:t>
            </w:r>
          </w:p>
        </w:tc>
        <w:tc>
          <w:tcPr>
            <w:tcW w:w="520" w:type="dxa"/>
            <w:vAlign w:val="bottom"/>
          </w:tcPr>
          <w:p>
            <w:pPr>
              <w:jc w:val="center"/>
              <w:spacing w:after="0"/>
              <w:rPr>
                <w:sz w:val="20"/>
                <w:szCs w:val="20"/>
                <w:color w:val="auto"/>
              </w:rPr>
            </w:pPr>
            <w:r>
              <w:rPr>
                <w:rFonts w:ascii="Arial" w:cs="Arial" w:eastAsia="Arial" w:hAnsi="Arial"/>
                <w:sz w:val="8"/>
                <w:szCs w:val="8"/>
                <w:color w:val="auto"/>
              </w:rPr>
              <w:t>-1.5%</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4.0%</w:t>
            </w:r>
          </w:p>
        </w:tc>
        <w:tc>
          <w:tcPr>
            <w:tcW w:w="600" w:type="dxa"/>
            <w:vAlign w:val="bottom"/>
          </w:tcPr>
          <w:p>
            <w:pPr>
              <w:jc w:val="center"/>
              <w:ind w:left="79"/>
              <w:spacing w:after="0"/>
              <w:rPr>
                <w:sz w:val="20"/>
                <w:szCs w:val="20"/>
                <w:color w:val="auto"/>
              </w:rPr>
            </w:pPr>
            <w:r>
              <w:rPr>
                <w:rFonts w:ascii="Arial" w:cs="Arial" w:eastAsia="Arial" w:hAnsi="Arial"/>
                <w:sz w:val="8"/>
                <w:szCs w:val="8"/>
                <w:color w:val="auto"/>
              </w:rPr>
              <w:t>(225,533)</w:t>
            </w:r>
          </w:p>
        </w:tc>
        <w:tc>
          <w:tcPr>
            <w:tcW w:w="900" w:type="dxa"/>
            <w:vAlign w:val="bottom"/>
            <w:tcBorders>
              <w:right w:val="single" w:sz="8" w:color="auto"/>
            </w:tcBorders>
          </w:tcPr>
          <w:p>
            <w:pPr>
              <w:jc w:val="center"/>
              <w:ind w:left="59"/>
              <w:spacing w:after="0"/>
              <w:rPr>
                <w:sz w:val="20"/>
                <w:szCs w:val="20"/>
                <w:color w:val="auto"/>
              </w:rPr>
            </w:pPr>
            <w:r>
              <w:rPr>
                <w:rFonts w:ascii="Arial" w:cs="Arial" w:eastAsia="Arial" w:hAnsi="Arial"/>
                <w:sz w:val="8"/>
                <w:szCs w:val="8"/>
                <w:color w:val="auto"/>
              </w:rPr>
              <w:t>(236,243)</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4.7%</w:t>
            </w:r>
          </w:p>
        </w:tc>
      </w:tr>
      <w:tr>
        <w:trPr>
          <w:trHeight w:val="93"/>
        </w:trPr>
        <w:tc>
          <w:tcPr>
            <w:tcW w:w="53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color w:val="auto"/>
              </w:rPr>
              <w:t>Other expenses</w:t>
            </w:r>
          </w:p>
        </w:tc>
        <w:tc>
          <w:tcPr>
            <w:tcW w:w="740" w:type="dxa"/>
            <w:vAlign w:val="bottom"/>
          </w:tcPr>
          <w:p>
            <w:pPr>
              <w:jc w:val="center"/>
              <w:spacing w:after="0"/>
              <w:rPr>
                <w:sz w:val="20"/>
                <w:szCs w:val="20"/>
                <w:color w:val="auto"/>
              </w:rPr>
            </w:pPr>
            <w:r>
              <w:rPr>
                <w:rFonts w:ascii="Arial" w:cs="Arial" w:eastAsia="Arial" w:hAnsi="Arial"/>
                <w:sz w:val="8"/>
                <w:szCs w:val="8"/>
                <w:color w:val="auto"/>
              </w:rPr>
              <w:t>(44,011)</w:t>
            </w:r>
          </w:p>
        </w:tc>
        <w:tc>
          <w:tcPr>
            <w:tcW w:w="760" w:type="dxa"/>
            <w:vAlign w:val="bottom"/>
          </w:tcPr>
          <w:p>
            <w:pPr>
              <w:jc w:val="center"/>
              <w:spacing w:after="0"/>
              <w:rPr>
                <w:sz w:val="20"/>
                <w:szCs w:val="20"/>
                <w:color w:val="auto"/>
              </w:rPr>
            </w:pPr>
            <w:r>
              <w:rPr>
                <w:rFonts w:ascii="Arial" w:cs="Arial" w:eastAsia="Arial" w:hAnsi="Arial"/>
                <w:sz w:val="8"/>
                <w:szCs w:val="8"/>
                <w:color w:val="auto"/>
              </w:rPr>
              <w:t>(45,953)</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(57,643)</w:t>
            </w:r>
          </w:p>
        </w:tc>
        <w:tc>
          <w:tcPr>
            <w:tcW w:w="520" w:type="dxa"/>
            <w:vAlign w:val="bottom"/>
          </w:tcPr>
          <w:p>
            <w:pPr>
              <w:jc w:val="center"/>
              <w:spacing w:after="0"/>
              <w:rPr>
                <w:sz w:val="20"/>
                <w:szCs w:val="20"/>
                <w:color w:val="auto"/>
              </w:rPr>
            </w:pPr>
            <w:r>
              <w:rPr>
                <w:rFonts w:ascii="Arial" w:cs="Arial" w:eastAsia="Arial" w:hAnsi="Arial"/>
                <w:sz w:val="8"/>
                <w:szCs w:val="8"/>
                <w:color w:val="auto"/>
              </w:rPr>
              <w:t>25.4%</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31.0%</w:t>
            </w:r>
          </w:p>
        </w:tc>
        <w:tc>
          <w:tcPr>
            <w:tcW w:w="600" w:type="dxa"/>
            <w:vAlign w:val="bottom"/>
          </w:tcPr>
          <w:p>
            <w:pPr>
              <w:jc w:val="center"/>
              <w:ind w:left="79"/>
              <w:spacing w:after="0"/>
              <w:rPr>
                <w:sz w:val="20"/>
                <w:szCs w:val="20"/>
                <w:color w:val="auto"/>
              </w:rPr>
            </w:pPr>
            <w:r>
              <w:rPr>
                <w:rFonts w:ascii="Arial" w:cs="Arial" w:eastAsia="Arial" w:hAnsi="Arial"/>
                <w:sz w:val="8"/>
                <w:szCs w:val="8"/>
                <w:color w:val="auto"/>
              </w:rPr>
              <w:t>(83,574)</w:t>
            </w:r>
          </w:p>
        </w:tc>
        <w:tc>
          <w:tcPr>
            <w:tcW w:w="900" w:type="dxa"/>
            <w:vAlign w:val="bottom"/>
            <w:tcBorders>
              <w:right w:val="single" w:sz="8" w:color="auto"/>
            </w:tcBorders>
          </w:tcPr>
          <w:p>
            <w:pPr>
              <w:jc w:val="center"/>
              <w:ind w:left="59"/>
              <w:spacing w:after="0"/>
              <w:rPr>
                <w:sz w:val="20"/>
                <w:szCs w:val="20"/>
                <w:color w:val="auto"/>
              </w:rPr>
            </w:pPr>
            <w:r>
              <w:rPr>
                <w:rFonts w:ascii="Arial" w:cs="Arial" w:eastAsia="Arial" w:hAnsi="Arial"/>
                <w:sz w:val="8"/>
                <w:szCs w:val="8"/>
                <w:color w:val="auto"/>
              </w:rPr>
              <w:t>(103,596)</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24.0%</w:t>
            </w:r>
          </w:p>
        </w:tc>
      </w:tr>
      <w:tr>
        <w:trPr>
          <w:trHeight w:val="112"/>
        </w:trPr>
        <w:tc>
          <w:tcPr>
            <w:tcW w:w="53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8"/>
                <w:szCs w:val="8"/>
                <w:b w:val="1"/>
                <w:bCs w:val="1"/>
                <w:color w:val="auto"/>
              </w:rPr>
              <w:t>Total expenses</w:t>
            </w:r>
          </w:p>
        </w:tc>
        <w:tc>
          <w:tcPr>
            <w:tcW w:w="740" w:type="dxa"/>
            <w:vAlign w:val="bottom"/>
          </w:tcPr>
          <w:p>
            <w:pPr>
              <w:jc w:val="center"/>
              <w:spacing w:after="0"/>
              <w:rPr>
                <w:sz w:val="20"/>
                <w:szCs w:val="20"/>
                <w:color w:val="auto"/>
              </w:rPr>
            </w:pPr>
            <w:r>
              <w:rPr>
                <w:rFonts w:ascii="Arial" w:cs="Arial" w:eastAsia="Arial" w:hAnsi="Arial"/>
                <w:sz w:val="8"/>
                <w:szCs w:val="8"/>
                <w:b w:val="1"/>
                <w:bCs w:val="1"/>
                <w:color w:val="auto"/>
              </w:rPr>
              <w:t>(1,319,882)</w:t>
            </w:r>
          </w:p>
        </w:tc>
        <w:tc>
          <w:tcPr>
            <w:tcW w:w="760" w:type="dxa"/>
            <w:vAlign w:val="bottom"/>
          </w:tcPr>
          <w:p>
            <w:pPr>
              <w:jc w:val="center"/>
              <w:spacing w:after="0"/>
              <w:rPr>
                <w:sz w:val="20"/>
                <w:szCs w:val="20"/>
                <w:color w:val="auto"/>
              </w:rPr>
            </w:pPr>
            <w:r>
              <w:rPr>
                <w:rFonts w:ascii="Arial" w:cs="Arial" w:eastAsia="Arial" w:hAnsi="Arial"/>
                <w:sz w:val="8"/>
                <w:szCs w:val="8"/>
                <w:b w:val="1"/>
                <w:bCs w:val="1"/>
                <w:color w:val="auto"/>
              </w:rPr>
              <w:t>(1,375,746)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(1,506,414)</w:t>
            </w:r>
          </w:p>
        </w:tc>
        <w:tc>
          <w:tcPr>
            <w:tcW w:w="520" w:type="dxa"/>
            <w:vAlign w:val="bottom"/>
          </w:tcPr>
          <w:p>
            <w:pPr>
              <w:jc w:val="center"/>
              <w:spacing w:after="0"/>
              <w:rPr>
                <w:sz w:val="20"/>
                <w:szCs w:val="20"/>
                <w:color w:val="auto"/>
              </w:rPr>
            </w:pPr>
            <w:r>
              <w:rPr>
                <w:rFonts w:ascii="Arial" w:cs="Arial" w:eastAsia="Arial" w:hAnsi="Arial"/>
                <w:sz w:val="8"/>
                <w:szCs w:val="8"/>
                <w:b w:val="1"/>
                <w:bCs w:val="1"/>
                <w:color w:val="auto"/>
              </w:rPr>
              <w:t>9.5%</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6"/>
              </w:rPr>
              <w:t>14.1%</w:t>
            </w:r>
          </w:p>
        </w:tc>
        <w:tc>
          <w:tcPr>
            <w:tcW w:w="600" w:type="dxa"/>
            <w:vAlign w:val="bottom"/>
          </w:tcPr>
          <w:p>
            <w:pPr>
              <w:jc w:val="center"/>
              <w:ind w:left="79"/>
              <w:spacing w:after="0"/>
              <w:rPr>
                <w:sz w:val="20"/>
                <w:szCs w:val="20"/>
                <w:color w:val="auto"/>
              </w:rPr>
            </w:pPr>
            <w:r>
              <w:rPr>
                <w:rFonts w:ascii="Arial" w:cs="Arial" w:eastAsia="Arial" w:hAnsi="Arial"/>
                <w:sz w:val="8"/>
                <w:szCs w:val="8"/>
                <w:b w:val="1"/>
                <w:bCs w:val="1"/>
                <w:color w:val="auto"/>
              </w:rPr>
              <w:t>(2,590,145)</w:t>
            </w:r>
          </w:p>
        </w:tc>
        <w:tc>
          <w:tcPr>
            <w:tcW w:w="900" w:type="dxa"/>
            <w:vAlign w:val="bottom"/>
            <w:tcBorders>
              <w:right w:val="single" w:sz="8" w:color="auto"/>
            </w:tcBorders>
          </w:tcPr>
          <w:p>
            <w:pPr>
              <w:jc w:val="center"/>
              <w:ind w:left="79"/>
              <w:spacing w:after="0"/>
              <w:rPr>
                <w:sz w:val="20"/>
                <w:szCs w:val="20"/>
                <w:color w:val="auto"/>
              </w:rPr>
            </w:pPr>
            <w:r>
              <w:rPr>
                <w:rFonts w:ascii="Arial" w:cs="Arial" w:eastAsia="Arial" w:hAnsi="Arial"/>
                <w:sz w:val="8"/>
                <w:szCs w:val="8"/>
                <w:b w:val="1"/>
                <w:bCs w:val="1"/>
                <w:color w:val="auto"/>
              </w:rPr>
              <w:t>(2,882,160)</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6"/>
              </w:rPr>
              <w:t>11.3%</w:t>
            </w:r>
          </w:p>
        </w:tc>
      </w:tr>
      <w:tr>
        <w:trPr>
          <w:trHeight w:val="185"/>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8"/>
                <w:szCs w:val="8"/>
                <w:b w:val="1"/>
                <w:bCs w:val="1"/>
                <w:color w:val="auto"/>
              </w:rPr>
              <w:t>Profit before income tax</w:t>
            </w:r>
          </w:p>
        </w:tc>
        <w:tc>
          <w:tcPr>
            <w:tcW w:w="740" w:type="dxa"/>
            <w:vAlign w:val="bottom"/>
          </w:tcPr>
          <w:p>
            <w:pPr>
              <w:jc w:val="center"/>
              <w:spacing w:after="0"/>
              <w:rPr>
                <w:sz w:val="20"/>
                <w:szCs w:val="20"/>
                <w:color w:val="auto"/>
              </w:rPr>
            </w:pPr>
            <w:r>
              <w:rPr>
                <w:rFonts w:ascii="Arial" w:cs="Arial" w:eastAsia="Arial" w:hAnsi="Arial"/>
                <w:sz w:val="8"/>
                <w:szCs w:val="8"/>
                <w:b w:val="1"/>
                <w:bCs w:val="1"/>
                <w:color w:val="auto"/>
              </w:rPr>
              <w:t>1,647,719</w:t>
            </w:r>
          </w:p>
        </w:tc>
        <w:tc>
          <w:tcPr>
            <w:tcW w:w="760" w:type="dxa"/>
            <w:vAlign w:val="bottom"/>
          </w:tcPr>
          <w:p>
            <w:pPr>
              <w:jc w:val="center"/>
              <w:spacing w:after="0"/>
              <w:rPr>
                <w:sz w:val="20"/>
                <w:szCs w:val="20"/>
                <w:color w:val="auto"/>
              </w:rPr>
            </w:pPr>
            <w:r>
              <w:rPr>
                <w:rFonts w:ascii="Arial" w:cs="Arial" w:eastAsia="Arial" w:hAnsi="Arial"/>
                <w:sz w:val="8"/>
                <w:szCs w:val="8"/>
                <w:b w:val="1"/>
                <w:bCs w:val="1"/>
                <w:color w:val="auto"/>
              </w:rPr>
              <w:t>1,813,216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1,642,220</w:t>
            </w:r>
          </w:p>
        </w:tc>
        <w:tc>
          <w:tcPr>
            <w:tcW w:w="520" w:type="dxa"/>
            <w:vAlign w:val="bottom"/>
          </w:tcPr>
          <w:p>
            <w:pPr>
              <w:jc w:val="center"/>
              <w:spacing w:after="0"/>
              <w:rPr>
                <w:sz w:val="20"/>
                <w:szCs w:val="20"/>
                <w:color w:val="auto"/>
              </w:rPr>
            </w:pPr>
            <w:r>
              <w:rPr>
                <w:rFonts w:ascii="Arial" w:cs="Arial" w:eastAsia="Arial" w:hAnsi="Arial"/>
                <w:sz w:val="8"/>
                <w:szCs w:val="8"/>
                <w:b w:val="1"/>
                <w:bCs w:val="1"/>
                <w:color w:val="auto"/>
              </w:rPr>
              <w:t>-9.4%</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-0.3%</w:t>
            </w:r>
          </w:p>
        </w:tc>
        <w:tc>
          <w:tcPr>
            <w:tcW w:w="600" w:type="dxa"/>
            <w:vAlign w:val="bottom"/>
          </w:tcPr>
          <w:p>
            <w:pPr>
              <w:jc w:val="center"/>
              <w:ind w:left="79"/>
              <w:spacing w:after="0"/>
              <w:rPr>
                <w:sz w:val="20"/>
                <w:szCs w:val="20"/>
                <w:color w:val="auto"/>
              </w:rPr>
            </w:pPr>
            <w:r>
              <w:rPr>
                <w:rFonts w:ascii="Arial" w:cs="Arial" w:eastAsia="Arial" w:hAnsi="Arial"/>
                <w:sz w:val="8"/>
                <w:szCs w:val="8"/>
                <w:b w:val="1"/>
                <w:bCs w:val="1"/>
                <w:color w:val="auto"/>
              </w:rPr>
              <w:t>3,332,116</w:t>
            </w:r>
          </w:p>
        </w:tc>
        <w:tc>
          <w:tcPr>
            <w:tcW w:w="900" w:type="dxa"/>
            <w:vAlign w:val="bottom"/>
            <w:tcBorders>
              <w:right w:val="single" w:sz="8" w:color="auto"/>
            </w:tcBorders>
          </w:tcPr>
          <w:p>
            <w:pPr>
              <w:jc w:val="center"/>
              <w:ind w:left="59"/>
              <w:spacing w:after="0"/>
              <w:rPr>
                <w:sz w:val="20"/>
                <w:szCs w:val="20"/>
                <w:color w:val="auto"/>
              </w:rPr>
            </w:pPr>
            <w:r>
              <w:rPr>
                <w:rFonts w:ascii="Arial" w:cs="Arial" w:eastAsia="Arial" w:hAnsi="Arial"/>
                <w:sz w:val="8"/>
                <w:szCs w:val="8"/>
                <w:b w:val="1"/>
                <w:bCs w:val="1"/>
                <w:color w:val="auto"/>
              </w:rPr>
              <w:t>3,455,436</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3.7%</w:t>
            </w:r>
          </w:p>
        </w:tc>
      </w:tr>
      <w:tr>
        <w:trPr>
          <w:trHeight w:val="185"/>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8"/>
                <w:szCs w:val="8"/>
                <w:color w:val="auto"/>
              </w:rPr>
              <w:t>Income tax</w:t>
            </w:r>
          </w:p>
        </w:tc>
        <w:tc>
          <w:tcPr>
            <w:tcW w:w="740" w:type="dxa"/>
            <w:vAlign w:val="bottom"/>
          </w:tcPr>
          <w:p>
            <w:pPr>
              <w:jc w:val="center"/>
              <w:spacing w:after="0"/>
              <w:rPr>
                <w:sz w:val="20"/>
                <w:szCs w:val="20"/>
                <w:color w:val="auto"/>
              </w:rPr>
            </w:pPr>
            <w:r>
              <w:rPr>
                <w:rFonts w:ascii="Arial" w:cs="Arial" w:eastAsia="Arial" w:hAnsi="Arial"/>
                <w:sz w:val="8"/>
                <w:szCs w:val="8"/>
                <w:color w:val="auto"/>
              </w:rPr>
              <w:t>(393,752)</w:t>
            </w:r>
          </w:p>
        </w:tc>
        <w:tc>
          <w:tcPr>
            <w:tcW w:w="760" w:type="dxa"/>
            <w:vAlign w:val="bottom"/>
          </w:tcPr>
          <w:p>
            <w:pPr>
              <w:jc w:val="center"/>
              <w:spacing w:after="0"/>
              <w:rPr>
                <w:sz w:val="20"/>
                <w:szCs w:val="20"/>
                <w:color w:val="auto"/>
              </w:rPr>
            </w:pPr>
            <w:r>
              <w:rPr>
                <w:rFonts w:ascii="Arial" w:cs="Arial" w:eastAsia="Arial" w:hAnsi="Arial"/>
                <w:sz w:val="8"/>
                <w:szCs w:val="8"/>
                <w:color w:val="auto"/>
              </w:rPr>
              <w:t>(431,670)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(397,170)</w:t>
            </w:r>
          </w:p>
        </w:tc>
        <w:tc>
          <w:tcPr>
            <w:tcW w:w="520" w:type="dxa"/>
            <w:vAlign w:val="bottom"/>
          </w:tcPr>
          <w:p>
            <w:pPr>
              <w:jc w:val="center"/>
              <w:spacing w:after="0"/>
              <w:rPr>
                <w:sz w:val="20"/>
                <w:szCs w:val="20"/>
                <w:color w:val="auto"/>
              </w:rPr>
            </w:pPr>
            <w:r>
              <w:rPr>
                <w:rFonts w:ascii="Arial" w:cs="Arial" w:eastAsia="Arial" w:hAnsi="Arial"/>
                <w:sz w:val="8"/>
                <w:szCs w:val="8"/>
                <w:color w:val="auto"/>
              </w:rPr>
              <w:t>-8.0%</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0.9%</w:t>
            </w:r>
          </w:p>
        </w:tc>
        <w:tc>
          <w:tcPr>
            <w:tcW w:w="600" w:type="dxa"/>
            <w:vAlign w:val="bottom"/>
          </w:tcPr>
          <w:p>
            <w:pPr>
              <w:jc w:val="center"/>
              <w:ind w:left="79"/>
              <w:spacing w:after="0"/>
              <w:rPr>
                <w:sz w:val="20"/>
                <w:szCs w:val="20"/>
                <w:color w:val="auto"/>
              </w:rPr>
            </w:pPr>
            <w:r>
              <w:rPr>
                <w:rFonts w:ascii="Arial" w:cs="Arial" w:eastAsia="Arial" w:hAnsi="Arial"/>
                <w:sz w:val="8"/>
                <w:szCs w:val="8"/>
                <w:b w:val="1"/>
                <w:bCs w:val="1"/>
                <w:color w:val="auto"/>
              </w:rPr>
              <w:t>(814,547)</w:t>
            </w:r>
          </w:p>
        </w:tc>
        <w:tc>
          <w:tcPr>
            <w:tcW w:w="900" w:type="dxa"/>
            <w:vAlign w:val="bottom"/>
            <w:tcBorders>
              <w:right w:val="single" w:sz="8" w:color="auto"/>
            </w:tcBorders>
          </w:tcPr>
          <w:p>
            <w:pPr>
              <w:jc w:val="center"/>
              <w:ind w:left="59"/>
              <w:spacing w:after="0"/>
              <w:rPr>
                <w:sz w:val="20"/>
                <w:szCs w:val="20"/>
                <w:color w:val="auto"/>
              </w:rPr>
            </w:pPr>
            <w:r>
              <w:rPr>
                <w:rFonts w:ascii="Arial" w:cs="Arial" w:eastAsia="Arial" w:hAnsi="Arial"/>
                <w:sz w:val="8"/>
                <w:szCs w:val="8"/>
                <w:b w:val="1"/>
                <w:bCs w:val="1"/>
                <w:color w:val="auto"/>
              </w:rPr>
              <w:t>(828,840)</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1.8%</w:t>
            </w:r>
          </w:p>
        </w:tc>
      </w:tr>
      <w:tr>
        <w:trPr>
          <w:trHeight w:val="165"/>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8"/>
                <w:szCs w:val="8"/>
                <w:b w:val="1"/>
                <w:bCs w:val="1"/>
                <w:color w:val="auto"/>
              </w:rPr>
              <w:t>Net profit</w:t>
            </w:r>
          </w:p>
        </w:tc>
        <w:tc>
          <w:tcPr>
            <w:tcW w:w="740" w:type="dxa"/>
            <w:vAlign w:val="bottom"/>
          </w:tcPr>
          <w:p>
            <w:pPr>
              <w:jc w:val="center"/>
              <w:spacing w:after="0"/>
              <w:rPr>
                <w:sz w:val="20"/>
                <w:szCs w:val="20"/>
                <w:color w:val="auto"/>
              </w:rPr>
            </w:pPr>
            <w:r>
              <w:rPr>
                <w:rFonts w:ascii="Arial" w:cs="Arial" w:eastAsia="Arial" w:hAnsi="Arial"/>
                <w:sz w:val="8"/>
                <w:szCs w:val="8"/>
                <w:b w:val="1"/>
                <w:bCs w:val="1"/>
                <w:color w:val="auto"/>
              </w:rPr>
              <w:t>1,253,967</w:t>
            </w:r>
          </w:p>
        </w:tc>
        <w:tc>
          <w:tcPr>
            <w:tcW w:w="760" w:type="dxa"/>
            <w:vAlign w:val="bottom"/>
          </w:tcPr>
          <w:p>
            <w:pPr>
              <w:jc w:val="center"/>
              <w:spacing w:after="0"/>
              <w:rPr>
                <w:sz w:val="20"/>
                <w:szCs w:val="20"/>
                <w:color w:val="auto"/>
              </w:rPr>
            </w:pPr>
            <w:r>
              <w:rPr>
                <w:rFonts w:ascii="Arial" w:cs="Arial" w:eastAsia="Arial" w:hAnsi="Arial"/>
                <w:sz w:val="8"/>
                <w:szCs w:val="8"/>
                <w:b w:val="1"/>
                <w:bCs w:val="1"/>
                <w:color w:val="auto"/>
              </w:rPr>
              <w:t>1,381,546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1,245,050</w:t>
            </w:r>
          </w:p>
        </w:tc>
        <w:tc>
          <w:tcPr>
            <w:tcW w:w="520" w:type="dxa"/>
            <w:vAlign w:val="bottom"/>
          </w:tcPr>
          <w:p>
            <w:pPr>
              <w:jc w:val="center"/>
              <w:spacing w:after="0"/>
              <w:rPr>
                <w:sz w:val="20"/>
                <w:szCs w:val="20"/>
                <w:color w:val="auto"/>
              </w:rPr>
            </w:pPr>
            <w:r>
              <w:rPr>
                <w:rFonts w:ascii="Arial" w:cs="Arial" w:eastAsia="Arial" w:hAnsi="Arial"/>
                <w:sz w:val="8"/>
                <w:szCs w:val="8"/>
                <w:b w:val="1"/>
                <w:bCs w:val="1"/>
                <w:color w:val="auto"/>
              </w:rPr>
              <w:t>-9.9%</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-0.7%</w:t>
            </w:r>
          </w:p>
        </w:tc>
        <w:tc>
          <w:tcPr>
            <w:tcW w:w="600" w:type="dxa"/>
            <w:vAlign w:val="bottom"/>
          </w:tcPr>
          <w:p>
            <w:pPr>
              <w:jc w:val="center"/>
              <w:ind w:left="79"/>
              <w:spacing w:after="0"/>
              <w:rPr>
                <w:sz w:val="20"/>
                <w:szCs w:val="20"/>
                <w:color w:val="auto"/>
              </w:rPr>
            </w:pPr>
            <w:r>
              <w:rPr>
                <w:rFonts w:ascii="Arial" w:cs="Arial" w:eastAsia="Arial" w:hAnsi="Arial"/>
                <w:sz w:val="8"/>
                <w:szCs w:val="8"/>
                <w:b w:val="1"/>
                <w:bCs w:val="1"/>
                <w:color w:val="auto"/>
              </w:rPr>
              <w:t>2,517,569</w:t>
            </w:r>
          </w:p>
        </w:tc>
        <w:tc>
          <w:tcPr>
            <w:tcW w:w="900" w:type="dxa"/>
            <w:vAlign w:val="bottom"/>
            <w:tcBorders>
              <w:right w:val="single" w:sz="8" w:color="auto"/>
            </w:tcBorders>
          </w:tcPr>
          <w:p>
            <w:pPr>
              <w:jc w:val="center"/>
              <w:ind w:left="59"/>
              <w:spacing w:after="0"/>
              <w:rPr>
                <w:sz w:val="20"/>
                <w:szCs w:val="20"/>
                <w:color w:val="auto"/>
              </w:rPr>
            </w:pPr>
            <w:r>
              <w:rPr>
                <w:rFonts w:ascii="Arial" w:cs="Arial" w:eastAsia="Arial" w:hAnsi="Arial"/>
                <w:sz w:val="8"/>
                <w:szCs w:val="8"/>
                <w:b w:val="1"/>
                <w:bCs w:val="1"/>
                <w:color w:val="auto"/>
              </w:rPr>
              <w:t>2,626,596</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4.3%</w:t>
            </w:r>
          </w:p>
        </w:tc>
      </w:tr>
      <w:tr>
        <w:trPr>
          <w:trHeight w:val="93"/>
        </w:trPr>
        <w:tc>
          <w:tcPr>
            <w:tcW w:w="5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8"/>
                <w:szCs w:val="8"/>
                <w:color w:val="auto"/>
              </w:rPr>
              <w:t>Non-controlling interest</w:t>
            </w: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Borders>
              <w:right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r>
      <w:tr>
        <w:trPr>
          <w:trHeight w:val="103"/>
        </w:trPr>
        <w:tc>
          <w:tcPr>
            <w:tcW w:w="5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8"/>
                <w:szCs w:val="8"/>
                <w:b w:val="1"/>
                <w:bCs w:val="1"/>
                <w:color w:val="auto"/>
              </w:rPr>
              <w:t>Net profit attributable to BCP</w:t>
            </w:r>
          </w:p>
        </w:tc>
        <w:tc>
          <w:tcPr>
            <w:tcW w:w="740" w:type="dxa"/>
            <w:vAlign w:val="bottom"/>
            <w:tcBorders>
              <w:bottom w:val="single" w:sz="8" w:color="auto"/>
            </w:tcBorders>
          </w:tcPr>
          <w:p>
            <w:pPr>
              <w:jc w:val="right"/>
              <w:ind w:right="159"/>
              <w:spacing w:after="0"/>
              <w:rPr>
                <w:sz w:val="20"/>
                <w:szCs w:val="20"/>
                <w:color w:val="auto"/>
              </w:rPr>
            </w:pPr>
            <w:r>
              <w:rPr>
                <w:rFonts w:ascii="Arial" w:cs="Arial" w:eastAsia="Arial" w:hAnsi="Arial"/>
                <w:sz w:val="8"/>
                <w:szCs w:val="8"/>
                <w:b w:val="1"/>
                <w:bCs w:val="1"/>
                <w:color w:val="auto"/>
              </w:rPr>
              <w:t>1,253,967</w:t>
            </w: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8"/>
                <w:szCs w:val="8"/>
                <w:b w:val="1"/>
                <w:bCs w:val="1"/>
                <w:color w:val="auto"/>
              </w:rPr>
              <w:t>1,381,546</w:t>
            </w:r>
          </w:p>
        </w:tc>
        <w:tc>
          <w:tcPr>
            <w:tcW w:w="780" w:type="dxa"/>
            <w:vAlign w:val="bottom"/>
            <w:tcBorders>
              <w:bottom w:val="single" w:sz="8" w:color="auto"/>
              <w:right w:val="single" w:sz="8" w:color="auto"/>
            </w:tcBorders>
          </w:tcPr>
          <w:p>
            <w:pPr>
              <w:jc w:val="right"/>
              <w:ind w:right="179"/>
              <w:spacing w:after="0"/>
              <w:rPr>
                <w:sz w:val="20"/>
                <w:szCs w:val="20"/>
                <w:color w:val="auto"/>
              </w:rPr>
            </w:pPr>
            <w:r>
              <w:rPr>
                <w:rFonts w:ascii="Arial" w:cs="Arial" w:eastAsia="Arial" w:hAnsi="Arial"/>
                <w:sz w:val="8"/>
                <w:szCs w:val="8"/>
                <w:b w:val="1"/>
                <w:bCs w:val="1"/>
                <w:color w:val="auto"/>
              </w:rPr>
              <w:t>1,245,050</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-9.9%</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rPr>
              <w:t>-0.7%</w:t>
            </w:r>
          </w:p>
        </w:tc>
        <w:tc>
          <w:tcPr>
            <w:tcW w:w="600" w:type="dxa"/>
            <w:vAlign w:val="bottom"/>
            <w:tcBorders>
              <w:bottom w:val="single" w:sz="8" w:color="auto"/>
            </w:tcBorders>
          </w:tcPr>
          <w:p>
            <w:pPr>
              <w:jc w:val="center"/>
              <w:ind w:left="79"/>
              <w:spacing w:after="0"/>
              <w:rPr>
                <w:sz w:val="20"/>
                <w:szCs w:val="20"/>
                <w:color w:val="auto"/>
              </w:rPr>
            </w:pPr>
            <w:r>
              <w:rPr>
                <w:rFonts w:ascii="Arial" w:cs="Arial" w:eastAsia="Arial" w:hAnsi="Arial"/>
                <w:sz w:val="8"/>
                <w:szCs w:val="8"/>
                <w:b w:val="1"/>
                <w:bCs w:val="1"/>
                <w:color w:val="auto"/>
              </w:rPr>
              <w:t>2,517,569</w:t>
            </w:r>
          </w:p>
        </w:tc>
        <w:tc>
          <w:tcPr>
            <w:tcW w:w="900" w:type="dxa"/>
            <w:vAlign w:val="bottom"/>
            <w:tcBorders>
              <w:bottom w:val="single" w:sz="8" w:color="auto"/>
              <w:right w:val="single" w:sz="8" w:color="auto"/>
            </w:tcBorders>
          </w:tcPr>
          <w:p>
            <w:pPr>
              <w:jc w:val="center"/>
              <w:ind w:left="59"/>
              <w:spacing w:after="0"/>
              <w:rPr>
                <w:sz w:val="20"/>
                <w:szCs w:val="20"/>
                <w:color w:val="auto"/>
              </w:rPr>
            </w:pPr>
            <w:r>
              <w:rPr>
                <w:rFonts w:ascii="Arial" w:cs="Arial" w:eastAsia="Arial" w:hAnsi="Arial"/>
                <w:sz w:val="8"/>
                <w:szCs w:val="8"/>
                <w:b w:val="1"/>
                <w:bCs w:val="1"/>
                <w:color w:val="auto"/>
              </w:rPr>
              <w:t>2,626,596</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w w:val="98"/>
              </w:rPr>
              <w:t>4.3%</w:t>
            </w:r>
          </w:p>
        </w:tc>
      </w:tr>
    </w:tbl>
    <w:p>
      <w:pPr>
        <w:spacing w:after="0" w:line="138" w:lineRule="exact"/>
        <w:rPr>
          <w:sz w:val="20"/>
          <w:szCs w:val="20"/>
          <w:color w:val="auto"/>
        </w:rPr>
      </w:pPr>
    </w:p>
    <w:p>
      <w:pPr>
        <w:ind w:left="740" w:hanging="135"/>
        <w:spacing w:after="0"/>
        <w:tabs>
          <w:tab w:leader="none" w:pos="740" w:val="left"/>
        </w:tabs>
        <w:numPr>
          <w:ilvl w:val="0"/>
          <w:numId w:val="57"/>
        </w:numPr>
        <w:rPr>
          <w:rFonts w:ascii="Arial" w:cs="Arial" w:eastAsia="Arial" w:hAnsi="Arial"/>
          <w:sz w:val="10"/>
          <w:szCs w:val="10"/>
          <w:color w:val="auto"/>
        </w:rPr>
      </w:pPr>
      <w:r>
        <w:rPr>
          <w:rFonts w:ascii="Arial" w:cs="Arial" w:eastAsia="Arial" w:hAnsi="Arial"/>
          <w:sz w:val="10"/>
          <w:szCs w:val="10"/>
          <w:color w:val="auto"/>
        </w:rPr>
        <w:t>Financing expenses related to lease agreements are included according to the application of IFRS 16.</w:t>
      </w:r>
    </w:p>
    <w:p>
      <w:pPr>
        <w:ind w:left="740" w:hanging="135"/>
        <w:spacing w:after="0"/>
        <w:tabs>
          <w:tab w:leader="none" w:pos="740" w:val="left"/>
        </w:tabs>
        <w:numPr>
          <w:ilvl w:val="0"/>
          <w:numId w:val="57"/>
        </w:numPr>
        <w:rPr>
          <w:rFonts w:ascii="Arial" w:cs="Arial" w:eastAsia="Arial" w:hAnsi="Arial"/>
          <w:sz w:val="10"/>
          <w:szCs w:val="10"/>
          <w:color w:val="auto"/>
        </w:rPr>
      </w:pPr>
      <w:r>
        <w:rPr>
          <w:rFonts w:ascii="Arial" w:cs="Arial" w:eastAsia="Arial" w:hAnsi="Arial"/>
          <w:sz w:val="10"/>
          <w:szCs w:val="10"/>
          <w:color w:val="auto"/>
        </w:rPr>
        <w:t>The effect of the application of IFRS 16 is included, which corresponds to a greater depreciation for the asset for right-of-use”.</w:t>
      </w:r>
    </w:p>
    <w:p>
      <w:pPr>
        <w:spacing w:after="0" w:line="136" w:lineRule="exact"/>
        <w:rPr>
          <w:sz w:val="20"/>
          <w:szCs w:val="20"/>
          <w:color w:val="auto"/>
        </w:rPr>
      </w:pPr>
    </w:p>
    <w:p>
      <w:pPr>
        <w:jc w:val="center"/>
        <w:ind w:right="380"/>
        <w:spacing w:after="0"/>
        <w:rPr>
          <w:sz w:val="20"/>
          <w:szCs w:val="20"/>
          <w:color w:val="auto"/>
        </w:rPr>
      </w:pPr>
      <w:r>
        <w:rPr>
          <w:rFonts w:ascii="Arial" w:cs="Arial" w:eastAsia="Arial" w:hAnsi="Arial"/>
          <w:sz w:val="12"/>
          <w:szCs w:val="12"/>
          <w:b w:val="1"/>
          <w:bCs w:val="1"/>
          <w:color w:val="auto"/>
        </w:rPr>
        <w:t>Selected Financial Indicators</w:t>
      </w:r>
    </w:p>
    <w:p>
      <w:pPr>
        <w:spacing w:after="0" w:line="151" w:lineRule="exact"/>
        <w:rPr>
          <w:sz w:val="20"/>
          <w:szCs w:val="20"/>
          <w:color w:val="auto"/>
        </w:rPr>
      </w:pPr>
    </w:p>
    <w:tbl>
      <w:tblPr>
        <w:tblLayout w:type="fixed"/>
        <w:tblInd w:w="350" w:type="dxa"/>
        <w:tblCellMar>
          <w:top w:w="0" w:type="dxa"/>
          <w:left w:w="0" w:type="dxa"/>
          <w:bottom w:w="0" w:type="dxa"/>
          <w:right w:w="0" w:type="dxa"/>
        </w:tblCellMar>
      </w:tblPr>
      <w:tr>
        <w:trPr>
          <w:trHeight w:val="134"/>
        </w:trPr>
        <w:tc>
          <w:tcPr>
            <w:tcW w:w="5300" w:type="dxa"/>
            <w:vAlign w:val="bottom"/>
            <w:tcBorders>
              <w:top w:val="single" w:sz="8" w:color="auto"/>
              <w:left w:val="single" w:sz="8" w:color="auto"/>
              <w:right w:val="single" w:sz="8" w:color="auto"/>
            </w:tcBorders>
            <w:shd w:val="clear" w:color="auto" w:fill="2AD2C9"/>
          </w:tcPr>
          <w:p>
            <w:pPr>
              <w:spacing w:after="0"/>
              <w:rPr>
                <w:sz w:val="11"/>
                <w:szCs w:val="11"/>
                <w:color w:val="auto"/>
              </w:rPr>
            </w:pPr>
          </w:p>
        </w:tc>
        <w:tc>
          <w:tcPr>
            <w:tcW w:w="1160" w:type="dxa"/>
            <w:vAlign w:val="bottom"/>
            <w:tcBorders>
              <w:top w:val="single" w:sz="8" w:color="auto"/>
            </w:tcBorders>
            <w:shd w:val="clear" w:color="auto" w:fill="2AD2C9"/>
          </w:tcPr>
          <w:p>
            <w:pPr>
              <w:spacing w:after="0"/>
              <w:rPr>
                <w:sz w:val="11"/>
                <w:szCs w:val="11"/>
                <w:color w:val="auto"/>
              </w:rPr>
            </w:pPr>
          </w:p>
        </w:tc>
        <w:tc>
          <w:tcPr>
            <w:tcW w:w="1220" w:type="dxa"/>
            <w:vAlign w:val="bottom"/>
            <w:tcBorders>
              <w:top w:val="single" w:sz="8" w:color="auto"/>
            </w:tcBorders>
            <w:shd w:val="clear" w:color="auto" w:fill="2AD2C9"/>
          </w:tcPr>
          <w:p>
            <w:pPr>
              <w:ind w:left="360"/>
              <w:spacing w:after="0"/>
              <w:rPr>
                <w:sz w:val="20"/>
                <w:szCs w:val="20"/>
                <w:color w:val="auto"/>
              </w:rPr>
            </w:pPr>
            <w:r>
              <w:rPr>
                <w:rFonts w:ascii="Arial" w:cs="Arial" w:eastAsia="Arial" w:hAnsi="Arial"/>
                <w:sz w:val="11"/>
                <w:szCs w:val="11"/>
                <w:b w:val="1"/>
                <w:bCs w:val="1"/>
                <w:color w:val="FFFFFF"/>
              </w:rPr>
              <w:t>Quarter</w:t>
            </w:r>
          </w:p>
        </w:tc>
        <w:tc>
          <w:tcPr>
            <w:tcW w:w="1080" w:type="dxa"/>
            <w:vAlign w:val="bottom"/>
            <w:tcBorders>
              <w:top w:val="single" w:sz="8" w:color="auto"/>
              <w:right w:val="single" w:sz="8" w:color="auto"/>
            </w:tcBorders>
            <w:shd w:val="clear" w:color="auto" w:fill="2AD2C9"/>
          </w:tcPr>
          <w:p>
            <w:pPr>
              <w:spacing w:after="0"/>
              <w:rPr>
                <w:sz w:val="11"/>
                <w:szCs w:val="11"/>
                <w:color w:val="auto"/>
              </w:rPr>
            </w:pPr>
          </w:p>
        </w:tc>
        <w:tc>
          <w:tcPr>
            <w:tcW w:w="540" w:type="dxa"/>
            <w:vAlign w:val="bottom"/>
            <w:tcBorders>
              <w:top w:val="single" w:sz="8" w:color="auto"/>
            </w:tcBorders>
            <w:shd w:val="clear" w:color="auto" w:fill="2AD2C9"/>
          </w:tcPr>
          <w:p>
            <w:pPr>
              <w:spacing w:after="0"/>
              <w:rPr>
                <w:sz w:val="11"/>
                <w:szCs w:val="11"/>
                <w:color w:val="auto"/>
              </w:rPr>
            </w:pPr>
          </w:p>
        </w:tc>
        <w:tc>
          <w:tcPr>
            <w:tcW w:w="860" w:type="dxa"/>
            <w:vAlign w:val="bottom"/>
            <w:tcBorders>
              <w:top w:val="single" w:sz="8" w:color="auto"/>
              <w:right w:val="single" w:sz="8" w:color="auto"/>
            </w:tcBorders>
            <w:shd w:val="clear" w:color="auto" w:fill="2AD2C9"/>
          </w:tcPr>
          <w:p>
            <w:pPr>
              <w:spacing w:after="0"/>
              <w:rPr>
                <w:sz w:val="20"/>
                <w:szCs w:val="20"/>
                <w:color w:val="auto"/>
              </w:rPr>
            </w:pPr>
            <w:r>
              <w:rPr>
                <w:rFonts w:ascii="Arial" w:cs="Arial" w:eastAsia="Arial" w:hAnsi="Arial"/>
                <w:sz w:val="11"/>
                <w:szCs w:val="11"/>
                <w:b w:val="1"/>
                <w:bCs w:val="1"/>
                <w:color w:val="FFFFFF"/>
              </w:rPr>
              <w:t>Up to</w:t>
            </w:r>
          </w:p>
        </w:tc>
      </w:tr>
      <w:tr>
        <w:trPr>
          <w:trHeight w:val="123"/>
        </w:trPr>
        <w:tc>
          <w:tcPr>
            <w:tcW w:w="5300" w:type="dxa"/>
            <w:vAlign w:val="bottom"/>
            <w:tcBorders>
              <w:left w:val="single" w:sz="8" w:color="auto"/>
              <w:bottom w:val="single" w:sz="8" w:color="auto"/>
              <w:right w:val="single" w:sz="8" w:color="auto"/>
            </w:tcBorders>
            <w:shd w:val="clear" w:color="auto" w:fill="2AD2C9"/>
          </w:tcPr>
          <w:p>
            <w:pPr>
              <w:spacing w:after="0"/>
              <w:rPr>
                <w:sz w:val="10"/>
                <w:szCs w:val="10"/>
                <w:color w:val="auto"/>
              </w:rPr>
            </w:pPr>
          </w:p>
        </w:tc>
        <w:tc>
          <w:tcPr>
            <w:tcW w:w="1160" w:type="dxa"/>
            <w:vAlign w:val="bottom"/>
            <w:tcBorders>
              <w:bottom w:val="single" w:sz="8" w:color="auto"/>
            </w:tcBorders>
            <w:shd w:val="clear" w:color="auto" w:fill="2AD2C9"/>
          </w:tcPr>
          <w:p>
            <w:pPr>
              <w:jc w:val="center"/>
              <w:spacing w:after="0" w:line="124" w:lineRule="exact"/>
              <w:rPr>
                <w:sz w:val="20"/>
                <w:szCs w:val="20"/>
                <w:color w:val="auto"/>
              </w:rPr>
            </w:pPr>
            <w:r>
              <w:rPr>
                <w:rFonts w:ascii="Arial" w:cs="Arial" w:eastAsia="Arial" w:hAnsi="Arial"/>
                <w:sz w:val="11"/>
                <w:szCs w:val="11"/>
                <w:b w:val="1"/>
                <w:bCs w:val="1"/>
                <w:color w:val="FFFFFF"/>
              </w:rPr>
              <w:t>2Q23</w:t>
            </w:r>
          </w:p>
        </w:tc>
        <w:tc>
          <w:tcPr>
            <w:tcW w:w="1220" w:type="dxa"/>
            <w:vAlign w:val="bottom"/>
            <w:tcBorders>
              <w:bottom w:val="single" w:sz="8" w:color="auto"/>
            </w:tcBorders>
            <w:shd w:val="clear" w:color="auto" w:fill="2AD2C9"/>
          </w:tcPr>
          <w:p>
            <w:pPr>
              <w:jc w:val="center"/>
              <w:ind w:left="25"/>
              <w:spacing w:after="0" w:line="124" w:lineRule="exact"/>
              <w:rPr>
                <w:sz w:val="20"/>
                <w:szCs w:val="20"/>
                <w:color w:val="auto"/>
              </w:rPr>
            </w:pPr>
            <w:r>
              <w:rPr>
                <w:rFonts w:ascii="Arial" w:cs="Arial" w:eastAsia="Arial" w:hAnsi="Arial"/>
                <w:sz w:val="11"/>
                <w:szCs w:val="11"/>
                <w:b w:val="1"/>
                <w:bCs w:val="1"/>
                <w:color w:val="FFFFFF"/>
                <w:w w:val="96"/>
              </w:rPr>
              <w:t>1Q24</w:t>
            </w:r>
          </w:p>
        </w:tc>
        <w:tc>
          <w:tcPr>
            <w:tcW w:w="1080" w:type="dxa"/>
            <w:vAlign w:val="bottom"/>
            <w:tcBorders>
              <w:bottom w:val="single" w:sz="8" w:color="auto"/>
              <w:right w:val="single" w:sz="8" w:color="auto"/>
            </w:tcBorders>
            <w:shd w:val="clear" w:color="auto" w:fill="2AD2C9"/>
          </w:tcPr>
          <w:p>
            <w:pPr>
              <w:jc w:val="center"/>
              <w:spacing w:after="0" w:line="124" w:lineRule="exact"/>
              <w:rPr>
                <w:sz w:val="20"/>
                <w:szCs w:val="20"/>
                <w:color w:val="auto"/>
              </w:rPr>
            </w:pPr>
            <w:r>
              <w:rPr>
                <w:rFonts w:ascii="Arial" w:cs="Arial" w:eastAsia="Arial" w:hAnsi="Arial"/>
                <w:sz w:val="11"/>
                <w:szCs w:val="11"/>
                <w:b w:val="1"/>
                <w:bCs w:val="1"/>
                <w:color w:val="FFFFFF"/>
                <w:w w:val="96"/>
              </w:rPr>
              <w:t>2Q24</w:t>
            </w:r>
          </w:p>
        </w:tc>
        <w:tc>
          <w:tcPr>
            <w:tcW w:w="540" w:type="dxa"/>
            <w:vAlign w:val="bottom"/>
            <w:tcBorders>
              <w:bottom w:val="single" w:sz="8" w:color="auto"/>
            </w:tcBorders>
            <w:shd w:val="clear" w:color="auto" w:fill="2AD2C9"/>
          </w:tcPr>
          <w:p>
            <w:pPr>
              <w:jc w:val="center"/>
              <w:ind w:left="65"/>
              <w:spacing w:after="0" w:line="124" w:lineRule="exact"/>
              <w:rPr>
                <w:sz w:val="20"/>
                <w:szCs w:val="20"/>
                <w:color w:val="auto"/>
              </w:rPr>
            </w:pPr>
            <w:r>
              <w:rPr>
                <w:rFonts w:ascii="Arial" w:cs="Arial" w:eastAsia="Arial" w:hAnsi="Arial"/>
                <w:sz w:val="11"/>
                <w:szCs w:val="11"/>
                <w:b w:val="1"/>
                <w:bCs w:val="1"/>
                <w:color w:val="FFFFFF"/>
                <w:w w:val="98"/>
              </w:rPr>
              <w:t>1H23</w:t>
            </w:r>
          </w:p>
        </w:tc>
        <w:tc>
          <w:tcPr>
            <w:tcW w:w="860" w:type="dxa"/>
            <w:vAlign w:val="bottom"/>
            <w:tcBorders>
              <w:bottom w:val="single" w:sz="8" w:color="auto"/>
              <w:right w:val="single" w:sz="8" w:color="auto"/>
            </w:tcBorders>
            <w:shd w:val="clear" w:color="auto" w:fill="2AD2C9"/>
          </w:tcPr>
          <w:p>
            <w:pPr>
              <w:jc w:val="center"/>
              <w:ind w:left="65"/>
              <w:spacing w:after="0" w:line="124" w:lineRule="exact"/>
              <w:rPr>
                <w:sz w:val="20"/>
                <w:szCs w:val="20"/>
                <w:color w:val="auto"/>
              </w:rPr>
            </w:pPr>
            <w:r>
              <w:rPr>
                <w:rFonts w:ascii="Arial" w:cs="Arial" w:eastAsia="Arial" w:hAnsi="Arial"/>
                <w:sz w:val="11"/>
                <w:szCs w:val="11"/>
                <w:b w:val="1"/>
                <w:bCs w:val="1"/>
                <w:color w:val="FFFFFF"/>
                <w:w w:val="98"/>
              </w:rPr>
              <w:t>1H24</w:t>
            </w:r>
          </w:p>
        </w:tc>
      </w:tr>
      <w:tr>
        <w:trPr>
          <w:trHeight w:val="95"/>
        </w:trPr>
        <w:tc>
          <w:tcPr>
            <w:tcW w:w="5300" w:type="dxa"/>
            <w:vAlign w:val="bottom"/>
            <w:tcBorders>
              <w:left w:val="single" w:sz="8" w:color="auto"/>
              <w:right w:val="single" w:sz="8" w:color="auto"/>
            </w:tcBorders>
          </w:tcPr>
          <w:p>
            <w:pPr>
              <w:ind w:left="40"/>
              <w:spacing w:after="0" w:line="95" w:lineRule="exact"/>
              <w:rPr>
                <w:sz w:val="20"/>
                <w:szCs w:val="20"/>
                <w:color w:val="auto"/>
              </w:rPr>
            </w:pPr>
            <w:r>
              <w:rPr>
                <w:rFonts w:ascii="Arial" w:cs="Arial" w:eastAsia="Arial" w:hAnsi="Arial"/>
                <w:sz w:val="11"/>
                <w:szCs w:val="11"/>
                <w:b w:val="1"/>
                <w:bCs w:val="1"/>
                <w:color w:val="auto"/>
              </w:rPr>
              <w:t>Profitability</w:t>
            </w:r>
          </w:p>
        </w:tc>
        <w:tc>
          <w:tcPr>
            <w:tcW w:w="1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Borders>
              <w:right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Borders>
              <w:right w:val="single" w:sz="8" w:color="auto"/>
            </w:tcBorders>
          </w:tcPr>
          <w:p>
            <w:pPr>
              <w:spacing w:after="0"/>
              <w:rPr>
                <w:sz w:val="8"/>
                <w:szCs w:val="8"/>
                <w:color w:val="auto"/>
              </w:rPr>
            </w:pPr>
          </w:p>
        </w:tc>
      </w:tr>
      <w:tr>
        <w:trPr>
          <w:trHeight w:val="123"/>
        </w:trPr>
        <w:tc>
          <w:tcPr>
            <w:tcW w:w="530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color w:val="auto"/>
                <w:vertAlign w:val="subscript"/>
              </w:rPr>
              <w:t>ROAA</w:t>
            </w:r>
            <w:r>
              <w:rPr>
                <w:rFonts w:ascii="Arial" w:cs="Arial" w:eastAsia="Arial" w:hAnsi="Arial"/>
                <w:sz w:val="7"/>
                <w:szCs w:val="7"/>
                <w:color w:val="auto"/>
              </w:rPr>
              <w:t xml:space="preserve"> (1)(2)</w:t>
            </w:r>
          </w:p>
        </w:tc>
        <w:tc>
          <w:tcPr>
            <w:tcW w:w="1160" w:type="dxa"/>
            <w:vAlign w:val="bottom"/>
          </w:tcPr>
          <w:p>
            <w:pPr>
              <w:jc w:val="center"/>
              <w:spacing w:after="0" w:line="124" w:lineRule="exact"/>
              <w:rPr>
                <w:sz w:val="20"/>
                <w:szCs w:val="20"/>
                <w:color w:val="auto"/>
              </w:rPr>
            </w:pPr>
            <w:r>
              <w:rPr>
                <w:rFonts w:ascii="Arial" w:cs="Arial" w:eastAsia="Arial" w:hAnsi="Arial"/>
                <w:sz w:val="11"/>
                <w:szCs w:val="11"/>
                <w:color w:val="auto"/>
                <w:w w:val="95"/>
              </w:rPr>
              <w:t>2.8%</w:t>
            </w:r>
          </w:p>
        </w:tc>
        <w:tc>
          <w:tcPr>
            <w:tcW w:w="1220" w:type="dxa"/>
            <w:vAlign w:val="bottom"/>
          </w:tcPr>
          <w:p>
            <w:pPr>
              <w:jc w:val="center"/>
              <w:ind w:left="45"/>
              <w:spacing w:after="0" w:line="124" w:lineRule="exact"/>
              <w:rPr>
                <w:sz w:val="20"/>
                <w:szCs w:val="20"/>
                <w:color w:val="auto"/>
              </w:rPr>
            </w:pPr>
            <w:r>
              <w:rPr>
                <w:rFonts w:ascii="Arial" w:cs="Arial" w:eastAsia="Arial" w:hAnsi="Arial"/>
                <w:sz w:val="11"/>
                <w:szCs w:val="11"/>
                <w:color w:val="auto"/>
                <w:w w:val="95"/>
              </w:rPr>
              <w:t>3.0%</w:t>
            </w:r>
          </w:p>
        </w:tc>
        <w:tc>
          <w:tcPr>
            <w:tcW w:w="10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2.7%</w:t>
            </w:r>
          </w:p>
        </w:tc>
        <w:tc>
          <w:tcPr>
            <w:tcW w:w="540" w:type="dxa"/>
            <w:vAlign w:val="bottom"/>
          </w:tcPr>
          <w:p>
            <w:pPr>
              <w:jc w:val="center"/>
              <w:ind w:left="65"/>
              <w:spacing w:after="0" w:line="124" w:lineRule="exact"/>
              <w:rPr>
                <w:sz w:val="20"/>
                <w:szCs w:val="20"/>
                <w:color w:val="auto"/>
              </w:rPr>
            </w:pPr>
            <w:r>
              <w:rPr>
                <w:rFonts w:ascii="Arial" w:cs="Arial" w:eastAsia="Arial" w:hAnsi="Arial"/>
                <w:sz w:val="11"/>
                <w:szCs w:val="11"/>
                <w:color w:val="auto"/>
              </w:rPr>
              <w:t>2.8%</w:t>
            </w:r>
          </w:p>
        </w:tc>
        <w:tc>
          <w:tcPr>
            <w:tcW w:w="860" w:type="dxa"/>
            <w:vAlign w:val="bottom"/>
            <w:tcBorders>
              <w:right w:val="single" w:sz="8" w:color="auto"/>
            </w:tcBorders>
          </w:tcPr>
          <w:p>
            <w:pPr>
              <w:jc w:val="center"/>
              <w:ind w:left="85"/>
              <w:spacing w:after="0" w:line="124" w:lineRule="exact"/>
              <w:rPr>
                <w:sz w:val="20"/>
                <w:szCs w:val="20"/>
                <w:color w:val="auto"/>
              </w:rPr>
            </w:pPr>
            <w:r>
              <w:rPr>
                <w:rFonts w:ascii="Arial" w:cs="Arial" w:eastAsia="Arial" w:hAnsi="Arial"/>
                <w:sz w:val="11"/>
                <w:szCs w:val="11"/>
                <w:color w:val="auto"/>
                <w:w w:val="95"/>
              </w:rPr>
              <w:t>2.8%</w:t>
            </w:r>
          </w:p>
        </w:tc>
      </w:tr>
      <w:tr>
        <w:trPr>
          <w:trHeight w:val="123"/>
        </w:trPr>
        <w:tc>
          <w:tcPr>
            <w:tcW w:w="530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4"/>
                <w:szCs w:val="14"/>
                <w:color w:val="auto"/>
                <w:vertAlign w:val="subscript"/>
              </w:rPr>
              <w:t>ROAE</w:t>
            </w:r>
            <w:r>
              <w:rPr>
                <w:rFonts w:ascii="Arial" w:cs="Arial" w:eastAsia="Arial" w:hAnsi="Arial"/>
                <w:sz w:val="7"/>
                <w:szCs w:val="7"/>
                <w:color w:val="auto"/>
              </w:rPr>
              <w:t xml:space="preserve"> (1)(2)</w:t>
            </w:r>
          </w:p>
        </w:tc>
        <w:tc>
          <w:tcPr>
            <w:tcW w:w="1160" w:type="dxa"/>
            <w:vAlign w:val="bottom"/>
          </w:tcPr>
          <w:p>
            <w:pPr>
              <w:jc w:val="center"/>
              <w:spacing w:after="0" w:line="124" w:lineRule="exact"/>
              <w:rPr>
                <w:sz w:val="20"/>
                <w:szCs w:val="20"/>
                <w:color w:val="auto"/>
              </w:rPr>
            </w:pPr>
            <w:r>
              <w:rPr>
                <w:rFonts w:ascii="Arial" w:cs="Arial" w:eastAsia="Arial" w:hAnsi="Arial"/>
                <w:sz w:val="11"/>
                <w:szCs w:val="11"/>
                <w:color w:val="auto"/>
              </w:rPr>
              <w:t>22.3%</w:t>
            </w:r>
          </w:p>
        </w:tc>
        <w:tc>
          <w:tcPr>
            <w:tcW w:w="1220" w:type="dxa"/>
            <w:vAlign w:val="bottom"/>
          </w:tcPr>
          <w:p>
            <w:pPr>
              <w:jc w:val="center"/>
              <w:ind w:left="45"/>
              <w:spacing w:after="0" w:line="124" w:lineRule="exact"/>
              <w:rPr>
                <w:sz w:val="20"/>
                <w:szCs w:val="20"/>
                <w:color w:val="auto"/>
              </w:rPr>
            </w:pPr>
            <w:r>
              <w:rPr>
                <w:rFonts w:ascii="Arial" w:cs="Arial" w:eastAsia="Arial" w:hAnsi="Arial"/>
                <w:sz w:val="11"/>
                <w:szCs w:val="11"/>
                <w:color w:val="auto"/>
              </w:rPr>
              <w:t>23.4%</w:t>
            </w:r>
          </w:p>
        </w:tc>
        <w:tc>
          <w:tcPr>
            <w:tcW w:w="10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6"/>
              </w:rPr>
              <w:t>21.7%</w:t>
            </w:r>
          </w:p>
        </w:tc>
        <w:tc>
          <w:tcPr>
            <w:tcW w:w="540" w:type="dxa"/>
            <w:vAlign w:val="bottom"/>
          </w:tcPr>
          <w:p>
            <w:pPr>
              <w:jc w:val="center"/>
              <w:ind w:left="65"/>
              <w:spacing w:after="0" w:line="124" w:lineRule="exact"/>
              <w:rPr>
                <w:sz w:val="20"/>
                <w:szCs w:val="20"/>
                <w:color w:val="auto"/>
              </w:rPr>
            </w:pPr>
            <w:r>
              <w:rPr>
                <w:rFonts w:ascii="Arial" w:cs="Arial" w:eastAsia="Arial" w:hAnsi="Arial"/>
                <w:sz w:val="11"/>
                <w:szCs w:val="11"/>
                <w:color w:val="auto"/>
                <w:w w:val="96"/>
              </w:rPr>
              <w:t>22.4%</w:t>
            </w:r>
          </w:p>
        </w:tc>
        <w:tc>
          <w:tcPr>
            <w:tcW w:w="860" w:type="dxa"/>
            <w:vAlign w:val="bottom"/>
            <w:tcBorders>
              <w:right w:val="single" w:sz="8" w:color="auto"/>
            </w:tcBorders>
          </w:tcPr>
          <w:p>
            <w:pPr>
              <w:jc w:val="center"/>
              <w:ind w:left="85"/>
              <w:spacing w:after="0" w:line="124" w:lineRule="exact"/>
              <w:rPr>
                <w:sz w:val="20"/>
                <w:szCs w:val="20"/>
                <w:color w:val="auto"/>
              </w:rPr>
            </w:pPr>
            <w:r>
              <w:rPr>
                <w:rFonts w:ascii="Arial" w:cs="Arial" w:eastAsia="Arial" w:hAnsi="Arial"/>
                <w:sz w:val="11"/>
                <w:szCs w:val="11"/>
                <w:color w:val="auto"/>
              </w:rPr>
              <w:t>22.9%</w:t>
            </w:r>
          </w:p>
        </w:tc>
      </w:tr>
      <w:tr>
        <w:trPr>
          <w:trHeight w:val="123"/>
        </w:trPr>
        <w:tc>
          <w:tcPr>
            <w:tcW w:w="530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9"/>
                <w:szCs w:val="9"/>
                <w:color w:val="auto"/>
              </w:rPr>
              <w:t xml:space="preserve">Net interest margin </w:t>
            </w:r>
            <w:r>
              <w:rPr>
                <w:rFonts w:ascii="Arial" w:cs="Arial" w:eastAsia="Arial" w:hAnsi="Arial"/>
                <w:sz w:val="14"/>
                <w:szCs w:val="14"/>
                <w:color w:val="auto"/>
                <w:vertAlign w:val="superscript"/>
              </w:rPr>
              <w:t>(1)(2)</w:t>
            </w:r>
          </w:p>
        </w:tc>
        <w:tc>
          <w:tcPr>
            <w:tcW w:w="1160" w:type="dxa"/>
            <w:vAlign w:val="bottom"/>
          </w:tcPr>
          <w:p>
            <w:pPr>
              <w:jc w:val="center"/>
              <w:spacing w:after="0" w:line="124" w:lineRule="exact"/>
              <w:rPr>
                <w:sz w:val="20"/>
                <w:szCs w:val="20"/>
                <w:color w:val="auto"/>
              </w:rPr>
            </w:pPr>
            <w:r>
              <w:rPr>
                <w:rFonts w:ascii="Arial" w:cs="Arial" w:eastAsia="Arial" w:hAnsi="Arial"/>
                <w:sz w:val="11"/>
                <w:szCs w:val="11"/>
                <w:color w:val="auto"/>
              </w:rPr>
              <w:t>5.67%</w:t>
            </w:r>
          </w:p>
        </w:tc>
        <w:tc>
          <w:tcPr>
            <w:tcW w:w="1220" w:type="dxa"/>
            <w:vAlign w:val="bottom"/>
          </w:tcPr>
          <w:p>
            <w:pPr>
              <w:jc w:val="center"/>
              <w:ind w:left="45"/>
              <w:spacing w:after="0" w:line="124" w:lineRule="exact"/>
              <w:rPr>
                <w:sz w:val="20"/>
                <w:szCs w:val="20"/>
                <w:color w:val="auto"/>
              </w:rPr>
            </w:pPr>
            <w:r>
              <w:rPr>
                <w:rFonts w:ascii="Arial" w:cs="Arial" w:eastAsia="Arial" w:hAnsi="Arial"/>
                <w:sz w:val="11"/>
                <w:szCs w:val="11"/>
                <w:color w:val="auto"/>
              </w:rPr>
              <w:t>6.04%</w:t>
            </w:r>
          </w:p>
        </w:tc>
        <w:tc>
          <w:tcPr>
            <w:tcW w:w="10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6"/>
              </w:rPr>
              <w:t>6.08%</w:t>
            </w:r>
          </w:p>
        </w:tc>
        <w:tc>
          <w:tcPr>
            <w:tcW w:w="540" w:type="dxa"/>
            <w:vAlign w:val="bottom"/>
          </w:tcPr>
          <w:p>
            <w:pPr>
              <w:jc w:val="center"/>
              <w:ind w:left="65"/>
              <w:spacing w:after="0" w:line="124" w:lineRule="exact"/>
              <w:rPr>
                <w:sz w:val="20"/>
                <w:szCs w:val="20"/>
                <w:color w:val="auto"/>
              </w:rPr>
            </w:pPr>
            <w:r>
              <w:rPr>
                <w:rFonts w:ascii="Arial" w:cs="Arial" w:eastAsia="Arial" w:hAnsi="Arial"/>
                <w:sz w:val="11"/>
                <w:szCs w:val="11"/>
                <w:color w:val="auto"/>
                <w:w w:val="96"/>
              </w:rPr>
              <w:t>5.65%</w:t>
            </w:r>
          </w:p>
        </w:tc>
        <w:tc>
          <w:tcPr>
            <w:tcW w:w="860" w:type="dxa"/>
            <w:vAlign w:val="bottom"/>
            <w:tcBorders>
              <w:right w:val="single" w:sz="8" w:color="auto"/>
            </w:tcBorders>
          </w:tcPr>
          <w:p>
            <w:pPr>
              <w:jc w:val="center"/>
              <w:ind w:left="85"/>
              <w:spacing w:after="0" w:line="124" w:lineRule="exact"/>
              <w:rPr>
                <w:sz w:val="20"/>
                <w:szCs w:val="20"/>
                <w:color w:val="auto"/>
              </w:rPr>
            </w:pPr>
            <w:r>
              <w:rPr>
                <w:rFonts w:ascii="Arial" w:cs="Arial" w:eastAsia="Arial" w:hAnsi="Arial"/>
                <w:sz w:val="11"/>
                <w:szCs w:val="11"/>
                <w:color w:val="auto"/>
                <w:w w:val="95"/>
              </w:rPr>
              <w:t>6.0%</w:t>
            </w:r>
          </w:p>
        </w:tc>
      </w:tr>
      <w:tr>
        <w:trPr>
          <w:trHeight w:val="123"/>
        </w:trPr>
        <w:tc>
          <w:tcPr>
            <w:tcW w:w="530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9"/>
                <w:szCs w:val="9"/>
                <w:color w:val="auto"/>
              </w:rPr>
              <w:t xml:space="preserve">Risk adjusted NIM </w:t>
            </w:r>
            <w:r>
              <w:rPr>
                <w:rFonts w:ascii="Arial" w:cs="Arial" w:eastAsia="Arial" w:hAnsi="Arial"/>
                <w:sz w:val="14"/>
                <w:szCs w:val="14"/>
                <w:color w:val="auto"/>
                <w:vertAlign w:val="superscript"/>
              </w:rPr>
              <w:t>(1)(2)</w:t>
            </w:r>
          </w:p>
        </w:tc>
        <w:tc>
          <w:tcPr>
            <w:tcW w:w="1160" w:type="dxa"/>
            <w:vAlign w:val="bottom"/>
          </w:tcPr>
          <w:p>
            <w:pPr>
              <w:jc w:val="center"/>
              <w:spacing w:after="0" w:line="124" w:lineRule="exact"/>
              <w:rPr>
                <w:sz w:val="20"/>
                <w:szCs w:val="20"/>
                <w:color w:val="auto"/>
              </w:rPr>
            </w:pPr>
            <w:r>
              <w:rPr>
                <w:rFonts w:ascii="Arial" w:cs="Arial" w:eastAsia="Arial" w:hAnsi="Arial"/>
                <w:sz w:val="11"/>
                <w:szCs w:val="11"/>
                <w:color w:val="auto"/>
              </w:rPr>
              <w:t>4.25%</w:t>
            </w:r>
          </w:p>
        </w:tc>
        <w:tc>
          <w:tcPr>
            <w:tcW w:w="1220" w:type="dxa"/>
            <w:vAlign w:val="bottom"/>
          </w:tcPr>
          <w:p>
            <w:pPr>
              <w:jc w:val="center"/>
              <w:ind w:left="45"/>
              <w:spacing w:after="0" w:line="124" w:lineRule="exact"/>
              <w:rPr>
                <w:sz w:val="20"/>
                <w:szCs w:val="20"/>
                <w:color w:val="auto"/>
              </w:rPr>
            </w:pPr>
            <w:r>
              <w:rPr>
                <w:rFonts w:ascii="Arial" w:cs="Arial" w:eastAsia="Arial" w:hAnsi="Arial"/>
                <w:sz w:val="11"/>
                <w:szCs w:val="11"/>
                <w:color w:val="auto"/>
              </w:rPr>
              <w:t>4.64%</w:t>
            </w:r>
          </w:p>
        </w:tc>
        <w:tc>
          <w:tcPr>
            <w:tcW w:w="10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6"/>
              </w:rPr>
              <w:t>4.30%</w:t>
            </w:r>
          </w:p>
        </w:tc>
        <w:tc>
          <w:tcPr>
            <w:tcW w:w="540" w:type="dxa"/>
            <w:vAlign w:val="bottom"/>
          </w:tcPr>
          <w:p>
            <w:pPr>
              <w:jc w:val="center"/>
              <w:ind w:left="65"/>
              <w:spacing w:after="0" w:line="124" w:lineRule="exact"/>
              <w:rPr>
                <w:sz w:val="20"/>
                <w:szCs w:val="20"/>
                <w:color w:val="auto"/>
              </w:rPr>
            </w:pPr>
            <w:r>
              <w:rPr>
                <w:rFonts w:ascii="Arial" w:cs="Arial" w:eastAsia="Arial" w:hAnsi="Arial"/>
                <w:sz w:val="11"/>
                <w:szCs w:val="11"/>
                <w:color w:val="auto"/>
                <w:w w:val="96"/>
              </w:rPr>
              <w:t>4.37%</w:t>
            </w:r>
          </w:p>
        </w:tc>
        <w:tc>
          <w:tcPr>
            <w:tcW w:w="860" w:type="dxa"/>
            <w:vAlign w:val="bottom"/>
            <w:tcBorders>
              <w:right w:val="single" w:sz="8" w:color="auto"/>
            </w:tcBorders>
          </w:tcPr>
          <w:p>
            <w:pPr>
              <w:jc w:val="center"/>
              <w:ind w:left="85"/>
              <w:spacing w:after="0" w:line="124" w:lineRule="exact"/>
              <w:rPr>
                <w:sz w:val="20"/>
                <w:szCs w:val="20"/>
                <w:color w:val="auto"/>
              </w:rPr>
            </w:pPr>
            <w:r>
              <w:rPr>
                <w:rFonts w:ascii="Arial" w:cs="Arial" w:eastAsia="Arial" w:hAnsi="Arial"/>
                <w:sz w:val="11"/>
                <w:szCs w:val="11"/>
                <w:color w:val="auto"/>
                <w:w w:val="95"/>
              </w:rPr>
              <w:t>4.4%</w:t>
            </w:r>
          </w:p>
        </w:tc>
      </w:tr>
      <w:tr>
        <w:trPr>
          <w:trHeight w:val="243"/>
        </w:trPr>
        <w:tc>
          <w:tcPr>
            <w:tcW w:w="5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 xml:space="preserve">Funding Cost </w:t>
            </w:r>
            <w:r>
              <w:rPr>
                <w:rFonts w:ascii="Arial" w:cs="Arial" w:eastAsia="Arial" w:hAnsi="Arial"/>
                <w:sz w:val="18"/>
                <w:szCs w:val="18"/>
                <w:color w:val="auto"/>
                <w:vertAlign w:val="superscript"/>
              </w:rPr>
              <w:t>(1)(2)(3)</w:t>
            </w:r>
          </w:p>
        </w:tc>
        <w:tc>
          <w:tcPr>
            <w:tcW w:w="1160" w:type="dxa"/>
            <w:vAlign w:val="bottom"/>
          </w:tcPr>
          <w:p>
            <w:pPr>
              <w:jc w:val="center"/>
              <w:spacing w:after="0"/>
              <w:rPr>
                <w:sz w:val="20"/>
                <w:szCs w:val="20"/>
                <w:color w:val="auto"/>
              </w:rPr>
            </w:pPr>
            <w:r>
              <w:rPr>
                <w:rFonts w:ascii="Arial" w:cs="Arial" w:eastAsia="Arial" w:hAnsi="Arial"/>
                <w:sz w:val="11"/>
                <w:szCs w:val="11"/>
                <w:color w:val="auto"/>
                <w:w w:val="95"/>
              </w:rPr>
              <w:t>2.4%</w:t>
            </w:r>
          </w:p>
        </w:tc>
        <w:tc>
          <w:tcPr>
            <w:tcW w:w="1220" w:type="dxa"/>
            <w:vAlign w:val="bottom"/>
          </w:tcPr>
          <w:p>
            <w:pPr>
              <w:jc w:val="center"/>
              <w:ind w:left="45"/>
              <w:spacing w:after="0"/>
              <w:rPr>
                <w:sz w:val="20"/>
                <w:szCs w:val="20"/>
                <w:color w:val="auto"/>
              </w:rPr>
            </w:pPr>
            <w:r>
              <w:rPr>
                <w:rFonts w:ascii="Arial" w:cs="Arial" w:eastAsia="Arial" w:hAnsi="Arial"/>
                <w:sz w:val="11"/>
                <w:szCs w:val="11"/>
                <w:color w:val="auto"/>
                <w:w w:val="95"/>
              </w:rPr>
              <w:t>2.4%</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2.3%</w:t>
            </w:r>
          </w:p>
        </w:tc>
        <w:tc>
          <w:tcPr>
            <w:tcW w:w="540" w:type="dxa"/>
            <w:vAlign w:val="bottom"/>
          </w:tcPr>
          <w:p>
            <w:pPr>
              <w:jc w:val="center"/>
              <w:ind w:left="65"/>
              <w:spacing w:after="0"/>
              <w:rPr>
                <w:sz w:val="20"/>
                <w:szCs w:val="20"/>
                <w:color w:val="auto"/>
              </w:rPr>
            </w:pPr>
            <w:r>
              <w:rPr>
                <w:rFonts w:ascii="Arial" w:cs="Arial" w:eastAsia="Arial" w:hAnsi="Arial"/>
                <w:sz w:val="11"/>
                <w:szCs w:val="11"/>
                <w:color w:val="auto"/>
                <w:w w:val="96"/>
              </w:rPr>
              <w:t>2.31%</w:t>
            </w:r>
          </w:p>
        </w:tc>
        <w:tc>
          <w:tcPr>
            <w:tcW w:w="860" w:type="dxa"/>
            <w:vAlign w:val="bottom"/>
            <w:tcBorders>
              <w:right w:val="single" w:sz="8" w:color="auto"/>
            </w:tcBorders>
          </w:tcPr>
          <w:p>
            <w:pPr>
              <w:jc w:val="center"/>
              <w:ind w:left="85"/>
              <w:spacing w:after="0"/>
              <w:rPr>
                <w:sz w:val="20"/>
                <w:szCs w:val="20"/>
                <w:color w:val="auto"/>
              </w:rPr>
            </w:pPr>
            <w:r>
              <w:rPr>
                <w:rFonts w:ascii="Arial" w:cs="Arial" w:eastAsia="Arial" w:hAnsi="Arial"/>
                <w:sz w:val="11"/>
                <w:szCs w:val="11"/>
                <w:color w:val="auto"/>
                <w:w w:val="95"/>
              </w:rPr>
              <w:t>2.3%</w:t>
            </w:r>
          </w:p>
        </w:tc>
      </w:tr>
      <w:tr>
        <w:trPr>
          <w:trHeight w:val="140"/>
        </w:trPr>
        <w:tc>
          <w:tcPr>
            <w:tcW w:w="5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Quality of loan portfolio</w:t>
            </w:r>
          </w:p>
        </w:tc>
        <w:tc>
          <w:tcPr>
            <w:tcW w:w="1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r>
      <w:tr>
        <w:trPr>
          <w:trHeight w:val="123"/>
        </w:trPr>
        <w:tc>
          <w:tcPr>
            <w:tcW w:w="530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IOL ratio</w:t>
            </w:r>
          </w:p>
        </w:tc>
        <w:tc>
          <w:tcPr>
            <w:tcW w:w="1160" w:type="dxa"/>
            <w:vAlign w:val="bottom"/>
          </w:tcPr>
          <w:p>
            <w:pPr>
              <w:jc w:val="center"/>
              <w:spacing w:after="0" w:line="124" w:lineRule="exact"/>
              <w:rPr>
                <w:sz w:val="20"/>
                <w:szCs w:val="20"/>
                <w:color w:val="auto"/>
              </w:rPr>
            </w:pPr>
            <w:r>
              <w:rPr>
                <w:rFonts w:ascii="Arial" w:cs="Arial" w:eastAsia="Arial" w:hAnsi="Arial"/>
                <w:sz w:val="11"/>
                <w:szCs w:val="11"/>
                <w:color w:val="auto"/>
                <w:w w:val="95"/>
              </w:rPr>
              <w:t>4.1%</w:t>
            </w:r>
          </w:p>
        </w:tc>
        <w:tc>
          <w:tcPr>
            <w:tcW w:w="1220" w:type="dxa"/>
            <w:vAlign w:val="bottom"/>
          </w:tcPr>
          <w:p>
            <w:pPr>
              <w:jc w:val="center"/>
              <w:ind w:left="45"/>
              <w:spacing w:after="0" w:line="124" w:lineRule="exact"/>
              <w:rPr>
                <w:sz w:val="20"/>
                <w:szCs w:val="20"/>
                <w:color w:val="auto"/>
              </w:rPr>
            </w:pPr>
            <w:r>
              <w:rPr>
                <w:rFonts w:ascii="Arial" w:cs="Arial" w:eastAsia="Arial" w:hAnsi="Arial"/>
                <w:sz w:val="11"/>
                <w:szCs w:val="11"/>
                <w:color w:val="auto"/>
                <w:w w:val="95"/>
              </w:rPr>
              <w:t>4.3%</w:t>
            </w:r>
          </w:p>
        </w:tc>
        <w:tc>
          <w:tcPr>
            <w:tcW w:w="10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4.1%</w:t>
            </w:r>
          </w:p>
        </w:tc>
        <w:tc>
          <w:tcPr>
            <w:tcW w:w="540" w:type="dxa"/>
            <w:vAlign w:val="bottom"/>
          </w:tcPr>
          <w:p>
            <w:pPr>
              <w:jc w:val="center"/>
              <w:ind w:left="65"/>
              <w:spacing w:after="0" w:line="124" w:lineRule="exact"/>
              <w:rPr>
                <w:sz w:val="20"/>
                <w:szCs w:val="20"/>
                <w:color w:val="auto"/>
              </w:rPr>
            </w:pPr>
            <w:r>
              <w:rPr>
                <w:rFonts w:ascii="Arial" w:cs="Arial" w:eastAsia="Arial" w:hAnsi="Arial"/>
                <w:sz w:val="11"/>
                <w:szCs w:val="11"/>
                <w:color w:val="auto"/>
              </w:rPr>
              <w:t>4.1%</w:t>
            </w:r>
          </w:p>
        </w:tc>
        <w:tc>
          <w:tcPr>
            <w:tcW w:w="860" w:type="dxa"/>
            <w:vAlign w:val="bottom"/>
            <w:tcBorders>
              <w:right w:val="single" w:sz="8" w:color="auto"/>
            </w:tcBorders>
          </w:tcPr>
          <w:p>
            <w:pPr>
              <w:jc w:val="center"/>
              <w:ind w:left="85"/>
              <w:spacing w:after="0" w:line="124" w:lineRule="exact"/>
              <w:rPr>
                <w:sz w:val="20"/>
                <w:szCs w:val="20"/>
                <w:color w:val="auto"/>
              </w:rPr>
            </w:pPr>
            <w:r>
              <w:rPr>
                <w:rFonts w:ascii="Arial" w:cs="Arial" w:eastAsia="Arial" w:hAnsi="Arial"/>
                <w:sz w:val="11"/>
                <w:szCs w:val="11"/>
                <w:color w:val="auto"/>
                <w:w w:val="95"/>
              </w:rPr>
              <w:t>4.1%</w:t>
            </w:r>
          </w:p>
        </w:tc>
      </w:tr>
      <w:tr>
        <w:trPr>
          <w:trHeight w:val="123"/>
        </w:trPr>
        <w:tc>
          <w:tcPr>
            <w:tcW w:w="530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NPL ratio</w:t>
            </w:r>
          </w:p>
        </w:tc>
        <w:tc>
          <w:tcPr>
            <w:tcW w:w="1160" w:type="dxa"/>
            <w:vAlign w:val="bottom"/>
          </w:tcPr>
          <w:p>
            <w:pPr>
              <w:jc w:val="center"/>
              <w:spacing w:after="0" w:line="124" w:lineRule="exact"/>
              <w:rPr>
                <w:sz w:val="20"/>
                <w:szCs w:val="20"/>
                <w:color w:val="auto"/>
              </w:rPr>
            </w:pPr>
            <w:r>
              <w:rPr>
                <w:rFonts w:ascii="Arial" w:cs="Arial" w:eastAsia="Arial" w:hAnsi="Arial"/>
                <w:sz w:val="11"/>
                <w:szCs w:val="11"/>
                <w:color w:val="auto"/>
                <w:w w:val="95"/>
              </w:rPr>
              <w:t>5.7%</w:t>
            </w:r>
          </w:p>
        </w:tc>
        <w:tc>
          <w:tcPr>
            <w:tcW w:w="1220" w:type="dxa"/>
            <w:vAlign w:val="bottom"/>
          </w:tcPr>
          <w:p>
            <w:pPr>
              <w:jc w:val="center"/>
              <w:ind w:left="45"/>
              <w:spacing w:after="0" w:line="124" w:lineRule="exact"/>
              <w:rPr>
                <w:sz w:val="20"/>
                <w:szCs w:val="20"/>
                <w:color w:val="auto"/>
              </w:rPr>
            </w:pPr>
            <w:r>
              <w:rPr>
                <w:rFonts w:ascii="Arial" w:cs="Arial" w:eastAsia="Arial" w:hAnsi="Arial"/>
                <w:sz w:val="11"/>
                <w:szCs w:val="11"/>
                <w:color w:val="auto"/>
                <w:w w:val="95"/>
              </w:rPr>
              <w:t>6.4%</w:t>
            </w:r>
          </w:p>
        </w:tc>
        <w:tc>
          <w:tcPr>
            <w:tcW w:w="10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6.0%</w:t>
            </w:r>
          </w:p>
        </w:tc>
        <w:tc>
          <w:tcPr>
            <w:tcW w:w="540" w:type="dxa"/>
            <w:vAlign w:val="bottom"/>
          </w:tcPr>
          <w:p>
            <w:pPr>
              <w:jc w:val="center"/>
              <w:ind w:left="65"/>
              <w:spacing w:after="0" w:line="124" w:lineRule="exact"/>
              <w:rPr>
                <w:sz w:val="20"/>
                <w:szCs w:val="20"/>
                <w:color w:val="auto"/>
              </w:rPr>
            </w:pPr>
            <w:r>
              <w:rPr>
                <w:rFonts w:ascii="Arial" w:cs="Arial" w:eastAsia="Arial" w:hAnsi="Arial"/>
                <w:sz w:val="11"/>
                <w:szCs w:val="11"/>
                <w:color w:val="auto"/>
              </w:rPr>
              <w:t>5.7%</w:t>
            </w:r>
          </w:p>
        </w:tc>
        <w:tc>
          <w:tcPr>
            <w:tcW w:w="860" w:type="dxa"/>
            <w:vAlign w:val="bottom"/>
            <w:tcBorders>
              <w:right w:val="single" w:sz="8" w:color="auto"/>
            </w:tcBorders>
          </w:tcPr>
          <w:p>
            <w:pPr>
              <w:jc w:val="center"/>
              <w:ind w:left="85"/>
              <w:spacing w:after="0" w:line="124" w:lineRule="exact"/>
              <w:rPr>
                <w:sz w:val="20"/>
                <w:szCs w:val="20"/>
                <w:color w:val="auto"/>
              </w:rPr>
            </w:pPr>
            <w:r>
              <w:rPr>
                <w:rFonts w:ascii="Arial" w:cs="Arial" w:eastAsia="Arial" w:hAnsi="Arial"/>
                <w:sz w:val="11"/>
                <w:szCs w:val="11"/>
                <w:color w:val="auto"/>
                <w:w w:val="95"/>
              </w:rPr>
              <w:t>6.0%</w:t>
            </w:r>
          </w:p>
        </w:tc>
      </w:tr>
      <w:tr>
        <w:trPr>
          <w:trHeight w:val="123"/>
        </w:trPr>
        <w:tc>
          <w:tcPr>
            <w:tcW w:w="530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Coverage of IOLs</w:t>
            </w:r>
          </w:p>
        </w:tc>
        <w:tc>
          <w:tcPr>
            <w:tcW w:w="1160" w:type="dxa"/>
            <w:vAlign w:val="bottom"/>
          </w:tcPr>
          <w:p>
            <w:pPr>
              <w:jc w:val="center"/>
              <w:spacing w:after="0" w:line="124" w:lineRule="exact"/>
              <w:rPr>
                <w:sz w:val="20"/>
                <w:szCs w:val="20"/>
                <w:color w:val="auto"/>
              </w:rPr>
            </w:pPr>
            <w:r>
              <w:rPr>
                <w:rFonts w:ascii="Arial" w:cs="Arial" w:eastAsia="Arial" w:hAnsi="Arial"/>
                <w:sz w:val="11"/>
                <w:szCs w:val="11"/>
                <w:color w:val="auto"/>
                <w:w w:val="96"/>
              </w:rPr>
              <w:t>133.7%</w:t>
            </w:r>
          </w:p>
        </w:tc>
        <w:tc>
          <w:tcPr>
            <w:tcW w:w="1220" w:type="dxa"/>
            <w:vAlign w:val="bottom"/>
          </w:tcPr>
          <w:p>
            <w:pPr>
              <w:jc w:val="center"/>
              <w:ind w:left="25"/>
              <w:spacing w:after="0" w:line="124" w:lineRule="exact"/>
              <w:rPr>
                <w:sz w:val="20"/>
                <w:szCs w:val="20"/>
                <w:color w:val="auto"/>
              </w:rPr>
            </w:pPr>
            <w:r>
              <w:rPr>
                <w:rFonts w:ascii="Arial" w:cs="Arial" w:eastAsia="Arial" w:hAnsi="Arial"/>
                <w:sz w:val="11"/>
                <w:szCs w:val="11"/>
                <w:color w:val="auto"/>
              </w:rPr>
              <w:t>134.1%</w:t>
            </w:r>
          </w:p>
        </w:tc>
        <w:tc>
          <w:tcPr>
            <w:tcW w:w="10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138.5%</w:t>
            </w:r>
          </w:p>
        </w:tc>
        <w:tc>
          <w:tcPr>
            <w:tcW w:w="540" w:type="dxa"/>
            <w:vAlign w:val="bottom"/>
          </w:tcPr>
          <w:p>
            <w:pPr>
              <w:jc w:val="center"/>
              <w:ind w:left="65"/>
              <w:spacing w:after="0" w:line="124" w:lineRule="exact"/>
              <w:rPr>
                <w:sz w:val="20"/>
                <w:szCs w:val="20"/>
                <w:color w:val="auto"/>
              </w:rPr>
            </w:pPr>
            <w:r>
              <w:rPr>
                <w:rFonts w:ascii="Arial" w:cs="Arial" w:eastAsia="Arial" w:hAnsi="Arial"/>
                <w:sz w:val="11"/>
                <w:szCs w:val="11"/>
                <w:color w:val="auto"/>
              </w:rPr>
              <w:t>133.7%</w:t>
            </w:r>
          </w:p>
        </w:tc>
        <w:tc>
          <w:tcPr>
            <w:tcW w:w="860" w:type="dxa"/>
            <w:vAlign w:val="bottom"/>
            <w:tcBorders>
              <w:right w:val="single" w:sz="8" w:color="auto"/>
            </w:tcBorders>
          </w:tcPr>
          <w:p>
            <w:pPr>
              <w:jc w:val="center"/>
              <w:ind w:left="65"/>
              <w:spacing w:after="0" w:line="124" w:lineRule="exact"/>
              <w:rPr>
                <w:sz w:val="20"/>
                <w:szCs w:val="20"/>
                <w:color w:val="auto"/>
              </w:rPr>
            </w:pPr>
            <w:r>
              <w:rPr>
                <w:rFonts w:ascii="Arial" w:cs="Arial" w:eastAsia="Arial" w:hAnsi="Arial"/>
                <w:sz w:val="11"/>
                <w:szCs w:val="11"/>
                <w:color w:val="auto"/>
              </w:rPr>
              <w:t>138.5%</w:t>
            </w:r>
          </w:p>
        </w:tc>
      </w:tr>
      <w:tr>
        <w:trPr>
          <w:trHeight w:val="111"/>
        </w:trPr>
        <w:tc>
          <w:tcPr>
            <w:tcW w:w="5300" w:type="dxa"/>
            <w:vAlign w:val="bottom"/>
            <w:tcBorders>
              <w:left w:val="single" w:sz="8" w:color="auto"/>
              <w:right w:val="single" w:sz="8" w:color="auto"/>
            </w:tcBorders>
          </w:tcPr>
          <w:p>
            <w:pPr>
              <w:ind w:left="160"/>
              <w:spacing w:after="0" w:line="111" w:lineRule="exact"/>
              <w:rPr>
                <w:sz w:val="20"/>
                <w:szCs w:val="20"/>
                <w:color w:val="auto"/>
              </w:rPr>
            </w:pPr>
            <w:r>
              <w:rPr>
                <w:rFonts w:ascii="Arial" w:cs="Arial" w:eastAsia="Arial" w:hAnsi="Arial"/>
                <w:sz w:val="11"/>
                <w:szCs w:val="11"/>
                <w:color w:val="auto"/>
              </w:rPr>
              <w:t>Coverage of NPLs</w:t>
            </w:r>
          </w:p>
        </w:tc>
        <w:tc>
          <w:tcPr>
            <w:tcW w:w="1160" w:type="dxa"/>
            <w:vAlign w:val="bottom"/>
          </w:tcPr>
          <w:p>
            <w:pPr>
              <w:jc w:val="center"/>
              <w:spacing w:after="0" w:line="111" w:lineRule="exact"/>
              <w:rPr>
                <w:sz w:val="20"/>
                <w:szCs w:val="20"/>
                <w:color w:val="auto"/>
              </w:rPr>
            </w:pPr>
            <w:r>
              <w:rPr>
                <w:rFonts w:ascii="Arial" w:cs="Arial" w:eastAsia="Arial" w:hAnsi="Arial"/>
                <w:sz w:val="11"/>
                <w:szCs w:val="11"/>
                <w:color w:val="auto"/>
              </w:rPr>
              <w:t>95.1%</w:t>
            </w:r>
          </w:p>
        </w:tc>
        <w:tc>
          <w:tcPr>
            <w:tcW w:w="1220" w:type="dxa"/>
            <w:vAlign w:val="bottom"/>
          </w:tcPr>
          <w:p>
            <w:pPr>
              <w:jc w:val="center"/>
              <w:ind w:left="45"/>
              <w:spacing w:after="0" w:line="111" w:lineRule="exact"/>
              <w:rPr>
                <w:sz w:val="20"/>
                <w:szCs w:val="20"/>
                <w:color w:val="auto"/>
              </w:rPr>
            </w:pPr>
            <w:r>
              <w:rPr>
                <w:rFonts w:ascii="Arial" w:cs="Arial" w:eastAsia="Arial" w:hAnsi="Arial"/>
                <w:sz w:val="11"/>
                <w:szCs w:val="11"/>
                <w:color w:val="auto"/>
              </w:rPr>
              <w:t>90.8%</w:t>
            </w:r>
          </w:p>
        </w:tc>
        <w:tc>
          <w:tcPr>
            <w:tcW w:w="1080" w:type="dxa"/>
            <w:vAlign w:val="bottom"/>
            <w:tcBorders>
              <w:right w:val="single" w:sz="8" w:color="auto"/>
            </w:tcBorders>
          </w:tcPr>
          <w:p>
            <w:pPr>
              <w:jc w:val="center"/>
              <w:spacing w:after="0" w:line="111" w:lineRule="exact"/>
              <w:rPr>
                <w:sz w:val="20"/>
                <w:szCs w:val="20"/>
                <w:color w:val="auto"/>
              </w:rPr>
            </w:pPr>
            <w:r>
              <w:rPr>
                <w:rFonts w:ascii="Arial" w:cs="Arial" w:eastAsia="Arial" w:hAnsi="Arial"/>
                <w:sz w:val="11"/>
                <w:szCs w:val="11"/>
                <w:color w:val="auto"/>
                <w:w w:val="96"/>
              </w:rPr>
              <w:t>93.3%</w:t>
            </w:r>
          </w:p>
        </w:tc>
        <w:tc>
          <w:tcPr>
            <w:tcW w:w="540" w:type="dxa"/>
            <w:vAlign w:val="bottom"/>
          </w:tcPr>
          <w:p>
            <w:pPr>
              <w:jc w:val="center"/>
              <w:ind w:left="65"/>
              <w:spacing w:after="0" w:line="111" w:lineRule="exact"/>
              <w:rPr>
                <w:sz w:val="20"/>
                <w:szCs w:val="20"/>
                <w:color w:val="auto"/>
              </w:rPr>
            </w:pPr>
            <w:r>
              <w:rPr>
                <w:rFonts w:ascii="Arial" w:cs="Arial" w:eastAsia="Arial" w:hAnsi="Arial"/>
                <w:sz w:val="11"/>
                <w:szCs w:val="11"/>
                <w:color w:val="auto"/>
                <w:w w:val="96"/>
              </w:rPr>
              <w:t>95.1%</w:t>
            </w:r>
          </w:p>
        </w:tc>
        <w:tc>
          <w:tcPr>
            <w:tcW w:w="860" w:type="dxa"/>
            <w:vAlign w:val="bottom"/>
            <w:tcBorders>
              <w:right w:val="single" w:sz="8" w:color="auto"/>
            </w:tcBorders>
          </w:tcPr>
          <w:p>
            <w:pPr>
              <w:jc w:val="center"/>
              <w:ind w:left="85"/>
              <w:spacing w:after="0" w:line="111" w:lineRule="exact"/>
              <w:rPr>
                <w:sz w:val="20"/>
                <w:szCs w:val="20"/>
                <w:color w:val="auto"/>
              </w:rPr>
            </w:pPr>
            <w:r>
              <w:rPr>
                <w:rFonts w:ascii="Arial" w:cs="Arial" w:eastAsia="Arial" w:hAnsi="Arial"/>
                <w:sz w:val="11"/>
                <w:szCs w:val="11"/>
                <w:color w:val="auto"/>
              </w:rPr>
              <w:t>93.3%</w:t>
            </w:r>
          </w:p>
        </w:tc>
      </w:tr>
      <w:tr>
        <w:trPr>
          <w:trHeight w:val="243"/>
        </w:trPr>
        <w:tc>
          <w:tcPr>
            <w:tcW w:w="5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 xml:space="preserve">Cost of risk </w:t>
            </w:r>
            <w:r>
              <w:rPr>
                <w:rFonts w:ascii="Arial" w:cs="Arial" w:eastAsia="Arial" w:hAnsi="Arial"/>
                <w:sz w:val="18"/>
                <w:szCs w:val="18"/>
                <w:color w:val="auto"/>
                <w:vertAlign w:val="superscript"/>
              </w:rPr>
              <w:t>(4)</w:t>
            </w:r>
          </w:p>
        </w:tc>
        <w:tc>
          <w:tcPr>
            <w:tcW w:w="1160" w:type="dxa"/>
            <w:vAlign w:val="bottom"/>
          </w:tcPr>
          <w:p>
            <w:pPr>
              <w:jc w:val="center"/>
              <w:spacing w:after="0"/>
              <w:rPr>
                <w:sz w:val="20"/>
                <w:szCs w:val="20"/>
                <w:color w:val="auto"/>
              </w:rPr>
            </w:pPr>
            <w:r>
              <w:rPr>
                <w:rFonts w:ascii="Arial" w:cs="Arial" w:eastAsia="Arial" w:hAnsi="Arial"/>
                <w:sz w:val="11"/>
                <w:szCs w:val="11"/>
                <w:color w:val="auto"/>
                <w:w w:val="95"/>
              </w:rPr>
              <w:t>2.0%</w:t>
            </w:r>
          </w:p>
        </w:tc>
        <w:tc>
          <w:tcPr>
            <w:tcW w:w="1220" w:type="dxa"/>
            <w:vAlign w:val="bottom"/>
          </w:tcPr>
          <w:p>
            <w:pPr>
              <w:jc w:val="center"/>
              <w:ind w:left="45"/>
              <w:spacing w:after="0"/>
              <w:rPr>
                <w:sz w:val="20"/>
                <w:szCs w:val="20"/>
                <w:color w:val="auto"/>
              </w:rPr>
            </w:pPr>
            <w:r>
              <w:rPr>
                <w:rFonts w:ascii="Arial" w:cs="Arial" w:eastAsia="Arial" w:hAnsi="Arial"/>
                <w:sz w:val="11"/>
                <w:szCs w:val="11"/>
                <w:color w:val="auto"/>
                <w:w w:val="95"/>
              </w:rPr>
              <w:t>2.1%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2.6%</w:t>
            </w:r>
          </w:p>
        </w:tc>
        <w:tc>
          <w:tcPr>
            <w:tcW w:w="540" w:type="dxa"/>
            <w:vAlign w:val="bottom"/>
          </w:tcPr>
          <w:p>
            <w:pPr>
              <w:jc w:val="center"/>
              <w:ind w:left="65"/>
              <w:spacing w:after="0"/>
              <w:rPr>
                <w:sz w:val="20"/>
                <w:szCs w:val="20"/>
                <w:color w:val="auto"/>
              </w:rPr>
            </w:pPr>
            <w:r>
              <w:rPr>
                <w:rFonts w:ascii="Arial" w:cs="Arial" w:eastAsia="Arial" w:hAnsi="Arial"/>
                <w:sz w:val="11"/>
                <w:szCs w:val="11"/>
                <w:color w:val="auto"/>
              </w:rPr>
              <w:t>1.8%</w:t>
            </w:r>
          </w:p>
        </w:tc>
        <w:tc>
          <w:tcPr>
            <w:tcW w:w="860" w:type="dxa"/>
            <w:vAlign w:val="bottom"/>
            <w:tcBorders>
              <w:right w:val="single" w:sz="8" w:color="auto"/>
            </w:tcBorders>
          </w:tcPr>
          <w:p>
            <w:pPr>
              <w:jc w:val="center"/>
              <w:ind w:left="85"/>
              <w:spacing w:after="0"/>
              <w:rPr>
                <w:sz w:val="20"/>
                <w:szCs w:val="20"/>
                <w:color w:val="auto"/>
              </w:rPr>
            </w:pPr>
            <w:r>
              <w:rPr>
                <w:rFonts w:ascii="Arial" w:cs="Arial" w:eastAsia="Arial" w:hAnsi="Arial"/>
                <w:sz w:val="11"/>
                <w:szCs w:val="11"/>
                <w:color w:val="auto"/>
                <w:w w:val="95"/>
              </w:rPr>
              <w:t>2.3%</w:t>
            </w:r>
          </w:p>
        </w:tc>
      </w:tr>
      <w:tr>
        <w:trPr>
          <w:trHeight w:val="128"/>
        </w:trPr>
        <w:tc>
          <w:tcPr>
            <w:tcW w:w="5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Operating efficiency</w:t>
            </w:r>
          </w:p>
        </w:tc>
        <w:tc>
          <w:tcPr>
            <w:tcW w:w="1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r>
      <w:tr>
        <w:trPr>
          <w:trHeight w:val="123"/>
        </w:trPr>
        <w:tc>
          <w:tcPr>
            <w:tcW w:w="530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9"/>
                <w:szCs w:val="9"/>
                <w:color w:val="auto"/>
              </w:rPr>
              <w:t xml:space="preserve">Oper. expenses as a percent. of total income - reported </w:t>
            </w:r>
            <w:r>
              <w:rPr>
                <w:rFonts w:ascii="Arial" w:cs="Arial" w:eastAsia="Arial" w:hAnsi="Arial"/>
                <w:sz w:val="14"/>
                <w:szCs w:val="14"/>
                <w:color w:val="auto"/>
                <w:vertAlign w:val="superscript"/>
              </w:rPr>
              <w:t>(5)</w:t>
            </w:r>
          </w:p>
        </w:tc>
        <w:tc>
          <w:tcPr>
            <w:tcW w:w="1160" w:type="dxa"/>
            <w:vAlign w:val="bottom"/>
          </w:tcPr>
          <w:p>
            <w:pPr>
              <w:jc w:val="center"/>
              <w:spacing w:after="0" w:line="124" w:lineRule="exact"/>
              <w:rPr>
                <w:sz w:val="20"/>
                <w:szCs w:val="20"/>
                <w:color w:val="auto"/>
              </w:rPr>
            </w:pPr>
            <w:r>
              <w:rPr>
                <w:rFonts w:ascii="Arial" w:cs="Arial" w:eastAsia="Arial" w:hAnsi="Arial"/>
                <w:sz w:val="11"/>
                <w:szCs w:val="11"/>
                <w:color w:val="auto"/>
              </w:rPr>
              <w:t>37.3%</w:t>
            </w:r>
          </w:p>
        </w:tc>
        <w:tc>
          <w:tcPr>
            <w:tcW w:w="1220" w:type="dxa"/>
            <w:vAlign w:val="bottom"/>
          </w:tcPr>
          <w:p>
            <w:pPr>
              <w:jc w:val="center"/>
              <w:ind w:left="45"/>
              <w:spacing w:after="0" w:line="124" w:lineRule="exact"/>
              <w:rPr>
                <w:sz w:val="20"/>
                <w:szCs w:val="20"/>
                <w:color w:val="auto"/>
              </w:rPr>
            </w:pPr>
            <w:r>
              <w:rPr>
                <w:rFonts w:ascii="Arial" w:cs="Arial" w:eastAsia="Arial" w:hAnsi="Arial"/>
                <w:sz w:val="11"/>
                <w:szCs w:val="11"/>
                <w:color w:val="auto"/>
              </w:rPr>
              <w:t>36.2%</w:t>
            </w:r>
          </w:p>
        </w:tc>
        <w:tc>
          <w:tcPr>
            <w:tcW w:w="10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6"/>
              </w:rPr>
              <w:t>38.3%</w:t>
            </w:r>
          </w:p>
        </w:tc>
        <w:tc>
          <w:tcPr>
            <w:tcW w:w="540" w:type="dxa"/>
            <w:vAlign w:val="bottom"/>
          </w:tcPr>
          <w:p>
            <w:pPr>
              <w:jc w:val="center"/>
              <w:ind w:left="65"/>
              <w:spacing w:after="0" w:line="124" w:lineRule="exact"/>
              <w:rPr>
                <w:sz w:val="20"/>
                <w:szCs w:val="20"/>
                <w:color w:val="auto"/>
              </w:rPr>
            </w:pPr>
            <w:r>
              <w:rPr>
                <w:rFonts w:ascii="Arial" w:cs="Arial" w:eastAsia="Arial" w:hAnsi="Arial"/>
                <w:sz w:val="11"/>
                <w:szCs w:val="11"/>
                <w:color w:val="auto"/>
                <w:w w:val="96"/>
              </w:rPr>
              <w:t>37.1%</w:t>
            </w:r>
          </w:p>
        </w:tc>
        <w:tc>
          <w:tcPr>
            <w:tcW w:w="860" w:type="dxa"/>
            <w:vAlign w:val="bottom"/>
            <w:tcBorders>
              <w:right w:val="single" w:sz="8" w:color="auto"/>
            </w:tcBorders>
          </w:tcPr>
          <w:p>
            <w:pPr>
              <w:jc w:val="center"/>
              <w:ind w:left="85"/>
              <w:spacing w:after="0" w:line="124" w:lineRule="exact"/>
              <w:rPr>
                <w:sz w:val="20"/>
                <w:szCs w:val="20"/>
                <w:color w:val="auto"/>
              </w:rPr>
            </w:pPr>
            <w:r>
              <w:rPr>
                <w:rFonts w:ascii="Arial" w:cs="Arial" w:eastAsia="Arial" w:hAnsi="Arial"/>
                <w:sz w:val="11"/>
                <w:szCs w:val="11"/>
                <w:color w:val="auto"/>
              </w:rPr>
              <w:t>37.3%</w:t>
            </w:r>
          </w:p>
        </w:tc>
      </w:tr>
      <w:tr>
        <w:trPr>
          <w:trHeight w:val="142"/>
        </w:trPr>
        <w:tc>
          <w:tcPr>
            <w:tcW w:w="530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0"/>
                <w:szCs w:val="10"/>
                <w:color w:val="auto"/>
              </w:rPr>
              <w:t xml:space="preserve">Oper. expenses as a percent. of av. tot. assets </w:t>
            </w:r>
            <w:r>
              <w:rPr>
                <w:rFonts w:ascii="Arial" w:cs="Arial" w:eastAsia="Arial" w:hAnsi="Arial"/>
                <w:sz w:val="16"/>
                <w:szCs w:val="16"/>
                <w:color w:val="auto"/>
                <w:vertAlign w:val="superscript"/>
              </w:rPr>
              <w:t>(1)(2)(5)</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5"/>
              </w:rPr>
              <w:t>2.8%</w:t>
            </w:r>
          </w:p>
        </w:tc>
        <w:tc>
          <w:tcPr>
            <w:tcW w:w="1220" w:type="dxa"/>
            <w:vAlign w:val="bottom"/>
            <w:tcBorders>
              <w:bottom w:val="single" w:sz="8" w:color="auto"/>
            </w:tcBorders>
          </w:tcPr>
          <w:p>
            <w:pPr>
              <w:jc w:val="center"/>
              <w:ind w:left="45"/>
              <w:spacing w:after="0"/>
              <w:rPr>
                <w:sz w:val="20"/>
                <w:szCs w:val="20"/>
                <w:color w:val="auto"/>
              </w:rPr>
            </w:pPr>
            <w:r>
              <w:rPr>
                <w:rFonts w:ascii="Arial" w:cs="Arial" w:eastAsia="Arial" w:hAnsi="Arial"/>
                <w:sz w:val="11"/>
                <w:szCs w:val="11"/>
                <w:color w:val="auto"/>
                <w:w w:val="95"/>
              </w:rPr>
              <w:t>2.9%</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3.1%</w:t>
            </w:r>
          </w:p>
        </w:tc>
        <w:tc>
          <w:tcPr>
            <w:tcW w:w="540" w:type="dxa"/>
            <w:vAlign w:val="bottom"/>
            <w:tcBorders>
              <w:bottom w:val="single" w:sz="8" w:color="auto"/>
            </w:tcBorders>
          </w:tcPr>
          <w:p>
            <w:pPr>
              <w:jc w:val="center"/>
              <w:ind w:left="65"/>
              <w:spacing w:after="0"/>
              <w:rPr>
                <w:sz w:val="20"/>
                <w:szCs w:val="20"/>
                <w:color w:val="auto"/>
              </w:rPr>
            </w:pPr>
            <w:r>
              <w:rPr>
                <w:rFonts w:ascii="Arial" w:cs="Arial" w:eastAsia="Arial" w:hAnsi="Arial"/>
                <w:sz w:val="11"/>
                <w:szCs w:val="11"/>
                <w:color w:val="auto"/>
              </w:rPr>
              <w:t>2.8%</w:t>
            </w:r>
          </w:p>
        </w:tc>
        <w:tc>
          <w:tcPr>
            <w:tcW w:w="860" w:type="dxa"/>
            <w:vAlign w:val="bottom"/>
            <w:tcBorders>
              <w:bottom w:val="single" w:sz="8" w:color="auto"/>
              <w:right w:val="single" w:sz="8" w:color="auto"/>
            </w:tcBorders>
          </w:tcPr>
          <w:p>
            <w:pPr>
              <w:jc w:val="center"/>
              <w:ind w:left="85"/>
              <w:spacing w:after="0"/>
              <w:rPr>
                <w:sz w:val="20"/>
                <w:szCs w:val="20"/>
                <w:color w:val="auto"/>
              </w:rPr>
            </w:pPr>
            <w:r>
              <w:rPr>
                <w:rFonts w:ascii="Arial" w:cs="Arial" w:eastAsia="Arial" w:hAnsi="Arial"/>
                <w:sz w:val="11"/>
                <w:szCs w:val="11"/>
                <w:color w:val="auto"/>
                <w:w w:val="95"/>
              </w:rPr>
              <w:t>3.0%</w:t>
            </w:r>
          </w:p>
        </w:tc>
      </w:tr>
    </w:tbl>
    <w:p>
      <w:pPr>
        <w:spacing w:after="0" w:line="138" w:lineRule="exact"/>
        <w:rPr>
          <w:sz w:val="20"/>
          <w:szCs w:val="20"/>
          <w:color w:val="auto"/>
        </w:rPr>
      </w:pPr>
    </w:p>
    <w:p>
      <w:pPr>
        <w:ind w:left="620" w:hanging="152"/>
        <w:spacing w:after="0"/>
        <w:tabs>
          <w:tab w:leader="none" w:pos="620" w:val="left"/>
        </w:tabs>
        <w:numPr>
          <w:ilvl w:val="0"/>
          <w:numId w:val="58"/>
        </w:numPr>
        <w:rPr>
          <w:rFonts w:ascii="Arial" w:cs="Arial" w:eastAsia="Arial" w:hAnsi="Arial"/>
          <w:sz w:val="10"/>
          <w:szCs w:val="10"/>
          <w:color w:val="auto"/>
        </w:rPr>
      </w:pPr>
      <w:r>
        <w:rPr>
          <w:rFonts w:ascii="Arial" w:cs="Arial" w:eastAsia="Arial" w:hAnsi="Arial"/>
          <w:sz w:val="10"/>
          <w:szCs w:val="10"/>
          <w:color w:val="auto"/>
        </w:rPr>
        <w:t>Ratios are annualized.</w:t>
      </w:r>
    </w:p>
    <w:p>
      <w:pPr>
        <w:ind w:left="620" w:hanging="152"/>
        <w:spacing w:after="0" w:line="214" w:lineRule="auto"/>
        <w:tabs>
          <w:tab w:leader="none" w:pos="620" w:val="left"/>
        </w:tabs>
        <w:numPr>
          <w:ilvl w:val="0"/>
          <w:numId w:val="58"/>
        </w:numPr>
        <w:rPr>
          <w:rFonts w:ascii="Arial" w:cs="Arial" w:eastAsia="Arial" w:hAnsi="Arial"/>
          <w:sz w:val="10"/>
          <w:szCs w:val="10"/>
          <w:color w:val="auto"/>
        </w:rPr>
      </w:pPr>
      <w:r>
        <w:rPr>
          <w:rFonts w:ascii="Arial" w:cs="Arial" w:eastAsia="Arial" w:hAnsi="Arial"/>
          <w:sz w:val="10"/>
          <w:szCs w:val="10"/>
          <w:color w:val="auto"/>
        </w:rPr>
        <w:t>Averages are determined as the average of period-beginning and period-ending balances.</w:t>
      </w:r>
    </w:p>
    <w:p>
      <w:pPr>
        <w:ind w:left="460" w:right="360" w:firstLine="8"/>
        <w:spacing w:after="0" w:line="214" w:lineRule="auto"/>
        <w:tabs>
          <w:tab w:leader="none" w:pos="604" w:val="left"/>
        </w:tabs>
        <w:numPr>
          <w:ilvl w:val="0"/>
          <w:numId w:val="58"/>
        </w:numPr>
        <w:rPr>
          <w:rFonts w:ascii="Arial" w:cs="Arial" w:eastAsia="Arial" w:hAnsi="Arial"/>
          <w:sz w:val="10"/>
          <w:szCs w:val="10"/>
          <w:color w:val="auto"/>
        </w:rPr>
      </w:pPr>
      <w:r>
        <w:rPr>
          <w:rFonts w:ascii="Arial" w:cs="Arial" w:eastAsia="Arial" w:hAnsi="Arial"/>
          <w:sz w:val="10"/>
          <w:szCs w:val="10"/>
          <w:color w:val="auto"/>
        </w:rPr>
        <w:t>The funding costs differs from previously reported due to a methodoloy change in the denominator, which no longer includes the following accounts: acceptances outstanding, reserves for property and casualty claims, reserve for unearned premiums, reinsurance payable and other liabilities.</w:t>
      </w:r>
    </w:p>
    <w:p>
      <w:pPr>
        <w:ind w:left="620" w:hanging="152"/>
        <w:spacing w:after="0" w:line="214" w:lineRule="auto"/>
        <w:tabs>
          <w:tab w:leader="none" w:pos="620" w:val="left"/>
        </w:tabs>
        <w:numPr>
          <w:ilvl w:val="0"/>
          <w:numId w:val="58"/>
        </w:numPr>
        <w:rPr>
          <w:rFonts w:ascii="Arial" w:cs="Arial" w:eastAsia="Arial" w:hAnsi="Arial"/>
          <w:sz w:val="10"/>
          <w:szCs w:val="10"/>
          <w:color w:val="auto"/>
        </w:rPr>
      </w:pPr>
      <w:r>
        <w:rPr>
          <w:rFonts w:ascii="Arial" w:cs="Arial" w:eastAsia="Arial" w:hAnsi="Arial"/>
          <w:sz w:val="10"/>
          <w:szCs w:val="10"/>
          <w:color w:val="auto"/>
        </w:rPr>
        <w:t>Cost of risk: Annualized provision for loan losses / Total loans.</w:t>
      </w:r>
    </w:p>
    <w:p>
      <w:pPr>
        <w:ind w:left="460" w:firstLine="8"/>
        <w:spacing w:after="0" w:line="229" w:lineRule="auto"/>
        <w:tabs>
          <w:tab w:leader="none" w:pos="604" w:val="left"/>
        </w:tabs>
        <w:numPr>
          <w:ilvl w:val="0"/>
          <w:numId w:val="58"/>
        </w:numPr>
        <w:rPr>
          <w:rFonts w:ascii="Arial" w:cs="Arial" w:eastAsia="Arial" w:hAnsi="Arial"/>
          <w:sz w:val="10"/>
          <w:szCs w:val="10"/>
          <w:color w:val="auto"/>
        </w:rPr>
      </w:pPr>
      <w:r>
        <w:rPr>
          <w:rFonts w:ascii="Arial" w:cs="Arial" w:eastAsia="Arial" w:hAnsi="Arial"/>
          <w:sz w:val="10"/>
          <w:szCs w:val="10"/>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628015</wp:posOffset>
            </wp:positionV>
            <wp:extent cx="7164705" cy="133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98425</wp:posOffset>
            </wp:positionV>
            <wp:extent cx="1502410" cy="4438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5276215</wp:posOffset>
            </wp:positionH>
            <wp:positionV relativeFrom="paragraph">
              <wp:posOffset>216535</wp:posOffset>
            </wp:positionV>
            <wp:extent cx="1750695" cy="3263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750695" cy="326390"/>
                    </a:xfrm>
                    <a:prstGeom prst="rect">
                      <a:avLst/>
                    </a:prstGeom>
                    <a:noFill/>
                  </pic:spPr>
                </pic:pic>
              </a:graphicData>
            </a:graphic>
          </wp:anchor>
        </w:drawing>
      </w:r>
    </w:p>
    <w:p>
      <w:pPr>
        <w:sectPr>
          <w:pgSz w:w="11900" w:h="16838" w:orient="portrait"/>
          <w:cols w:equalWidth="0" w:num="1">
            <w:col w:w="11060"/>
          </w:cols>
          <w:pgMar w:left="520" w:top="300" w:right="319" w:bottom="1440" w:gutter="0" w:footer="0" w:header="0"/>
        </w:sectPr>
      </w:pPr>
    </w:p>
    <w:bookmarkStart w:id="65" w:name="page66"/>
    <w:bookmarkEnd w:id="65"/>
    <w:p>
      <w:pPr>
        <w:ind w:left="2720"/>
        <w:spacing w:after="0"/>
        <w:tabs>
          <w:tab w:leader="none" w:pos="2920" w:val="left"/>
          <w:tab w:leader="none" w:pos="7920"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10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64705" cy="581025"/>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FFFFFF"/>
        </w:rPr>
        <w:t>12. Appendix</w:t>
      </w:r>
    </w:p>
    <w:p>
      <w:pPr>
        <w:spacing w:after="0" w:line="25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12.6.5. BCP Bolivia</w:t>
      </w:r>
    </w:p>
    <w:p>
      <w:pPr>
        <w:spacing w:after="0" w:line="152" w:lineRule="exact"/>
        <w:rPr>
          <w:sz w:val="20"/>
          <w:szCs w:val="20"/>
          <w:color w:val="auto"/>
        </w:rPr>
      </w:pPr>
    </w:p>
    <w:p>
      <w:pPr>
        <w:ind w:left="4700"/>
        <w:spacing w:after="0"/>
        <w:rPr>
          <w:sz w:val="20"/>
          <w:szCs w:val="20"/>
          <w:color w:val="auto"/>
        </w:rPr>
      </w:pPr>
      <w:r>
        <w:rPr>
          <w:rFonts w:ascii="Arial" w:cs="Arial" w:eastAsia="Arial" w:hAnsi="Arial"/>
          <w:sz w:val="12"/>
          <w:szCs w:val="12"/>
          <w:b w:val="1"/>
          <w:bCs w:val="1"/>
          <w:color w:val="auto"/>
        </w:rPr>
        <w:t>Statement of Financial Position</w:t>
      </w:r>
    </w:p>
    <w:p>
      <w:pPr>
        <w:spacing w:after="0" w:line="18" w:lineRule="exact"/>
        <w:rPr>
          <w:sz w:val="20"/>
          <w:szCs w:val="20"/>
          <w:color w:val="auto"/>
        </w:rPr>
      </w:pPr>
    </w:p>
    <w:p>
      <w:pPr>
        <w:ind w:left="5020"/>
        <w:spacing w:after="0"/>
        <w:rPr>
          <w:sz w:val="20"/>
          <w:szCs w:val="20"/>
          <w:color w:val="auto"/>
        </w:rPr>
      </w:pPr>
      <w:r>
        <w:rPr>
          <w:rFonts w:ascii="Arial" w:cs="Arial" w:eastAsia="Arial" w:hAnsi="Arial"/>
          <w:sz w:val="12"/>
          <w:szCs w:val="12"/>
          <w:b w:val="1"/>
          <w:bCs w:val="1"/>
          <w:color w:val="auto"/>
        </w:rPr>
        <w:t>(S/ Thousands, IFRS)</w:t>
      </w:r>
    </w:p>
    <w:p>
      <w:pPr>
        <w:spacing w:after="0" w:line="149" w:lineRule="exact"/>
        <w:rPr>
          <w:sz w:val="20"/>
          <w:szCs w:val="20"/>
          <w:color w:val="auto"/>
        </w:rPr>
      </w:pPr>
    </w:p>
    <w:tbl>
      <w:tblPr>
        <w:tblLayout w:type="fixed"/>
        <w:tblInd w:w="230" w:type="dxa"/>
        <w:tblCellMar>
          <w:top w:w="0" w:type="dxa"/>
          <w:left w:w="0" w:type="dxa"/>
          <w:bottom w:w="0" w:type="dxa"/>
          <w:right w:w="0" w:type="dxa"/>
        </w:tblCellMar>
      </w:tblPr>
      <w:tr>
        <w:trPr>
          <w:trHeight w:val="134"/>
        </w:trPr>
        <w:tc>
          <w:tcPr>
            <w:tcW w:w="5320" w:type="dxa"/>
            <w:vAlign w:val="bottom"/>
            <w:tcBorders>
              <w:top w:val="single" w:sz="8" w:color="auto"/>
              <w:left w:val="single" w:sz="8" w:color="auto"/>
              <w:right w:val="single" w:sz="8" w:color="auto"/>
            </w:tcBorders>
            <w:shd w:val="clear" w:color="auto" w:fill="2AD2C9"/>
          </w:tcPr>
          <w:p>
            <w:pPr>
              <w:spacing w:after="0"/>
              <w:rPr>
                <w:sz w:val="11"/>
                <w:szCs w:val="11"/>
                <w:color w:val="auto"/>
              </w:rPr>
            </w:pPr>
          </w:p>
        </w:tc>
        <w:tc>
          <w:tcPr>
            <w:tcW w:w="1180" w:type="dxa"/>
            <w:vAlign w:val="bottom"/>
            <w:tcBorders>
              <w:top w:val="single" w:sz="8" w:color="auto"/>
            </w:tcBorders>
            <w:shd w:val="clear" w:color="auto" w:fill="2AD2C9"/>
          </w:tcPr>
          <w:p>
            <w:pPr>
              <w:spacing w:after="0"/>
              <w:rPr>
                <w:sz w:val="11"/>
                <w:szCs w:val="11"/>
                <w:color w:val="auto"/>
              </w:rPr>
            </w:pPr>
          </w:p>
        </w:tc>
        <w:tc>
          <w:tcPr>
            <w:tcW w:w="120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1"/>
                <w:szCs w:val="11"/>
                <w:b w:val="1"/>
                <w:bCs w:val="1"/>
                <w:color w:val="FFFFFF"/>
              </w:rPr>
              <w:t>As of</w:t>
            </w:r>
          </w:p>
        </w:tc>
        <w:tc>
          <w:tcPr>
            <w:tcW w:w="1220" w:type="dxa"/>
            <w:vAlign w:val="bottom"/>
            <w:tcBorders>
              <w:top w:val="single" w:sz="8" w:color="auto"/>
              <w:right w:val="single" w:sz="8" w:color="auto"/>
            </w:tcBorders>
            <w:shd w:val="clear" w:color="auto" w:fill="2AD2C9"/>
          </w:tcPr>
          <w:p>
            <w:pPr>
              <w:spacing w:after="0"/>
              <w:rPr>
                <w:sz w:val="11"/>
                <w:szCs w:val="11"/>
                <w:color w:val="auto"/>
              </w:rPr>
            </w:pPr>
          </w:p>
        </w:tc>
        <w:tc>
          <w:tcPr>
            <w:tcW w:w="660" w:type="dxa"/>
            <w:vAlign w:val="bottom"/>
            <w:tcBorders>
              <w:top w:val="single" w:sz="8" w:color="auto"/>
            </w:tcBorders>
            <w:shd w:val="clear" w:color="auto" w:fill="2AD2C9"/>
          </w:tcPr>
          <w:p>
            <w:pPr>
              <w:spacing w:after="0"/>
              <w:rPr>
                <w:sz w:val="11"/>
                <w:szCs w:val="11"/>
                <w:color w:val="auto"/>
              </w:rPr>
            </w:pPr>
          </w:p>
        </w:tc>
        <w:tc>
          <w:tcPr>
            <w:tcW w:w="1260" w:type="dxa"/>
            <w:vAlign w:val="bottom"/>
            <w:tcBorders>
              <w:top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1"/>
                <w:szCs w:val="11"/>
                <w:b w:val="1"/>
                <w:bCs w:val="1"/>
                <w:color w:val="FFFFFF"/>
              </w:rPr>
              <w:t>% change</w:t>
            </w:r>
          </w:p>
        </w:tc>
      </w:tr>
      <w:tr>
        <w:trPr>
          <w:trHeight w:val="123"/>
        </w:trPr>
        <w:tc>
          <w:tcPr>
            <w:tcW w:w="5320" w:type="dxa"/>
            <w:vAlign w:val="bottom"/>
            <w:tcBorders>
              <w:left w:val="single" w:sz="8" w:color="auto"/>
              <w:bottom w:val="single" w:sz="8" w:color="auto"/>
              <w:right w:val="single" w:sz="8" w:color="auto"/>
            </w:tcBorders>
            <w:shd w:val="clear" w:color="auto" w:fill="2AD2C9"/>
          </w:tcPr>
          <w:p>
            <w:pPr>
              <w:spacing w:after="0"/>
              <w:rPr>
                <w:sz w:val="10"/>
                <w:szCs w:val="10"/>
                <w:color w:val="auto"/>
              </w:rPr>
            </w:pPr>
          </w:p>
        </w:tc>
        <w:tc>
          <w:tcPr>
            <w:tcW w:w="1180" w:type="dxa"/>
            <w:vAlign w:val="bottom"/>
            <w:tcBorders>
              <w:bottom w:val="single" w:sz="8" w:color="auto"/>
            </w:tcBorders>
            <w:shd w:val="clear" w:color="auto" w:fill="2AD2C9"/>
          </w:tcPr>
          <w:p>
            <w:pPr>
              <w:ind w:left="400"/>
              <w:spacing w:after="0" w:line="124" w:lineRule="exact"/>
              <w:rPr>
                <w:sz w:val="20"/>
                <w:szCs w:val="20"/>
                <w:color w:val="auto"/>
              </w:rPr>
            </w:pPr>
            <w:r>
              <w:rPr>
                <w:rFonts w:ascii="Arial" w:cs="Arial" w:eastAsia="Arial" w:hAnsi="Arial"/>
                <w:sz w:val="11"/>
                <w:szCs w:val="11"/>
                <w:b w:val="1"/>
                <w:bCs w:val="1"/>
                <w:color w:val="FFFFFF"/>
              </w:rPr>
              <w:t>Jun 23</w:t>
            </w:r>
          </w:p>
        </w:tc>
        <w:tc>
          <w:tcPr>
            <w:tcW w:w="1200" w:type="dxa"/>
            <w:vAlign w:val="bottom"/>
            <w:tcBorders>
              <w:bottom w:val="single" w:sz="8" w:color="auto"/>
            </w:tcBorders>
            <w:shd w:val="clear" w:color="auto" w:fill="2AD2C9"/>
          </w:tcPr>
          <w:p>
            <w:pPr>
              <w:jc w:val="center"/>
              <w:spacing w:after="0" w:line="124" w:lineRule="exact"/>
              <w:rPr>
                <w:sz w:val="20"/>
                <w:szCs w:val="20"/>
                <w:color w:val="auto"/>
              </w:rPr>
            </w:pPr>
            <w:r>
              <w:rPr>
                <w:rFonts w:ascii="Arial" w:cs="Arial" w:eastAsia="Arial" w:hAnsi="Arial"/>
                <w:sz w:val="11"/>
                <w:szCs w:val="11"/>
                <w:b w:val="1"/>
                <w:bCs w:val="1"/>
                <w:color w:val="FFFFFF"/>
                <w:w w:val="97"/>
              </w:rPr>
              <w:t>Mar 24</w:t>
            </w:r>
          </w:p>
        </w:tc>
        <w:tc>
          <w:tcPr>
            <w:tcW w:w="1220" w:type="dxa"/>
            <w:vAlign w:val="bottom"/>
            <w:tcBorders>
              <w:bottom w:val="single" w:sz="8" w:color="auto"/>
              <w:right w:val="single" w:sz="8" w:color="auto"/>
            </w:tcBorders>
            <w:shd w:val="clear" w:color="auto" w:fill="2AD2C9"/>
          </w:tcPr>
          <w:p>
            <w:pPr>
              <w:ind w:left="420"/>
              <w:spacing w:after="0" w:line="124" w:lineRule="exact"/>
              <w:rPr>
                <w:sz w:val="20"/>
                <w:szCs w:val="20"/>
                <w:color w:val="auto"/>
              </w:rPr>
            </w:pPr>
            <w:r>
              <w:rPr>
                <w:rFonts w:ascii="Arial" w:cs="Arial" w:eastAsia="Arial" w:hAnsi="Arial"/>
                <w:sz w:val="11"/>
                <w:szCs w:val="11"/>
                <w:b w:val="1"/>
                <w:bCs w:val="1"/>
                <w:color w:val="FFFFFF"/>
              </w:rPr>
              <w:t>Jun 24</w:t>
            </w:r>
          </w:p>
        </w:tc>
        <w:tc>
          <w:tcPr>
            <w:tcW w:w="660" w:type="dxa"/>
            <w:vAlign w:val="bottom"/>
            <w:tcBorders>
              <w:bottom w:val="single" w:sz="8" w:color="auto"/>
            </w:tcBorders>
            <w:shd w:val="clear" w:color="auto" w:fill="2AD2C9"/>
          </w:tcPr>
          <w:p>
            <w:pPr>
              <w:jc w:val="center"/>
              <w:ind w:left="205"/>
              <w:spacing w:after="0" w:line="124" w:lineRule="exact"/>
              <w:rPr>
                <w:sz w:val="20"/>
                <w:szCs w:val="20"/>
                <w:color w:val="auto"/>
              </w:rPr>
            </w:pPr>
            <w:r>
              <w:rPr>
                <w:rFonts w:ascii="Arial" w:cs="Arial" w:eastAsia="Arial" w:hAnsi="Arial"/>
                <w:sz w:val="11"/>
                <w:szCs w:val="11"/>
                <w:b w:val="1"/>
                <w:bCs w:val="1"/>
                <w:color w:val="FFFFFF"/>
              </w:rPr>
              <w:t>QoQ</w:t>
            </w:r>
          </w:p>
        </w:tc>
        <w:tc>
          <w:tcPr>
            <w:tcW w:w="1260" w:type="dxa"/>
            <w:vAlign w:val="bottom"/>
            <w:tcBorders>
              <w:bottom w:val="single" w:sz="8" w:color="auto"/>
              <w:right w:val="single" w:sz="8" w:color="auto"/>
            </w:tcBorders>
            <w:shd w:val="clear" w:color="auto" w:fill="2AD2C9"/>
          </w:tcPr>
          <w:p>
            <w:pPr>
              <w:ind w:left="660"/>
              <w:spacing w:after="0" w:line="124" w:lineRule="exact"/>
              <w:rPr>
                <w:sz w:val="20"/>
                <w:szCs w:val="20"/>
                <w:color w:val="auto"/>
              </w:rPr>
            </w:pPr>
            <w:r>
              <w:rPr>
                <w:rFonts w:ascii="Arial" w:cs="Arial" w:eastAsia="Arial" w:hAnsi="Arial"/>
                <w:sz w:val="11"/>
                <w:szCs w:val="11"/>
                <w:b w:val="1"/>
                <w:bCs w:val="1"/>
                <w:color w:val="FFFFFF"/>
              </w:rPr>
              <w:t>YoY</w:t>
            </w:r>
          </w:p>
        </w:tc>
      </w:tr>
      <w:tr>
        <w:trPr>
          <w:trHeight w:val="107"/>
        </w:trPr>
        <w:tc>
          <w:tcPr>
            <w:tcW w:w="5320" w:type="dxa"/>
            <w:vAlign w:val="bottom"/>
            <w:tcBorders>
              <w:left w:val="single" w:sz="8" w:color="auto"/>
              <w:right w:val="single" w:sz="8" w:color="auto"/>
            </w:tcBorders>
          </w:tcPr>
          <w:p>
            <w:pPr>
              <w:ind w:left="40"/>
              <w:spacing w:after="0" w:line="107" w:lineRule="exact"/>
              <w:rPr>
                <w:sz w:val="20"/>
                <w:szCs w:val="20"/>
                <w:color w:val="auto"/>
              </w:rPr>
            </w:pPr>
            <w:r>
              <w:rPr>
                <w:rFonts w:ascii="Arial" w:cs="Arial" w:eastAsia="Arial" w:hAnsi="Arial"/>
                <w:sz w:val="11"/>
                <w:szCs w:val="11"/>
                <w:b w:val="1"/>
                <w:bCs w:val="1"/>
                <w:color w:val="auto"/>
              </w:rPr>
              <w:t>ASSETS</w:t>
            </w:r>
          </w:p>
        </w:tc>
        <w:tc>
          <w:tcPr>
            <w:tcW w:w="11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r>
      <w:tr>
        <w:trPr>
          <w:trHeight w:val="123"/>
        </w:trPr>
        <w:tc>
          <w:tcPr>
            <w:tcW w:w="5320" w:type="dxa"/>
            <w:vAlign w:val="bottom"/>
            <w:tcBorders>
              <w:left w:val="single" w:sz="8" w:color="auto"/>
              <w:right w:val="single" w:sz="8" w:color="auto"/>
            </w:tcBorders>
          </w:tcPr>
          <w:p>
            <w:pPr>
              <w:ind w:left="40"/>
              <w:spacing w:after="0" w:line="124" w:lineRule="exact"/>
              <w:rPr>
                <w:sz w:val="20"/>
                <w:szCs w:val="20"/>
                <w:color w:val="auto"/>
              </w:rPr>
            </w:pPr>
            <w:r>
              <w:rPr>
                <w:rFonts w:ascii="Arial" w:cs="Arial" w:eastAsia="Arial" w:hAnsi="Arial"/>
                <w:sz w:val="11"/>
                <w:szCs w:val="11"/>
                <w:color w:val="auto"/>
              </w:rPr>
              <w:t>Cash and due from banks</w:t>
            </w:r>
          </w:p>
        </w:tc>
        <w:tc>
          <w:tcPr>
            <w:tcW w:w="1180" w:type="dxa"/>
            <w:vAlign w:val="bottom"/>
          </w:tcPr>
          <w:p>
            <w:pPr>
              <w:jc w:val="center"/>
              <w:spacing w:after="0" w:line="124" w:lineRule="exact"/>
              <w:rPr>
                <w:sz w:val="20"/>
                <w:szCs w:val="20"/>
                <w:color w:val="auto"/>
              </w:rPr>
            </w:pPr>
            <w:r>
              <w:rPr>
                <w:rFonts w:ascii="Arial" w:cs="Arial" w:eastAsia="Arial" w:hAnsi="Arial"/>
                <w:sz w:val="11"/>
                <w:szCs w:val="11"/>
                <w:color w:val="auto"/>
                <w:w w:val="97"/>
              </w:rPr>
              <w:t>2,220,058</w:t>
            </w:r>
          </w:p>
        </w:tc>
        <w:tc>
          <w:tcPr>
            <w:tcW w:w="1200" w:type="dxa"/>
            <w:vAlign w:val="bottom"/>
          </w:tcPr>
          <w:p>
            <w:pPr>
              <w:jc w:val="center"/>
              <w:spacing w:after="0" w:line="124" w:lineRule="exact"/>
              <w:rPr>
                <w:sz w:val="20"/>
                <w:szCs w:val="20"/>
                <w:color w:val="auto"/>
              </w:rPr>
            </w:pPr>
            <w:r>
              <w:rPr>
                <w:rFonts w:ascii="Arial" w:cs="Arial" w:eastAsia="Arial" w:hAnsi="Arial"/>
                <w:sz w:val="11"/>
                <w:szCs w:val="11"/>
                <w:color w:val="auto"/>
              </w:rPr>
              <w:t>2,374,484</w:t>
            </w:r>
          </w:p>
        </w:tc>
        <w:tc>
          <w:tcPr>
            <w:tcW w:w="12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2,385,328</w:t>
            </w:r>
          </w:p>
        </w:tc>
        <w:tc>
          <w:tcPr>
            <w:tcW w:w="660" w:type="dxa"/>
            <w:vAlign w:val="bottom"/>
          </w:tcPr>
          <w:p>
            <w:pPr>
              <w:jc w:val="center"/>
              <w:ind w:left="205"/>
              <w:spacing w:after="0" w:line="124" w:lineRule="exact"/>
              <w:rPr>
                <w:sz w:val="20"/>
                <w:szCs w:val="20"/>
                <w:color w:val="auto"/>
              </w:rPr>
            </w:pPr>
            <w:r>
              <w:rPr>
                <w:rFonts w:ascii="Arial" w:cs="Arial" w:eastAsia="Arial" w:hAnsi="Arial"/>
                <w:sz w:val="11"/>
                <w:szCs w:val="11"/>
                <w:color w:val="auto"/>
                <w:w w:val="95"/>
              </w:rPr>
              <w:t>0.5%</w:t>
            </w:r>
          </w:p>
        </w:tc>
        <w:tc>
          <w:tcPr>
            <w:tcW w:w="1260" w:type="dxa"/>
            <w:vAlign w:val="bottom"/>
            <w:tcBorders>
              <w:right w:val="single" w:sz="8" w:color="auto"/>
            </w:tcBorders>
          </w:tcPr>
          <w:p>
            <w:pPr>
              <w:jc w:val="center"/>
              <w:ind w:left="225"/>
              <w:spacing w:after="0" w:line="124" w:lineRule="exact"/>
              <w:rPr>
                <w:sz w:val="20"/>
                <w:szCs w:val="20"/>
                <w:color w:val="auto"/>
              </w:rPr>
            </w:pPr>
            <w:r>
              <w:rPr>
                <w:rFonts w:ascii="Arial" w:cs="Arial" w:eastAsia="Arial" w:hAnsi="Arial"/>
                <w:sz w:val="11"/>
                <w:szCs w:val="11"/>
                <w:color w:val="auto"/>
              </w:rPr>
              <w:t>7.4%</w:t>
            </w:r>
          </w:p>
        </w:tc>
      </w:tr>
      <w:tr>
        <w:trPr>
          <w:trHeight w:val="123"/>
        </w:trPr>
        <w:tc>
          <w:tcPr>
            <w:tcW w:w="5320" w:type="dxa"/>
            <w:vAlign w:val="bottom"/>
            <w:tcBorders>
              <w:left w:val="single" w:sz="8" w:color="auto"/>
              <w:right w:val="single" w:sz="8" w:color="auto"/>
            </w:tcBorders>
          </w:tcPr>
          <w:p>
            <w:pPr>
              <w:ind w:left="40"/>
              <w:spacing w:after="0" w:line="124" w:lineRule="exact"/>
              <w:rPr>
                <w:sz w:val="20"/>
                <w:szCs w:val="20"/>
                <w:color w:val="auto"/>
              </w:rPr>
            </w:pPr>
            <w:r>
              <w:rPr>
                <w:rFonts w:ascii="Arial" w:cs="Arial" w:eastAsia="Arial" w:hAnsi="Arial"/>
                <w:sz w:val="11"/>
                <w:szCs w:val="11"/>
                <w:color w:val="auto"/>
              </w:rPr>
              <w:t>Investments</w:t>
            </w:r>
          </w:p>
        </w:tc>
        <w:tc>
          <w:tcPr>
            <w:tcW w:w="1180" w:type="dxa"/>
            <w:vAlign w:val="bottom"/>
          </w:tcPr>
          <w:p>
            <w:pPr>
              <w:jc w:val="center"/>
              <w:spacing w:after="0" w:line="124" w:lineRule="exact"/>
              <w:rPr>
                <w:sz w:val="20"/>
                <w:szCs w:val="20"/>
                <w:color w:val="auto"/>
              </w:rPr>
            </w:pPr>
            <w:r>
              <w:rPr>
                <w:rFonts w:ascii="Arial" w:cs="Arial" w:eastAsia="Arial" w:hAnsi="Arial"/>
                <w:sz w:val="11"/>
                <w:szCs w:val="11"/>
                <w:color w:val="auto"/>
                <w:w w:val="97"/>
              </w:rPr>
              <w:t>1,459,846</w:t>
            </w:r>
          </w:p>
        </w:tc>
        <w:tc>
          <w:tcPr>
            <w:tcW w:w="1200" w:type="dxa"/>
            <w:vAlign w:val="bottom"/>
          </w:tcPr>
          <w:p>
            <w:pPr>
              <w:jc w:val="center"/>
              <w:spacing w:after="0" w:line="124" w:lineRule="exact"/>
              <w:rPr>
                <w:sz w:val="20"/>
                <w:szCs w:val="20"/>
                <w:color w:val="auto"/>
              </w:rPr>
            </w:pPr>
            <w:r>
              <w:rPr>
                <w:rFonts w:ascii="Arial" w:cs="Arial" w:eastAsia="Arial" w:hAnsi="Arial"/>
                <w:sz w:val="11"/>
                <w:szCs w:val="11"/>
                <w:color w:val="auto"/>
              </w:rPr>
              <w:t>1,578,839</w:t>
            </w:r>
          </w:p>
        </w:tc>
        <w:tc>
          <w:tcPr>
            <w:tcW w:w="12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1,495,591</w:t>
            </w:r>
          </w:p>
        </w:tc>
        <w:tc>
          <w:tcPr>
            <w:tcW w:w="660" w:type="dxa"/>
            <w:vAlign w:val="bottom"/>
          </w:tcPr>
          <w:p>
            <w:pPr>
              <w:jc w:val="center"/>
              <w:ind w:left="205"/>
              <w:spacing w:after="0" w:line="124" w:lineRule="exact"/>
              <w:rPr>
                <w:sz w:val="20"/>
                <w:szCs w:val="20"/>
                <w:color w:val="auto"/>
              </w:rPr>
            </w:pPr>
            <w:r>
              <w:rPr>
                <w:rFonts w:ascii="Arial" w:cs="Arial" w:eastAsia="Arial" w:hAnsi="Arial"/>
                <w:sz w:val="11"/>
                <w:szCs w:val="11"/>
                <w:color w:val="auto"/>
                <w:w w:val="97"/>
              </w:rPr>
              <w:t>-5.3%</w:t>
            </w:r>
          </w:p>
        </w:tc>
        <w:tc>
          <w:tcPr>
            <w:tcW w:w="1260" w:type="dxa"/>
            <w:vAlign w:val="bottom"/>
            <w:tcBorders>
              <w:right w:val="single" w:sz="8" w:color="auto"/>
            </w:tcBorders>
          </w:tcPr>
          <w:p>
            <w:pPr>
              <w:jc w:val="center"/>
              <w:ind w:left="225"/>
              <w:spacing w:after="0" w:line="124" w:lineRule="exact"/>
              <w:rPr>
                <w:sz w:val="20"/>
                <w:szCs w:val="20"/>
                <w:color w:val="auto"/>
              </w:rPr>
            </w:pPr>
            <w:r>
              <w:rPr>
                <w:rFonts w:ascii="Arial" w:cs="Arial" w:eastAsia="Arial" w:hAnsi="Arial"/>
                <w:sz w:val="11"/>
                <w:szCs w:val="11"/>
                <w:color w:val="auto"/>
              </w:rPr>
              <w:t>2.4%</w:t>
            </w:r>
          </w:p>
        </w:tc>
      </w:tr>
      <w:tr>
        <w:trPr>
          <w:trHeight w:val="123"/>
        </w:trPr>
        <w:tc>
          <w:tcPr>
            <w:tcW w:w="5320" w:type="dxa"/>
            <w:vAlign w:val="bottom"/>
            <w:tcBorders>
              <w:left w:val="single" w:sz="8" w:color="auto"/>
              <w:right w:val="single" w:sz="8" w:color="auto"/>
            </w:tcBorders>
          </w:tcPr>
          <w:p>
            <w:pPr>
              <w:ind w:left="40"/>
              <w:spacing w:after="0" w:line="124" w:lineRule="exact"/>
              <w:rPr>
                <w:sz w:val="20"/>
                <w:szCs w:val="20"/>
                <w:color w:val="auto"/>
              </w:rPr>
            </w:pPr>
            <w:r>
              <w:rPr>
                <w:rFonts w:ascii="Arial" w:cs="Arial" w:eastAsia="Arial" w:hAnsi="Arial"/>
                <w:sz w:val="11"/>
                <w:szCs w:val="11"/>
                <w:b w:val="1"/>
                <w:bCs w:val="1"/>
                <w:color w:val="auto"/>
              </w:rPr>
              <w:t>Total loans</w:t>
            </w:r>
          </w:p>
        </w:tc>
        <w:tc>
          <w:tcPr>
            <w:tcW w:w="11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7"/>
              </w:rPr>
              <w:t>9,087,400</w:t>
            </w:r>
          </w:p>
        </w:tc>
        <w:tc>
          <w:tcPr>
            <w:tcW w:w="12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9,739,036</w:t>
            </w:r>
          </w:p>
        </w:tc>
        <w:tc>
          <w:tcPr>
            <w:tcW w:w="12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8"/>
              </w:rPr>
              <w:t>10,228,586</w:t>
            </w:r>
          </w:p>
        </w:tc>
        <w:tc>
          <w:tcPr>
            <w:tcW w:w="660" w:type="dxa"/>
            <w:vAlign w:val="bottom"/>
          </w:tcPr>
          <w:p>
            <w:pPr>
              <w:jc w:val="center"/>
              <w:ind w:left="205"/>
              <w:spacing w:after="0" w:line="124" w:lineRule="exact"/>
              <w:rPr>
                <w:sz w:val="20"/>
                <w:szCs w:val="20"/>
                <w:color w:val="auto"/>
              </w:rPr>
            </w:pPr>
            <w:r>
              <w:rPr>
                <w:rFonts w:ascii="Arial" w:cs="Arial" w:eastAsia="Arial" w:hAnsi="Arial"/>
                <w:sz w:val="11"/>
                <w:szCs w:val="11"/>
                <w:b w:val="1"/>
                <w:bCs w:val="1"/>
                <w:color w:val="auto"/>
                <w:w w:val="95"/>
              </w:rPr>
              <w:t>5.0%</w:t>
            </w:r>
          </w:p>
        </w:tc>
        <w:tc>
          <w:tcPr>
            <w:tcW w:w="1260" w:type="dxa"/>
            <w:vAlign w:val="bottom"/>
            <w:tcBorders>
              <w:right w:val="single" w:sz="8" w:color="auto"/>
            </w:tcBorders>
          </w:tcPr>
          <w:p>
            <w:pPr>
              <w:jc w:val="center"/>
              <w:ind w:left="225"/>
              <w:spacing w:after="0" w:line="124" w:lineRule="exact"/>
              <w:rPr>
                <w:sz w:val="20"/>
                <w:szCs w:val="20"/>
                <w:color w:val="auto"/>
              </w:rPr>
            </w:pPr>
            <w:r>
              <w:rPr>
                <w:rFonts w:ascii="Arial" w:cs="Arial" w:eastAsia="Arial" w:hAnsi="Arial"/>
                <w:sz w:val="11"/>
                <w:szCs w:val="11"/>
                <w:b w:val="1"/>
                <w:bCs w:val="1"/>
                <w:color w:val="auto"/>
                <w:w w:val="96"/>
              </w:rPr>
              <w:t>12.6%</w:t>
            </w:r>
          </w:p>
        </w:tc>
      </w:tr>
      <w:tr>
        <w:trPr>
          <w:trHeight w:val="123"/>
        </w:trPr>
        <w:tc>
          <w:tcPr>
            <w:tcW w:w="532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Current</w:t>
            </w:r>
          </w:p>
        </w:tc>
        <w:tc>
          <w:tcPr>
            <w:tcW w:w="1180" w:type="dxa"/>
            <w:vAlign w:val="bottom"/>
          </w:tcPr>
          <w:p>
            <w:pPr>
              <w:jc w:val="center"/>
              <w:spacing w:after="0" w:line="124" w:lineRule="exact"/>
              <w:rPr>
                <w:sz w:val="20"/>
                <w:szCs w:val="20"/>
                <w:color w:val="auto"/>
              </w:rPr>
            </w:pPr>
            <w:r>
              <w:rPr>
                <w:rFonts w:ascii="Arial" w:cs="Arial" w:eastAsia="Arial" w:hAnsi="Arial"/>
                <w:sz w:val="11"/>
                <w:szCs w:val="11"/>
                <w:color w:val="auto"/>
                <w:w w:val="97"/>
              </w:rPr>
              <w:t>8,815,936</w:t>
            </w:r>
          </w:p>
        </w:tc>
        <w:tc>
          <w:tcPr>
            <w:tcW w:w="1200" w:type="dxa"/>
            <w:vAlign w:val="bottom"/>
          </w:tcPr>
          <w:p>
            <w:pPr>
              <w:jc w:val="center"/>
              <w:spacing w:after="0" w:line="124" w:lineRule="exact"/>
              <w:rPr>
                <w:sz w:val="20"/>
                <w:szCs w:val="20"/>
                <w:color w:val="auto"/>
              </w:rPr>
            </w:pPr>
            <w:r>
              <w:rPr>
                <w:rFonts w:ascii="Arial" w:cs="Arial" w:eastAsia="Arial" w:hAnsi="Arial"/>
                <w:sz w:val="11"/>
                <w:szCs w:val="11"/>
                <w:color w:val="auto"/>
              </w:rPr>
              <w:t>9,434,678</w:t>
            </w:r>
          </w:p>
        </w:tc>
        <w:tc>
          <w:tcPr>
            <w:tcW w:w="12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9,891,230</w:t>
            </w:r>
          </w:p>
        </w:tc>
        <w:tc>
          <w:tcPr>
            <w:tcW w:w="660" w:type="dxa"/>
            <w:vAlign w:val="bottom"/>
          </w:tcPr>
          <w:p>
            <w:pPr>
              <w:jc w:val="center"/>
              <w:ind w:left="205"/>
              <w:spacing w:after="0" w:line="124" w:lineRule="exact"/>
              <w:rPr>
                <w:sz w:val="20"/>
                <w:szCs w:val="20"/>
                <w:color w:val="auto"/>
              </w:rPr>
            </w:pPr>
            <w:r>
              <w:rPr>
                <w:rFonts w:ascii="Arial" w:cs="Arial" w:eastAsia="Arial" w:hAnsi="Arial"/>
                <w:sz w:val="11"/>
                <w:szCs w:val="11"/>
                <w:color w:val="auto"/>
                <w:w w:val="95"/>
              </w:rPr>
              <w:t>4.8%</w:t>
            </w:r>
          </w:p>
        </w:tc>
        <w:tc>
          <w:tcPr>
            <w:tcW w:w="1260" w:type="dxa"/>
            <w:vAlign w:val="bottom"/>
            <w:tcBorders>
              <w:right w:val="single" w:sz="8" w:color="auto"/>
            </w:tcBorders>
          </w:tcPr>
          <w:p>
            <w:pPr>
              <w:jc w:val="center"/>
              <w:ind w:left="225"/>
              <w:spacing w:after="0" w:line="124" w:lineRule="exact"/>
              <w:rPr>
                <w:sz w:val="20"/>
                <w:szCs w:val="20"/>
                <w:color w:val="auto"/>
              </w:rPr>
            </w:pPr>
            <w:r>
              <w:rPr>
                <w:rFonts w:ascii="Arial" w:cs="Arial" w:eastAsia="Arial" w:hAnsi="Arial"/>
                <w:sz w:val="11"/>
                <w:szCs w:val="11"/>
                <w:color w:val="auto"/>
                <w:w w:val="96"/>
              </w:rPr>
              <w:t>12.2%</w:t>
            </w:r>
          </w:p>
        </w:tc>
      </w:tr>
      <w:tr>
        <w:trPr>
          <w:trHeight w:val="123"/>
        </w:trPr>
        <w:tc>
          <w:tcPr>
            <w:tcW w:w="532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Internal overdue loans</w:t>
            </w:r>
          </w:p>
        </w:tc>
        <w:tc>
          <w:tcPr>
            <w:tcW w:w="1180" w:type="dxa"/>
            <w:vAlign w:val="bottom"/>
          </w:tcPr>
          <w:p>
            <w:pPr>
              <w:jc w:val="center"/>
              <w:spacing w:after="0" w:line="124" w:lineRule="exact"/>
              <w:rPr>
                <w:sz w:val="20"/>
                <w:szCs w:val="20"/>
                <w:color w:val="auto"/>
              </w:rPr>
            </w:pPr>
            <w:r>
              <w:rPr>
                <w:rFonts w:ascii="Arial" w:cs="Arial" w:eastAsia="Arial" w:hAnsi="Arial"/>
                <w:sz w:val="11"/>
                <w:szCs w:val="11"/>
                <w:color w:val="auto"/>
              </w:rPr>
              <w:t>242,399</w:t>
            </w:r>
          </w:p>
        </w:tc>
        <w:tc>
          <w:tcPr>
            <w:tcW w:w="1200" w:type="dxa"/>
            <w:vAlign w:val="bottom"/>
          </w:tcPr>
          <w:p>
            <w:pPr>
              <w:jc w:val="center"/>
              <w:spacing w:after="0" w:line="124" w:lineRule="exact"/>
              <w:rPr>
                <w:sz w:val="20"/>
                <w:szCs w:val="20"/>
                <w:color w:val="auto"/>
              </w:rPr>
            </w:pPr>
            <w:r>
              <w:rPr>
                <w:rFonts w:ascii="Arial" w:cs="Arial" w:eastAsia="Arial" w:hAnsi="Arial"/>
                <w:sz w:val="11"/>
                <w:szCs w:val="11"/>
                <w:color w:val="auto"/>
                <w:w w:val="95"/>
              </w:rPr>
              <w:t>250,051</w:t>
            </w:r>
          </w:p>
        </w:tc>
        <w:tc>
          <w:tcPr>
            <w:tcW w:w="12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282,934</w:t>
            </w:r>
          </w:p>
        </w:tc>
        <w:tc>
          <w:tcPr>
            <w:tcW w:w="660" w:type="dxa"/>
            <w:vAlign w:val="bottom"/>
          </w:tcPr>
          <w:p>
            <w:pPr>
              <w:jc w:val="center"/>
              <w:ind w:left="205"/>
              <w:spacing w:after="0" w:line="124" w:lineRule="exact"/>
              <w:rPr>
                <w:sz w:val="20"/>
                <w:szCs w:val="20"/>
                <w:color w:val="auto"/>
              </w:rPr>
            </w:pPr>
            <w:r>
              <w:rPr>
                <w:rFonts w:ascii="Arial" w:cs="Arial" w:eastAsia="Arial" w:hAnsi="Arial"/>
                <w:sz w:val="11"/>
                <w:szCs w:val="11"/>
                <w:color w:val="auto"/>
              </w:rPr>
              <w:t>13.2%</w:t>
            </w:r>
          </w:p>
        </w:tc>
        <w:tc>
          <w:tcPr>
            <w:tcW w:w="1260" w:type="dxa"/>
            <w:vAlign w:val="bottom"/>
            <w:tcBorders>
              <w:right w:val="single" w:sz="8" w:color="auto"/>
            </w:tcBorders>
          </w:tcPr>
          <w:p>
            <w:pPr>
              <w:jc w:val="center"/>
              <w:ind w:left="225"/>
              <w:spacing w:after="0" w:line="124" w:lineRule="exact"/>
              <w:rPr>
                <w:sz w:val="20"/>
                <w:szCs w:val="20"/>
                <w:color w:val="auto"/>
              </w:rPr>
            </w:pPr>
            <w:r>
              <w:rPr>
                <w:rFonts w:ascii="Arial" w:cs="Arial" w:eastAsia="Arial" w:hAnsi="Arial"/>
                <w:sz w:val="11"/>
                <w:szCs w:val="11"/>
                <w:color w:val="auto"/>
                <w:w w:val="96"/>
              </w:rPr>
              <w:t>16.7%</w:t>
            </w:r>
          </w:p>
        </w:tc>
      </w:tr>
      <w:tr>
        <w:trPr>
          <w:trHeight w:val="123"/>
        </w:trPr>
        <w:tc>
          <w:tcPr>
            <w:tcW w:w="532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Refinanced</w:t>
            </w:r>
          </w:p>
        </w:tc>
        <w:tc>
          <w:tcPr>
            <w:tcW w:w="1180" w:type="dxa"/>
            <w:vAlign w:val="bottom"/>
          </w:tcPr>
          <w:p>
            <w:pPr>
              <w:jc w:val="center"/>
              <w:spacing w:after="0" w:line="124" w:lineRule="exact"/>
              <w:rPr>
                <w:sz w:val="20"/>
                <w:szCs w:val="20"/>
                <w:color w:val="auto"/>
              </w:rPr>
            </w:pPr>
            <w:r>
              <w:rPr>
                <w:rFonts w:ascii="Arial" w:cs="Arial" w:eastAsia="Arial" w:hAnsi="Arial"/>
                <w:sz w:val="11"/>
                <w:szCs w:val="11"/>
                <w:color w:val="auto"/>
              </w:rPr>
              <w:t>29,064</w:t>
            </w:r>
          </w:p>
        </w:tc>
        <w:tc>
          <w:tcPr>
            <w:tcW w:w="1200" w:type="dxa"/>
            <w:vAlign w:val="bottom"/>
          </w:tcPr>
          <w:p>
            <w:pPr>
              <w:jc w:val="center"/>
              <w:spacing w:after="0" w:line="124" w:lineRule="exact"/>
              <w:rPr>
                <w:sz w:val="20"/>
                <w:szCs w:val="20"/>
                <w:color w:val="auto"/>
              </w:rPr>
            </w:pPr>
            <w:r>
              <w:rPr>
                <w:rFonts w:ascii="Arial" w:cs="Arial" w:eastAsia="Arial" w:hAnsi="Arial"/>
                <w:sz w:val="11"/>
                <w:szCs w:val="11"/>
                <w:color w:val="auto"/>
              </w:rPr>
              <w:t>54,307</w:t>
            </w:r>
          </w:p>
        </w:tc>
        <w:tc>
          <w:tcPr>
            <w:tcW w:w="12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54,422</w:t>
            </w:r>
          </w:p>
        </w:tc>
        <w:tc>
          <w:tcPr>
            <w:tcW w:w="660" w:type="dxa"/>
            <w:vAlign w:val="bottom"/>
          </w:tcPr>
          <w:p>
            <w:pPr>
              <w:jc w:val="center"/>
              <w:ind w:left="205"/>
              <w:spacing w:after="0" w:line="124" w:lineRule="exact"/>
              <w:rPr>
                <w:sz w:val="20"/>
                <w:szCs w:val="20"/>
                <w:color w:val="auto"/>
              </w:rPr>
            </w:pPr>
            <w:r>
              <w:rPr>
                <w:rFonts w:ascii="Arial" w:cs="Arial" w:eastAsia="Arial" w:hAnsi="Arial"/>
                <w:sz w:val="11"/>
                <w:szCs w:val="11"/>
                <w:color w:val="auto"/>
                <w:w w:val="95"/>
              </w:rPr>
              <w:t>0.2%</w:t>
            </w:r>
          </w:p>
        </w:tc>
        <w:tc>
          <w:tcPr>
            <w:tcW w:w="1260" w:type="dxa"/>
            <w:vAlign w:val="bottom"/>
            <w:tcBorders>
              <w:right w:val="single" w:sz="8" w:color="auto"/>
            </w:tcBorders>
          </w:tcPr>
          <w:p>
            <w:pPr>
              <w:jc w:val="center"/>
              <w:ind w:left="225"/>
              <w:spacing w:after="0" w:line="124" w:lineRule="exact"/>
              <w:rPr>
                <w:sz w:val="20"/>
                <w:szCs w:val="20"/>
                <w:color w:val="auto"/>
              </w:rPr>
            </w:pPr>
            <w:r>
              <w:rPr>
                <w:rFonts w:ascii="Arial" w:cs="Arial" w:eastAsia="Arial" w:hAnsi="Arial"/>
                <w:sz w:val="11"/>
                <w:szCs w:val="11"/>
                <w:color w:val="auto"/>
                <w:w w:val="96"/>
              </w:rPr>
              <w:t>87.2%</w:t>
            </w:r>
          </w:p>
        </w:tc>
      </w:tr>
      <w:tr>
        <w:trPr>
          <w:trHeight w:val="123"/>
        </w:trPr>
        <w:tc>
          <w:tcPr>
            <w:tcW w:w="532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Allowance for loan losses</w:t>
            </w:r>
          </w:p>
        </w:tc>
        <w:tc>
          <w:tcPr>
            <w:tcW w:w="1180" w:type="dxa"/>
            <w:vAlign w:val="bottom"/>
          </w:tcPr>
          <w:p>
            <w:pPr>
              <w:jc w:val="center"/>
              <w:spacing w:after="0" w:line="124" w:lineRule="exact"/>
              <w:rPr>
                <w:sz w:val="20"/>
                <w:szCs w:val="20"/>
                <w:color w:val="auto"/>
              </w:rPr>
            </w:pPr>
            <w:r>
              <w:rPr>
                <w:rFonts w:ascii="Arial" w:cs="Arial" w:eastAsia="Arial" w:hAnsi="Arial"/>
                <w:sz w:val="11"/>
                <w:szCs w:val="11"/>
                <w:color w:val="auto"/>
              </w:rPr>
              <w:t>(362,495)</w:t>
            </w:r>
          </w:p>
        </w:tc>
        <w:tc>
          <w:tcPr>
            <w:tcW w:w="1200" w:type="dxa"/>
            <w:vAlign w:val="bottom"/>
          </w:tcPr>
          <w:p>
            <w:pPr>
              <w:jc w:val="center"/>
              <w:spacing w:after="0" w:line="124" w:lineRule="exact"/>
              <w:rPr>
                <w:sz w:val="20"/>
                <w:szCs w:val="20"/>
                <w:color w:val="auto"/>
              </w:rPr>
            </w:pPr>
            <w:r>
              <w:rPr>
                <w:rFonts w:ascii="Arial" w:cs="Arial" w:eastAsia="Arial" w:hAnsi="Arial"/>
                <w:sz w:val="11"/>
                <w:szCs w:val="11"/>
                <w:color w:val="auto"/>
                <w:w w:val="97"/>
              </w:rPr>
              <w:t>(352,327)</w:t>
            </w:r>
          </w:p>
        </w:tc>
        <w:tc>
          <w:tcPr>
            <w:tcW w:w="12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(365,686)</w:t>
            </w:r>
          </w:p>
        </w:tc>
        <w:tc>
          <w:tcPr>
            <w:tcW w:w="660" w:type="dxa"/>
            <w:vAlign w:val="bottom"/>
          </w:tcPr>
          <w:p>
            <w:pPr>
              <w:jc w:val="center"/>
              <w:ind w:left="205"/>
              <w:spacing w:after="0" w:line="124" w:lineRule="exact"/>
              <w:rPr>
                <w:sz w:val="20"/>
                <w:szCs w:val="20"/>
                <w:color w:val="auto"/>
              </w:rPr>
            </w:pPr>
            <w:r>
              <w:rPr>
                <w:rFonts w:ascii="Arial" w:cs="Arial" w:eastAsia="Arial" w:hAnsi="Arial"/>
                <w:sz w:val="11"/>
                <w:szCs w:val="11"/>
                <w:color w:val="auto"/>
                <w:w w:val="95"/>
              </w:rPr>
              <w:t>3.8%</w:t>
            </w:r>
          </w:p>
        </w:tc>
        <w:tc>
          <w:tcPr>
            <w:tcW w:w="1260" w:type="dxa"/>
            <w:vAlign w:val="bottom"/>
            <w:tcBorders>
              <w:right w:val="single" w:sz="8" w:color="auto"/>
            </w:tcBorders>
          </w:tcPr>
          <w:p>
            <w:pPr>
              <w:jc w:val="center"/>
              <w:ind w:left="225"/>
              <w:spacing w:after="0" w:line="124" w:lineRule="exact"/>
              <w:rPr>
                <w:sz w:val="20"/>
                <w:szCs w:val="20"/>
                <w:color w:val="auto"/>
              </w:rPr>
            </w:pPr>
            <w:r>
              <w:rPr>
                <w:rFonts w:ascii="Arial" w:cs="Arial" w:eastAsia="Arial" w:hAnsi="Arial"/>
                <w:sz w:val="11"/>
                <w:szCs w:val="11"/>
                <w:color w:val="auto"/>
              </w:rPr>
              <w:t>0.9%</w:t>
            </w:r>
          </w:p>
        </w:tc>
      </w:tr>
      <w:tr>
        <w:trPr>
          <w:trHeight w:val="123"/>
        </w:trPr>
        <w:tc>
          <w:tcPr>
            <w:tcW w:w="5320" w:type="dxa"/>
            <w:vAlign w:val="bottom"/>
            <w:tcBorders>
              <w:left w:val="single" w:sz="8" w:color="auto"/>
              <w:right w:val="single" w:sz="8" w:color="auto"/>
            </w:tcBorders>
          </w:tcPr>
          <w:p>
            <w:pPr>
              <w:ind w:left="40"/>
              <w:spacing w:after="0" w:line="124" w:lineRule="exact"/>
              <w:rPr>
                <w:sz w:val="20"/>
                <w:szCs w:val="20"/>
                <w:color w:val="auto"/>
              </w:rPr>
            </w:pPr>
            <w:r>
              <w:rPr>
                <w:rFonts w:ascii="Arial" w:cs="Arial" w:eastAsia="Arial" w:hAnsi="Arial"/>
                <w:sz w:val="11"/>
                <w:szCs w:val="11"/>
                <w:b w:val="1"/>
                <w:bCs w:val="1"/>
                <w:color w:val="auto"/>
              </w:rPr>
              <w:t>Net loans</w:t>
            </w:r>
          </w:p>
        </w:tc>
        <w:tc>
          <w:tcPr>
            <w:tcW w:w="11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7"/>
              </w:rPr>
              <w:t>8,724,904</w:t>
            </w:r>
          </w:p>
        </w:tc>
        <w:tc>
          <w:tcPr>
            <w:tcW w:w="12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9,386,709</w:t>
            </w:r>
          </w:p>
        </w:tc>
        <w:tc>
          <w:tcPr>
            <w:tcW w:w="12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7"/>
              </w:rPr>
              <w:t>9,862,900</w:t>
            </w:r>
          </w:p>
        </w:tc>
        <w:tc>
          <w:tcPr>
            <w:tcW w:w="660" w:type="dxa"/>
            <w:vAlign w:val="bottom"/>
          </w:tcPr>
          <w:p>
            <w:pPr>
              <w:jc w:val="center"/>
              <w:ind w:left="205"/>
              <w:spacing w:after="0" w:line="124" w:lineRule="exact"/>
              <w:rPr>
                <w:sz w:val="20"/>
                <w:szCs w:val="20"/>
                <w:color w:val="auto"/>
              </w:rPr>
            </w:pPr>
            <w:r>
              <w:rPr>
                <w:rFonts w:ascii="Arial" w:cs="Arial" w:eastAsia="Arial" w:hAnsi="Arial"/>
                <w:sz w:val="11"/>
                <w:szCs w:val="11"/>
                <w:b w:val="1"/>
                <w:bCs w:val="1"/>
                <w:color w:val="auto"/>
                <w:w w:val="95"/>
              </w:rPr>
              <w:t>5.1%</w:t>
            </w:r>
          </w:p>
        </w:tc>
        <w:tc>
          <w:tcPr>
            <w:tcW w:w="1260" w:type="dxa"/>
            <w:vAlign w:val="bottom"/>
            <w:tcBorders>
              <w:right w:val="single" w:sz="8" w:color="auto"/>
            </w:tcBorders>
          </w:tcPr>
          <w:p>
            <w:pPr>
              <w:jc w:val="center"/>
              <w:ind w:left="225"/>
              <w:spacing w:after="0" w:line="124" w:lineRule="exact"/>
              <w:rPr>
                <w:sz w:val="20"/>
                <w:szCs w:val="20"/>
                <w:color w:val="auto"/>
              </w:rPr>
            </w:pPr>
            <w:r>
              <w:rPr>
                <w:rFonts w:ascii="Arial" w:cs="Arial" w:eastAsia="Arial" w:hAnsi="Arial"/>
                <w:sz w:val="11"/>
                <w:szCs w:val="11"/>
                <w:b w:val="1"/>
                <w:bCs w:val="1"/>
                <w:color w:val="auto"/>
                <w:w w:val="96"/>
              </w:rPr>
              <w:t>13.0%</w:t>
            </w:r>
          </w:p>
        </w:tc>
      </w:tr>
      <w:tr>
        <w:trPr>
          <w:trHeight w:val="123"/>
        </w:trPr>
        <w:tc>
          <w:tcPr>
            <w:tcW w:w="5320" w:type="dxa"/>
            <w:vAlign w:val="bottom"/>
            <w:tcBorders>
              <w:left w:val="single" w:sz="8" w:color="auto"/>
              <w:right w:val="single" w:sz="8" w:color="auto"/>
            </w:tcBorders>
          </w:tcPr>
          <w:p>
            <w:pPr>
              <w:ind w:left="40"/>
              <w:spacing w:after="0" w:line="124" w:lineRule="exact"/>
              <w:rPr>
                <w:sz w:val="20"/>
                <w:szCs w:val="20"/>
                <w:color w:val="auto"/>
              </w:rPr>
            </w:pPr>
            <w:r>
              <w:rPr>
                <w:rFonts w:ascii="Arial" w:cs="Arial" w:eastAsia="Arial" w:hAnsi="Arial"/>
                <w:sz w:val="11"/>
                <w:szCs w:val="11"/>
                <w:color w:val="auto"/>
              </w:rPr>
              <w:t>Property, plant and equipment, net</w:t>
            </w:r>
          </w:p>
        </w:tc>
        <w:tc>
          <w:tcPr>
            <w:tcW w:w="1180" w:type="dxa"/>
            <w:vAlign w:val="bottom"/>
          </w:tcPr>
          <w:p>
            <w:pPr>
              <w:jc w:val="center"/>
              <w:spacing w:after="0" w:line="124" w:lineRule="exact"/>
              <w:rPr>
                <w:sz w:val="20"/>
                <w:szCs w:val="20"/>
                <w:color w:val="auto"/>
              </w:rPr>
            </w:pPr>
            <w:r>
              <w:rPr>
                <w:rFonts w:ascii="Arial" w:cs="Arial" w:eastAsia="Arial" w:hAnsi="Arial"/>
                <w:sz w:val="11"/>
                <w:szCs w:val="11"/>
                <w:color w:val="auto"/>
              </w:rPr>
              <w:t>60,510</w:t>
            </w:r>
          </w:p>
        </w:tc>
        <w:tc>
          <w:tcPr>
            <w:tcW w:w="1200" w:type="dxa"/>
            <w:vAlign w:val="bottom"/>
          </w:tcPr>
          <w:p>
            <w:pPr>
              <w:jc w:val="center"/>
              <w:spacing w:after="0" w:line="124" w:lineRule="exact"/>
              <w:rPr>
                <w:sz w:val="20"/>
                <w:szCs w:val="20"/>
                <w:color w:val="auto"/>
              </w:rPr>
            </w:pPr>
            <w:r>
              <w:rPr>
                <w:rFonts w:ascii="Arial" w:cs="Arial" w:eastAsia="Arial" w:hAnsi="Arial"/>
                <w:sz w:val="11"/>
                <w:szCs w:val="11"/>
                <w:color w:val="auto"/>
              </w:rPr>
              <w:t>65,712</w:t>
            </w:r>
          </w:p>
        </w:tc>
        <w:tc>
          <w:tcPr>
            <w:tcW w:w="12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67,289</w:t>
            </w:r>
          </w:p>
        </w:tc>
        <w:tc>
          <w:tcPr>
            <w:tcW w:w="660" w:type="dxa"/>
            <w:vAlign w:val="bottom"/>
          </w:tcPr>
          <w:p>
            <w:pPr>
              <w:jc w:val="center"/>
              <w:ind w:left="205"/>
              <w:spacing w:after="0" w:line="124" w:lineRule="exact"/>
              <w:rPr>
                <w:sz w:val="20"/>
                <w:szCs w:val="20"/>
                <w:color w:val="auto"/>
              </w:rPr>
            </w:pPr>
            <w:r>
              <w:rPr>
                <w:rFonts w:ascii="Arial" w:cs="Arial" w:eastAsia="Arial" w:hAnsi="Arial"/>
                <w:sz w:val="11"/>
                <w:szCs w:val="11"/>
                <w:color w:val="auto"/>
                <w:w w:val="95"/>
              </w:rPr>
              <w:t>2.4%</w:t>
            </w:r>
          </w:p>
        </w:tc>
        <w:tc>
          <w:tcPr>
            <w:tcW w:w="1260" w:type="dxa"/>
            <w:vAlign w:val="bottom"/>
            <w:tcBorders>
              <w:right w:val="single" w:sz="8" w:color="auto"/>
            </w:tcBorders>
          </w:tcPr>
          <w:p>
            <w:pPr>
              <w:jc w:val="center"/>
              <w:ind w:left="225"/>
              <w:spacing w:after="0" w:line="124" w:lineRule="exact"/>
              <w:rPr>
                <w:sz w:val="20"/>
                <w:szCs w:val="20"/>
                <w:color w:val="auto"/>
              </w:rPr>
            </w:pPr>
            <w:r>
              <w:rPr>
                <w:rFonts w:ascii="Arial" w:cs="Arial" w:eastAsia="Arial" w:hAnsi="Arial"/>
                <w:sz w:val="11"/>
                <w:szCs w:val="11"/>
                <w:color w:val="auto"/>
                <w:w w:val="96"/>
              </w:rPr>
              <w:t>11.2%</w:t>
            </w:r>
          </w:p>
        </w:tc>
      </w:tr>
      <w:tr>
        <w:trPr>
          <w:trHeight w:val="123"/>
        </w:trPr>
        <w:tc>
          <w:tcPr>
            <w:tcW w:w="5320" w:type="dxa"/>
            <w:vAlign w:val="bottom"/>
            <w:tcBorders>
              <w:left w:val="single" w:sz="8" w:color="auto"/>
              <w:right w:val="single" w:sz="8" w:color="auto"/>
            </w:tcBorders>
          </w:tcPr>
          <w:p>
            <w:pPr>
              <w:ind w:left="40"/>
              <w:spacing w:after="0" w:line="124" w:lineRule="exact"/>
              <w:rPr>
                <w:sz w:val="20"/>
                <w:szCs w:val="20"/>
                <w:color w:val="auto"/>
              </w:rPr>
            </w:pPr>
            <w:r>
              <w:rPr>
                <w:rFonts w:ascii="Arial" w:cs="Arial" w:eastAsia="Arial" w:hAnsi="Arial"/>
                <w:sz w:val="11"/>
                <w:szCs w:val="11"/>
                <w:color w:val="auto"/>
              </w:rPr>
              <w:t>Other assets</w:t>
            </w:r>
          </w:p>
        </w:tc>
        <w:tc>
          <w:tcPr>
            <w:tcW w:w="1180" w:type="dxa"/>
            <w:vAlign w:val="bottom"/>
          </w:tcPr>
          <w:p>
            <w:pPr>
              <w:jc w:val="center"/>
              <w:spacing w:after="0" w:line="124" w:lineRule="exact"/>
              <w:rPr>
                <w:sz w:val="20"/>
                <w:szCs w:val="20"/>
                <w:color w:val="auto"/>
              </w:rPr>
            </w:pPr>
            <w:r>
              <w:rPr>
                <w:rFonts w:ascii="Arial" w:cs="Arial" w:eastAsia="Arial" w:hAnsi="Arial"/>
                <w:sz w:val="11"/>
                <w:szCs w:val="11"/>
                <w:color w:val="auto"/>
              </w:rPr>
              <w:t>262,197</w:t>
            </w:r>
          </w:p>
        </w:tc>
        <w:tc>
          <w:tcPr>
            <w:tcW w:w="1200" w:type="dxa"/>
            <w:vAlign w:val="bottom"/>
          </w:tcPr>
          <w:p>
            <w:pPr>
              <w:jc w:val="center"/>
              <w:spacing w:after="0" w:line="124" w:lineRule="exact"/>
              <w:rPr>
                <w:sz w:val="20"/>
                <w:szCs w:val="20"/>
                <w:color w:val="auto"/>
              </w:rPr>
            </w:pPr>
            <w:r>
              <w:rPr>
                <w:rFonts w:ascii="Arial" w:cs="Arial" w:eastAsia="Arial" w:hAnsi="Arial"/>
                <w:sz w:val="11"/>
                <w:szCs w:val="11"/>
                <w:color w:val="auto"/>
                <w:w w:val="95"/>
              </w:rPr>
              <w:t>339,170</w:t>
            </w:r>
          </w:p>
        </w:tc>
        <w:tc>
          <w:tcPr>
            <w:tcW w:w="12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370,700</w:t>
            </w:r>
          </w:p>
        </w:tc>
        <w:tc>
          <w:tcPr>
            <w:tcW w:w="660" w:type="dxa"/>
            <w:vAlign w:val="bottom"/>
          </w:tcPr>
          <w:p>
            <w:pPr>
              <w:jc w:val="center"/>
              <w:ind w:left="205"/>
              <w:spacing w:after="0" w:line="124" w:lineRule="exact"/>
              <w:rPr>
                <w:sz w:val="20"/>
                <w:szCs w:val="20"/>
                <w:color w:val="auto"/>
              </w:rPr>
            </w:pPr>
            <w:r>
              <w:rPr>
                <w:rFonts w:ascii="Arial" w:cs="Arial" w:eastAsia="Arial" w:hAnsi="Arial"/>
                <w:sz w:val="11"/>
                <w:szCs w:val="11"/>
                <w:color w:val="auto"/>
                <w:w w:val="95"/>
              </w:rPr>
              <w:t>9.3%</w:t>
            </w:r>
          </w:p>
        </w:tc>
        <w:tc>
          <w:tcPr>
            <w:tcW w:w="1260" w:type="dxa"/>
            <w:vAlign w:val="bottom"/>
            <w:tcBorders>
              <w:right w:val="single" w:sz="8" w:color="auto"/>
            </w:tcBorders>
          </w:tcPr>
          <w:p>
            <w:pPr>
              <w:jc w:val="center"/>
              <w:ind w:left="225"/>
              <w:spacing w:after="0" w:line="124" w:lineRule="exact"/>
              <w:rPr>
                <w:sz w:val="20"/>
                <w:szCs w:val="20"/>
                <w:color w:val="auto"/>
              </w:rPr>
            </w:pPr>
            <w:r>
              <w:rPr>
                <w:rFonts w:ascii="Arial" w:cs="Arial" w:eastAsia="Arial" w:hAnsi="Arial"/>
                <w:sz w:val="11"/>
                <w:szCs w:val="11"/>
                <w:color w:val="auto"/>
                <w:w w:val="96"/>
              </w:rPr>
              <w:t>41.4%</w:t>
            </w:r>
          </w:p>
        </w:tc>
      </w:tr>
      <w:tr>
        <w:trPr>
          <w:trHeight w:val="149"/>
        </w:trPr>
        <w:tc>
          <w:tcPr>
            <w:tcW w:w="5320" w:type="dxa"/>
            <w:vAlign w:val="bottom"/>
            <w:tcBorders>
              <w:left w:val="single" w:sz="8" w:color="auto"/>
              <w:right w:val="single" w:sz="8" w:color="auto"/>
            </w:tcBorders>
          </w:tcPr>
          <w:p>
            <w:pPr>
              <w:ind w:left="2340"/>
              <w:spacing w:after="0"/>
              <w:rPr>
                <w:sz w:val="20"/>
                <w:szCs w:val="20"/>
                <w:color w:val="auto"/>
              </w:rPr>
            </w:pPr>
            <w:r>
              <w:rPr>
                <w:rFonts w:ascii="Arial" w:cs="Arial" w:eastAsia="Arial" w:hAnsi="Arial"/>
                <w:sz w:val="11"/>
                <w:szCs w:val="11"/>
                <w:b w:val="1"/>
                <w:bCs w:val="1"/>
                <w:color w:val="auto"/>
              </w:rPr>
              <w:t>Total assets</w:t>
            </w: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rPr>
              <w:t>12,727,516</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98"/>
              </w:rPr>
              <w:t>13,744,915</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14,181,808</w:t>
            </w:r>
          </w:p>
        </w:tc>
        <w:tc>
          <w:tcPr>
            <w:tcW w:w="660" w:type="dxa"/>
            <w:vAlign w:val="bottom"/>
          </w:tcPr>
          <w:p>
            <w:pPr>
              <w:jc w:val="center"/>
              <w:ind w:left="205"/>
              <w:spacing w:after="0"/>
              <w:rPr>
                <w:sz w:val="20"/>
                <w:szCs w:val="20"/>
                <w:color w:val="auto"/>
              </w:rPr>
            </w:pPr>
            <w:r>
              <w:rPr>
                <w:rFonts w:ascii="Arial" w:cs="Arial" w:eastAsia="Arial" w:hAnsi="Arial"/>
                <w:sz w:val="11"/>
                <w:szCs w:val="11"/>
                <w:b w:val="1"/>
                <w:bCs w:val="1"/>
                <w:color w:val="auto"/>
                <w:w w:val="95"/>
              </w:rPr>
              <w:t>3.2%</w:t>
            </w:r>
          </w:p>
        </w:tc>
        <w:tc>
          <w:tcPr>
            <w:tcW w:w="1260" w:type="dxa"/>
            <w:vAlign w:val="bottom"/>
            <w:tcBorders>
              <w:right w:val="single" w:sz="8" w:color="auto"/>
            </w:tcBorders>
          </w:tcPr>
          <w:p>
            <w:pPr>
              <w:jc w:val="center"/>
              <w:ind w:left="225"/>
              <w:spacing w:after="0"/>
              <w:rPr>
                <w:sz w:val="20"/>
                <w:szCs w:val="20"/>
                <w:color w:val="auto"/>
              </w:rPr>
            </w:pPr>
            <w:r>
              <w:rPr>
                <w:rFonts w:ascii="Arial" w:cs="Arial" w:eastAsia="Arial" w:hAnsi="Arial"/>
                <w:sz w:val="11"/>
                <w:szCs w:val="11"/>
                <w:b w:val="1"/>
                <w:bCs w:val="1"/>
                <w:color w:val="auto"/>
                <w:w w:val="96"/>
              </w:rPr>
              <w:t>11.4%</w:t>
            </w:r>
          </w:p>
        </w:tc>
      </w:tr>
      <w:tr>
        <w:trPr>
          <w:trHeight w:val="221"/>
        </w:trPr>
        <w:tc>
          <w:tcPr>
            <w:tcW w:w="5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LIABILITIES AND NET SHAREHOLDERS’ EQUITY</w:t>
            </w: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Borders>
              <w:right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123"/>
        </w:trPr>
        <w:tc>
          <w:tcPr>
            <w:tcW w:w="5320" w:type="dxa"/>
            <w:vAlign w:val="bottom"/>
            <w:tcBorders>
              <w:left w:val="single" w:sz="8" w:color="auto"/>
              <w:right w:val="single" w:sz="8" w:color="auto"/>
            </w:tcBorders>
          </w:tcPr>
          <w:p>
            <w:pPr>
              <w:ind w:left="40"/>
              <w:spacing w:after="0" w:line="124" w:lineRule="exact"/>
              <w:rPr>
                <w:sz w:val="20"/>
                <w:szCs w:val="20"/>
                <w:color w:val="auto"/>
              </w:rPr>
            </w:pPr>
            <w:r>
              <w:rPr>
                <w:rFonts w:ascii="Arial" w:cs="Arial" w:eastAsia="Arial" w:hAnsi="Arial"/>
                <w:sz w:val="11"/>
                <w:szCs w:val="11"/>
                <w:color w:val="auto"/>
              </w:rPr>
              <w:t>Deposits and obligations</w:t>
            </w:r>
          </w:p>
        </w:tc>
        <w:tc>
          <w:tcPr>
            <w:tcW w:w="1180" w:type="dxa"/>
            <w:vAlign w:val="bottom"/>
          </w:tcPr>
          <w:p>
            <w:pPr>
              <w:jc w:val="center"/>
              <w:spacing w:after="0" w:line="124" w:lineRule="exact"/>
              <w:rPr>
                <w:sz w:val="20"/>
                <w:szCs w:val="20"/>
                <w:color w:val="auto"/>
              </w:rPr>
            </w:pPr>
            <w:r>
              <w:rPr>
                <w:rFonts w:ascii="Arial" w:cs="Arial" w:eastAsia="Arial" w:hAnsi="Arial"/>
                <w:sz w:val="11"/>
                <w:szCs w:val="11"/>
                <w:color w:val="auto"/>
              </w:rPr>
              <w:t>10,637,386</w:t>
            </w:r>
          </w:p>
        </w:tc>
        <w:tc>
          <w:tcPr>
            <w:tcW w:w="1200" w:type="dxa"/>
            <w:vAlign w:val="bottom"/>
          </w:tcPr>
          <w:p>
            <w:pPr>
              <w:jc w:val="center"/>
              <w:spacing w:after="0" w:line="124" w:lineRule="exact"/>
              <w:rPr>
                <w:sz w:val="20"/>
                <w:szCs w:val="20"/>
                <w:color w:val="auto"/>
              </w:rPr>
            </w:pPr>
            <w:r>
              <w:rPr>
                <w:rFonts w:ascii="Arial" w:cs="Arial" w:eastAsia="Arial" w:hAnsi="Arial"/>
                <w:sz w:val="11"/>
                <w:szCs w:val="11"/>
                <w:color w:val="auto"/>
                <w:w w:val="98"/>
              </w:rPr>
              <w:t>11,727,803</w:t>
            </w:r>
          </w:p>
        </w:tc>
        <w:tc>
          <w:tcPr>
            <w:tcW w:w="12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8"/>
              </w:rPr>
              <w:t>12,327,706</w:t>
            </w:r>
          </w:p>
        </w:tc>
        <w:tc>
          <w:tcPr>
            <w:tcW w:w="660" w:type="dxa"/>
            <w:vAlign w:val="bottom"/>
          </w:tcPr>
          <w:p>
            <w:pPr>
              <w:jc w:val="center"/>
              <w:ind w:left="205"/>
              <w:spacing w:after="0" w:line="124" w:lineRule="exact"/>
              <w:rPr>
                <w:sz w:val="20"/>
                <w:szCs w:val="20"/>
                <w:color w:val="auto"/>
              </w:rPr>
            </w:pPr>
            <w:r>
              <w:rPr>
                <w:rFonts w:ascii="Arial" w:cs="Arial" w:eastAsia="Arial" w:hAnsi="Arial"/>
                <w:sz w:val="11"/>
                <w:szCs w:val="11"/>
                <w:color w:val="auto"/>
                <w:w w:val="95"/>
              </w:rPr>
              <w:t>5.1%</w:t>
            </w:r>
          </w:p>
        </w:tc>
        <w:tc>
          <w:tcPr>
            <w:tcW w:w="1260" w:type="dxa"/>
            <w:vAlign w:val="bottom"/>
            <w:tcBorders>
              <w:right w:val="single" w:sz="8" w:color="auto"/>
            </w:tcBorders>
          </w:tcPr>
          <w:p>
            <w:pPr>
              <w:jc w:val="center"/>
              <w:ind w:left="225"/>
              <w:spacing w:after="0" w:line="124" w:lineRule="exact"/>
              <w:rPr>
                <w:sz w:val="20"/>
                <w:szCs w:val="20"/>
                <w:color w:val="auto"/>
              </w:rPr>
            </w:pPr>
            <w:r>
              <w:rPr>
                <w:rFonts w:ascii="Arial" w:cs="Arial" w:eastAsia="Arial" w:hAnsi="Arial"/>
                <w:sz w:val="11"/>
                <w:szCs w:val="11"/>
                <w:color w:val="auto"/>
                <w:w w:val="96"/>
              </w:rPr>
              <w:t>15.9%</w:t>
            </w:r>
          </w:p>
        </w:tc>
      </w:tr>
      <w:tr>
        <w:trPr>
          <w:trHeight w:val="123"/>
        </w:trPr>
        <w:tc>
          <w:tcPr>
            <w:tcW w:w="5320" w:type="dxa"/>
            <w:vAlign w:val="bottom"/>
            <w:tcBorders>
              <w:left w:val="single" w:sz="8" w:color="auto"/>
              <w:right w:val="single" w:sz="8" w:color="auto"/>
            </w:tcBorders>
          </w:tcPr>
          <w:p>
            <w:pPr>
              <w:ind w:left="40"/>
              <w:spacing w:after="0" w:line="124" w:lineRule="exact"/>
              <w:rPr>
                <w:sz w:val="20"/>
                <w:szCs w:val="20"/>
                <w:color w:val="auto"/>
              </w:rPr>
            </w:pPr>
            <w:r>
              <w:rPr>
                <w:rFonts w:ascii="Arial" w:cs="Arial" w:eastAsia="Arial" w:hAnsi="Arial"/>
                <w:sz w:val="11"/>
                <w:szCs w:val="11"/>
                <w:color w:val="auto"/>
              </w:rPr>
              <w:t>Due to banks and correspondents</w:t>
            </w:r>
          </w:p>
        </w:tc>
        <w:tc>
          <w:tcPr>
            <w:tcW w:w="1180" w:type="dxa"/>
            <w:vAlign w:val="bottom"/>
          </w:tcPr>
          <w:p>
            <w:pPr>
              <w:jc w:val="center"/>
              <w:spacing w:after="0" w:line="124" w:lineRule="exact"/>
              <w:rPr>
                <w:sz w:val="20"/>
                <w:szCs w:val="20"/>
                <w:color w:val="auto"/>
              </w:rPr>
            </w:pPr>
            <w:r>
              <w:rPr>
                <w:rFonts w:ascii="Arial" w:cs="Arial" w:eastAsia="Arial" w:hAnsi="Arial"/>
                <w:sz w:val="11"/>
                <w:szCs w:val="11"/>
                <w:color w:val="auto"/>
              </w:rPr>
              <w:t>81,339</w:t>
            </w:r>
          </w:p>
        </w:tc>
        <w:tc>
          <w:tcPr>
            <w:tcW w:w="1200" w:type="dxa"/>
            <w:vAlign w:val="bottom"/>
          </w:tcPr>
          <w:p>
            <w:pPr>
              <w:jc w:val="center"/>
              <w:spacing w:after="0" w:line="124" w:lineRule="exact"/>
              <w:rPr>
                <w:sz w:val="20"/>
                <w:szCs w:val="20"/>
                <w:color w:val="auto"/>
              </w:rPr>
            </w:pPr>
            <w:r>
              <w:rPr>
                <w:rFonts w:ascii="Arial" w:cs="Arial" w:eastAsia="Arial" w:hAnsi="Arial"/>
                <w:sz w:val="11"/>
                <w:szCs w:val="11"/>
                <w:color w:val="auto"/>
              </w:rPr>
              <w:t>76,650</w:t>
            </w:r>
          </w:p>
        </w:tc>
        <w:tc>
          <w:tcPr>
            <w:tcW w:w="12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0</w:t>
            </w:r>
          </w:p>
        </w:tc>
        <w:tc>
          <w:tcPr>
            <w:tcW w:w="660" w:type="dxa"/>
            <w:vAlign w:val="bottom"/>
          </w:tcPr>
          <w:p>
            <w:pPr>
              <w:jc w:val="center"/>
              <w:ind w:left="225"/>
              <w:spacing w:after="0" w:line="124" w:lineRule="exact"/>
              <w:rPr>
                <w:sz w:val="20"/>
                <w:szCs w:val="20"/>
                <w:color w:val="auto"/>
              </w:rPr>
            </w:pPr>
            <w:r>
              <w:rPr>
                <w:rFonts w:ascii="Arial" w:cs="Arial" w:eastAsia="Arial" w:hAnsi="Arial"/>
                <w:sz w:val="11"/>
                <w:szCs w:val="11"/>
                <w:color w:val="auto"/>
                <w:w w:val="97"/>
              </w:rPr>
              <w:t>n.a.</w:t>
            </w:r>
          </w:p>
        </w:tc>
        <w:tc>
          <w:tcPr>
            <w:tcW w:w="1260" w:type="dxa"/>
            <w:vAlign w:val="bottom"/>
            <w:tcBorders>
              <w:right w:val="single" w:sz="8" w:color="auto"/>
            </w:tcBorders>
          </w:tcPr>
          <w:p>
            <w:pPr>
              <w:ind w:left="680"/>
              <w:spacing w:after="0" w:line="124" w:lineRule="exact"/>
              <w:rPr>
                <w:sz w:val="20"/>
                <w:szCs w:val="20"/>
                <w:color w:val="auto"/>
              </w:rPr>
            </w:pPr>
            <w:r>
              <w:rPr>
                <w:rFonts w:ascii="Arial" w:cs="Arial" w:eastAsia="Arial" w:hAnsi="Arial"/>
                <w:sz w:val="11"/>
                <w:szCs w:val="11"/>
                <w:color w:val="auto"/>
              </w:rPr>
              <w:t>n.a.</w:t>
            </w:r>
          </w:p>
        </w:tc>
      </w:tr>
      <w:tr>
        <w:trPr>
          <w:trHeight w:val="123"/>
        </w:trPr>
        <w:tc>
          <w:tcPr>
            <w:tcW w:w="5320" w:type="dxa"/>
            <w:vAlign w:val="bottom"/>
            <w:tcBorders>
              <w:left w:val="single" w:sz="8" w:color="auto"/>
              <w:right w:val="single" w:sz="8" w:color="auto"/>
            </w:tcBorders>
          </w:tcPr>
          <w:p>
            <w:pPr>
              <w:ind w:left="40"/>
              <w:spacing w:after="0" w:line="124" w:lineRule="exact"/>
              <w:rPr>
                <w:sz w:val="20"/>
                <w:szCs w:val="20"/>
                <w:color w:val="auto"/>
              </w:rPr>
            </w:pPr>
            <w:r>
              <w:rPr>
                <w:rFonts w:ascii="Arial" w:cs="Arial" w:eastAsia="Arial" w:hAnsi="Arial"/>
                <w:sz w:val="11"/>
                <w:szCs w:val="11"/>
                <w:color w:val="auto"/>
              </w:rPr>
              <w:t>Bonds and subordinated debt</w:t>
            </w:r>
          </w:p>
        </w:tc>
        <w:tc>
          <w:tcPr>
            <w:tcW w:w="1180" w:type="dxa"/>
            <w:vAlign w:val="bottom"/>
          </w:tcPr>
          <w:p>
            <w:pPr>
              <w:jc w:val="center"/>
              <w:spacing w:after="0" w:line="124" w:lineRule="exact"/>
              <w:rPr>
                <w:sz w:val="20"/>
                <w:szCs w:val="20"/>
                <w:color w:val="auto"/>
              </w:rPr>
            </w:pPr>
            <w:r>
              <w:rPr>
                <w:rFonts w:ascii="Arial" w:cs="Arial" w:eastAsia="Arial" w:hAnsi="Arial"/>
                <w:sz w:val="11"/>
                <w:szCs w:val="11"/>
                <w:color w:val="auto"/>
              </w:rPr>
              <w:t>154,264</w:t>
            </w:r>
          </w:p>
        </w:tc>
        <w:tc>
          <w:tcPr>
            <w:tcW w:w="1200" w:type="dxa"/>
            <w:vAlign w:val="bottom"/>
          </w:tcPr>
          <w:p>
            <w:pPr>
              <w:jc w:val="center"/>
              <w:spacing w:after="0" w:line="124" w:lineRule="exact"/>
              <w:rPr>
                <w:sz w:val="20"/>
                <w:szCs w:val="20"/>
                <w:color w:val="auto"/>
              </w:rPr>
            </w:pPr>
            <w:r>
              <w:rPr>
                <w:rFonts w:ascii="Arial" w:cs="Arial" w:eastAsia="Arial" w:hAnsi="Arial"/>
                <w:sz w:val="11"/>
                <w:szCs w:val="11"/>
                <w:color w:val="auto"/>
                <w:w w:val="95"/>
              </w:rPr>
              <w:t>161,970</w:t>
            </w:r>
          </w:p>
        </w:tc>
        <w:tc>
          <w:tcPr>
            <w:tcW w:w="12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167,652</w:t>
            </w:r>
          </w:p>
        </w:tc>
        <w:tc>
          <w:tcPr>
            <w:tcW w:w="660" w:type="dxa"/>
            <w:vAlign w:val="bottom"/>
          </w:tcPr>
          <w:p>
            <w:pPr>
              <w:jc w:val="center"/>
              <w:ind w:left="205"/>
              <w:spacing w:after="0" w:line="124" w:lineRule="exact"/>
              <w:rPr>
                <w:sz w:val="20"/>
                <w:szCs w:val="20"/>
                <w:color w:val="auto"/>
              </w:rPr>
            </w:pPr>
            <w:r>
              <w:rPr>
                <w:rFonts w:ascii="Arial" w:cs="Arial" w:eastAsia="Arial" w:hAnsi="Arial"/>
                <w:sz w:val="11"/>
                <w:szCs w:val="11"/>
                <w:color w:val="auto"/>
                <w:w w:val="95"/>
              </w:rPr>
              <w:t>3.5%</w:t>
            </w:r>
          </w:p>
        </w:tc>
        <w:tc>
          <w:tcPr>
            <w:tcW w:w="1260" w:type="dxa"/>
            <w:vAlign w:val="bottom"/>
            <w:tcBorders>
              <w:right w:val="single" w:sz="8" w:color="auto"/>
            </w:tcBorders>
          </w:tcPr>
          <w:p>
            <w:pPr>
              <w:jc w:val="center"/>
              <w:ind w:left="225"/>
              <w:spacing w:after="0" w:line="124" w:lineRule="exact"/>
              <w:rPr>
                <w:sz w:val="20"/>
                <w:szCs w:val="20"/>
                <w:color w:val="auto"/>
              </w:rPr>
            </w:pPr>
            <w:r>
              <w:rPr>
                <w:rFonts w:ascii="Arial" w:cs="Arial" w:eastAsia="Arial" w:hAnsi="Arial"/>
                <w:sz w:val="11"/>
                <w:szCs w:val="11"/>
                <w:color w:val="auto"/>
              </w:rPr>
              <w:t>8.7%</w:t>
            </w:r>
          </w:p>
        </w:tc>
      </w:tr>
      <w:tr>
        <w:trPr>
          <w:trHeight w:val="123"/>
        </w:trPr>
        <w:tc>
          <w:tcPr>
            <w:tcW w:w="5320" w:type="dxa"/>
            <w:vAlign w:val="bottom"/>
            <w:tcBorders>
              <w:left w:val="single" w:sz="8" w:color="auto"/>
              <w:right w:val="single" w:sz="8" w:color="auto"/>
            </w:tcBorders>
          </w:tcPr>
          <w:p>
            <w:pPr>
              <w:ind w:left="40"/>
              <w:spacing w:after="0" w:line="124" w:lineRule="exact"/>
              <w:rPr>
                <w:sz w:val="20"/>
                <w:szCs w:val="20"/>
                <w:color w:val="auto"/>
              </w:rPr>
            </w:pPr>
            <w:r>
              <w:rPr>
                <w:rFonts w:ascii="Arial" w:cs="Arial" w:eastAsia="Arial" w:hAnsi="Arial"/>
                <w:sz w:val="11"/>
                <w:szCs w:val="11"/>
                <w:color w:val="auto"/>
              </w:rPr>
              <w:t>Other liabilities</w:t>
            </w:r>
          </w:p>
        </w:tc>
        <w:tc>
          <w:tcPr>
            <w:tcW w:w="1180" w:type="dxa"/>
            <w:vAlign w:val="bottom"/>
          </w:tcPr>
          <w:p>
            <w:pPr>
              <w:jc w:val="center"/>
              <w:spacing w:after="0" w:line="124" w:lineRule="exact"/>
              <w:rPr>
                <w:sz w:val="20"/>
                <w:szCs w:val="20"/>
                <w:color w:val="auto"/>
              </w:rPr>
            </w:pPr>
            <w:r>
              <w:rPr>
                <w:rFonts w:ascii="Arial" w:cs="Arial" w:eastAsia="Arial" w:hAnsi="Arial"/>
                <w:sz w:val="11"/>
                <w:szCs w:val="11"/>
                <w:color w:val="auto"/>
              </w:rPr>
              <w:t>999,370</w:t>
            </w:r>
          </w:p>
        </w:tc>
        <w:tc>
          <w:tcPr>
            <w:tcW w:w="1200" w:type="dxa"/>
            <w:vAlign w:val="bottom"/>
          </w:tcPr>
          <w:p>
            <w:pPr>
              <w:jc w:val="center"/>
              <w:spacing w:after="0" w:line="124" w:lineRule="exact"/>
              <w:rPr>
                <w:sz w:val="20"/>
                <w:szCs w:val="20"/>
                <w:color w:val="auto"/>
              </w:rPr>
            </w:pPr>
            <w:r>
              <w:rPr>
                <w:rFonts w:ascii="Arial" w:cs="Arial" w:eastAsia="Arial" w:hAnsi="Arial"/>
                <w:sz w:val="11"/>
                <w:szCs w:val="11"/>
                <w:color w:val="auto"/>
                <w:w w:val="95"/>
              </w:rPr>
              <w:t>879,269</w:t>
            </w:r>
          </w:p>
        </w:tc>
        <w:tc>
          <w:tcPr>
            <w:tcW w:w="12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703,718</w:t>
            </w:r>
          </w:p>
        </w:tc>
        <w:tc>
          <w:tcPr>
            <w:tcW w:w="660" w:type="dxa"/>
            <w:vAlign w:val="bottom"/>
          </w:tcPr>
          <w:p>
            <w:pPr>
              <w:jc w:val="center"/>
              <w:ind w:left="225"/>
              <w:spacing w:after="0" w:line="124" w:lineRule="exact"/>
              <w:rPr>
                <w:sz w:val="20"/>
                <w:szCs w:val="20"/>
                <w:color w:val="auto"/>
              </w:rPr>
            </w:pPr>
            <w:r>
              <w:rPr>
                <w:rFonts w:ascii="Arial" w:cs="Arial" w:eastAsia="Arial" w:hAnsi="Arial"/>
                <w:sz w:val="11"/>
                <w:szCs w:val="11"/>
                <w:color w:val="auto"/>
                <w:w w:val="97"/>
              </w:rPr>
              <w:t>-20.0%</w:t>
            </w:r>
          </w:p>
        </w:tc>
        <w:tc>
          <w:tcPr>
            <w:tcW w:w="1260" w:type="dxa"/>
            <w:vAlign w:val="bottom"/>
            <w:tcBorders>
              <w:right w:val="single" w:sz="8" w:color="auto"/>
            </w:tcBorders>
          </w:tcPr>
          <w:p>
            <w:pPr>
              <w:jc w:val="center"/>
              <w:ind w:left="225"/>
              <w:spacing w:after="0" w:line="124" w:lineRule="exact"/>
              <w:rPr>
                <w:sz w:val="20"/>
                <w:szCs w:val="20"/>
                <w:color w:val="auto"/>
              </w:rPr>
            </w:pPr>
            <w:r>
              <w:rPr>
                <w:rFonts w:ascii="Arial" w:cs="Arial" w:eastAsia="Arial" w:hAnsi="Arial"/>
                <w:sz w:val="11"/>
                <w:szCs w:val="11"/>
                <w:color w:val="auto"/>
                <w:w w:val="97"/>
              </w:rPr>
              <w:t>-29.6%</w:t>
            </w:r>
          </w:p>
        </w:tc>
      </w:tr>
      <w:tr>
        <w:trPr>
          <w:trHeight w:val="149"/>
        </w:trPr>
        <w:tc>
          <w:tcPr>
            <w:tcW w:w="5320" w:type="dxa"/>
            <w:vAlign w:val="bottom"/>
            <w:tcBorders>
              <w:left w:val="single" w:sz="8" w:color="auto"/>
              <w:right w:val="single" w:sz="8" w:color="auto"/>
            </w:tcBorders>
          </w:tcPr>
          <w:p>
            <w:pPr>
              <w:ind w:left="2280"/>
              <w:spacing w:after="0"/>
              <w:rPr>
                <w:sz w:val="20"/>
                <w:szCs w:val="20"/>
                <w:color w:val="auto"/>
              </w:rPr>
            </w:pPr>
            <w:r>
              <w:rPr>
                <w:rFonts w:ascii="Arial" w:cs="Arial" w:eastAsia="Arial" w:hAnsi="Arial"/>
                <w:sz w:val="11"/>
                <w:szCs w:val="11"/>
                <w:b w:val="1"/>
                <w:bCs w:val="1"/>
                <w:color w:val="auto"/>
              </w:rPr>
              <w:t>Total liabilities</w:t>
            </w: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w w:val="98"/>
              </w:rPr>
              <w:t>11,872,360</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98"/>
              </w:rPr>
              <w:t>12,845,693</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13,199,076</w:t>
            </w:r>
          </w:p>
        </w:tc>
        <w:tc>
          <w:tcPr>
            <w:tcW w:w="660" w:type="dxa"/>
            <w:vAlign w:val="bottom"/>
          </w:tcPr>
          <w:p>
            <w:pPr>
              <w:jc w:val="center"/>
              <w:ind w:left="205"/>
              <w:spacing w:after="0"/>
              <w:rPr>
                <w:sz w:val="20"/>
                <w:szCs w:val="20"/>
                <w:color w:val="auto"/>
              </w:rPr>
            </w:pPr>
            <w:r>
              <w:rPr>
                <w:rFonts w:ascii="Arial" w:cs="Arial" w:eastAsia="Arial" w:hAnsi="Arial"/>
                <w:sz w:val="11"/>
                <w:szCs w:val="11"/>
                <w:b w:val="1"/>
                <w:bCs w:val="1"/>
                <w:color w:val="auto"/>
                <w:w w:val="95"/>
              </w:rPr>
              <w:t>2.8%</w:t>
            </w:r>
          </w:p>
        </w:tc>
        <w:tc>
          <w:tcPr>
            <w:tcW w:w="1260" w:type="dxa"/>
            <w:vAlign w:val="bottom"/>
            <w:tcBorders>
              <w:right w:val="single" w:sz="8" w:color="auto"/>
            </w:tcBorders>
          </w:tcPr>
          <w:p>
            <w:pPr>
              <w:jc w:val="center"/>
              <w:ind w:left="225"/>
              <w:spacing w:after="0"/>
              <w:rPr>
                <w:sz w:val="20"/>
                <w:szCs w:val="20"/>
                <w:color w:val="auto"/>
              </w:rPr>
            </w:pPr>
            <w:r>
              <w:rPr>
                <w:rFonts w:ascii="Arial" w:cs="Arial" w:eastAsia="Arial" w:hAnsi="Arial"/>
                <w:sz w:val="11"/>
                <w:szCs w:val="11"/>
                <w:b w:val="1"/>
                <w:bCs w:val="1"/>
                <w:color w:val="auto"/>
                <w:w w:val="96"/>
              </w:rPr>
              <w:t>11.2%</w:t>
            </w:r>
          </w:p>
        </w:tc>
      </w:tr>
      <w:tr>
        <w:trPr>
          <w:trHeight w:val="247"/>
        </w:trPr>
        <w:tc>
          <w:tcPr>
            <w:tcW w:w="53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Net equity</w:t>
            </w:r>
          </w:p>
        </w:tc>
        <w:tc>
          <w:tcPr>
            <w:tcW w:w="1180" w:type="dxa"/>
            <w:vAlign w:val="bottom"/>
          </w:tcPr>
          <w:p>
            <w:pPr>
              <w:jc w:val="center"/>
              <w:spacing w:after="0"/>
              <w:rPr>
                <w:sz w:val="20"/>
                <w:szCs w:val="20"/>
                <w:color w:val="auto"/>
              </w:rPr>
            </w:pPr>
            <w:r>
              <w:rPr>
                <w:rFonts w:ascii="Arial" w:cs="Arial" w:eastAsia="Arial" w:hAnsi="Arial"/>
                <w:sz w:val="11"/>
                <w:szCs w:val="11"/>
                <w:b w:val="1"/>
                <w:bCs w:val="1"/>
                <w:color w:val="auto"/>
              </w:rPr>
              <w:t>855,157</w:t>
            </w: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95"/>
              </w:rPr>
              <w:t>899,222</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982,732</w:t>
            </w:r>
          </w:p>
        </w:tc>
        <w:tc>
          <w:tcPr>
            <w:tcW w:w="660" w:type="dxa"/>
            <w:vAlign w:val="bottom"/>
          </w:tcPr>
          <w:p>
            <w:pPr>
              <w:jc w:val="center"/>
              <w:ind w:left="205"/>
              <w:spacing w:after="0"/>
              <w:rPr>
                <w:sz w:val="20"/>
                <w:szCs w:val="20"/>
                <w:color w:val="auto"/>
              </w:rPr>
            </w:pPr>
            <w:r>
              <w:rPr>
                <w:rFonts w:ascii="Arial" w:cs="Arial" w:eastAsia="Arial" w:hAnsi="Arial"/>
                <w:sz w:val="11"/>
                <w:szCs w:val="11"/>
                <w:b w:val="1"/>
                <w:bCs w:val="1"/>
                <w:color w:val="auto"/>
                <w:w w:val="95"/>
              </w:rPr>
              <w:t>9.3%</w:t>
            </w:r>
          </w:p>
        </w:tc>
        <w:tc>
          <w:tcPr>
            <w:tcW w:w="1260" w:type="dxa"/>
            <w:vAlign w:val="bottom"/>
            <w:tcBorders>
              <w:right w:val="single" w:sz="8" w:color="auto"/>
            </w:tcBorders>
          </w:tcPr>
          <w:p>
            <w:pPr>
              <w:jc w:val="center"/>
              <w:ind w:left="225"/>
              <w:spacing w:after="0"/>
              <w:rPr>
                <w:sz w:val="20"/>
                <w:szCs w:val="20"/>
                <w:color w:val="auto"/>
              </w:rPr>
            </w:pPr>
            <w:r>
              <w:rPr>
                <w:rFonts w:ascii="Arial" w:cs="Arial" w:eastAsia="Arial" w:hAnsi="Arial"/>
                <w:sz w:val="11"/>
                <w:szCs w:val="11"/>
                <w:b w:val="1"/>
                <w:bCs w:val="1"/>
                <w:color w:val="auto"/>
                <w:w w:val="96"/>
              </w:rPr>
              <w:t>14.9%</w:t>
            </w:r>
          </w:p>
        </w:tc>
      </w:tr>
      <w:tr>
        <w:trPr>
          <w:trHeight w:val="227"/>
        </w:trPr>
        <w:tc>
          <w:tcPr>
            <w:tcW w:w="53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TOTAL LIABILITIES AND NET SHAREHOLDERS’ EQUITY</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12,727,516</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13,744,915</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14,181,808</w:t>
            </w:r>
          </w:p>
        </w:tc>
        <w:tc>
          <w:tcPr>
            <w:tcW w:w="660" w:type="dxa"/>
            <w:vAlign w:val="bottom"/>
            <w:tcBorders>
              <w:bottom w:val="single" w:sz="8" w:color="auto"/>
            </w:tcBorders>
          </w:tcPr>
          <w:p>
            <w:pPr>
              <w:jc w:val="center"/>
              <w:ind w:left="205"/>
              <w:spacing w:after="0"/>
              <w:rPr>
                <w:sz w:val="20"/>
                <w:szCs w:val="20"/>
                <w:color w:val="auto"/>
              </w:rPr>
            </w:pPr>
            <w:r>
              <w:rPr>
                <w:rFonts w:ascii="Arial" w:cs="Arial" w:eastAsia="Arial" w:hAnsi="Arial"/>
                <w:sz w:val="11"/>
                <w:szCs w:val="11"/>
                <w:b w:val="1"/>
                <w:bCs w:val="1"/>
                <w:color w:val="auto"/>
                <w:w w:val="95"/>
              </w:rPr>
              <w:t>3.2%</w:t>
            </w:r>
          </w:p>
        </w:tc>
        <w:tc>
          <w:tcPr>
            <w:tcW w:w="1260" w:type="dxa"/>
            <w:vAlign w:val="bottom"/>
            <w:tcBorders>
              <w:bottom w:val="single" w:sz="8" w:color="auto"/>
              <w:right w:val="single" w:sz="8" w:color="auto"/>
            </w:tcBorders>
          </w:tcPr>
          <w:p>
            <w:pPr>
              <w:jc w:val="center"/>
              <w:ind w:left="225"/>
              <w:spacing w:after="0"/>
              <w:rPr>
                <w:sz w:val="20"/>
                <w:szCs w:val="20"/>
                <w:color w:val="auto"/>
              </w:rPr>
            </w:pPr>
            <w:r>
              <w:rPr>
                <w:rFonts w:ascii="Arial" w:cs="Arial" w:eastAsia="Arial" w:hAnsi="Arial"/>
                <w:sz w:val="11"/>
                <w:szCs w:val="11"/>
                <w:b w:val="1"/>
                <w:bCs w:val="1"/>
                <w:color w:val="auto"/>
                <w:w w:val="96"/>
              </w:rPr>
              <w:t>11.4%</w:t>
            </w:r>
          </w:p>
        </w:tc>
      </w:tr>
    </w:tbl>
    <w:p>
      <w:pPr>
        <w:spacing w:after="0" w:line="154" w:lineRule="exact"/>
        <w:rPr>
          <w:sz w:val="20"/>
          <w:szCs w:val="20"/>
          <w:color w:val="auto"/>
        </w:rPr>
      </w:pPr>
    </w:p>
    <w:p>
      <w:pPr>
        <w:ind w:left="5020"/>
        <w:spacing w:after="0"/>
        <w:rPr>
          <w:sz w:val="20"/>
          <w:szCs w:val="20"/>
          <w:color w:val="auto"/>
        </w:rPr>
      </w:pPr>
      <w:r>
        <w:rPr>
          <w:rFonts w:ascii="Arial" w:cs="Arial" w:eastAsia="Arial" w:hAnsi="Arial"/>
          <w:sz w:val="12"/>
          <w:szCs w:val="12"/>
          <w:b w:val="1"/>
          <w:bCs w:val="1"/>
          <w:color w:val="auto"/>
        </w:rPr>
        <w:t>Statement of Income</w:t>
      </w:r>
    </w:p>
    <w:p>
      <w:pPr>
        <w:spacing w:after="0" w:line="18" w:lineRule="exact"/>
        <w:rPr>
          <w:sz w:val="20"/>
          <w:szCs w:val="20"/>
          <w:color w:val="auto"/>
        </w:rPr>
      </w:pPr>
    </w:p>
    <w:p>
      <w:pPr>
        <w:ind w:left="5020"/>
        <w:spacing w:after="0"/>
        <w:rPr>
          <w:sz w:val="20"/>
          <w:szCs w:val="20"/>
          <w:color w:val="auto"/>
        </w:rPr>
      </w:pPr>
      <w:r>
        <w:rPr>
          <w:rFonts w:ascii="Arial" w:cs="Arial" w:eastAsia="Arial" w:hAnsi="Arial"/>
          <w:sz w:val="12"/>
          <w:szCs w:val="12"/>
          <w:b w:val="1"/>
          <w:bCs w:val="1"/>
          <w:color w:val="auto"/>
        </w:rPr>
        <w:t>(S/ Thousands, IFRS)</w:t>
      </w:r>
    </w:p>
    <w:p>
      <w:pPr>
        <w:spacing w:after="0" w:line="139" w:lineRule="exact"/>
        <w:rPr>
          <w:sz w:val="20"/>
          <w:szCs w:val="20"/>
          <w:color w:val="auto"/>
        </w:rPr>
      </w:pPr>
    </w:p>
    <w:tbl>
      <w:tblPr>
        <w:tblLayout w:type="fixed"/>
        <w:tblInd w:w="230" w:type="dxa"/>
        <w:tblCellMar>
          <w:top w:w="0" w:type="dxa"/>
          <w:left w:w="0" w:type="dxa"/>
          <w:bottom w:w="0" w:type="dxa"/>
          <w:right w:w="0" w:type="dxa"/>
        </w:tblCellMar>
      </w:tblPr>
      <w:tr>
        <w:trPr>
          <w:trHeight w:val="99"/>
        </w:trPr>
        <w:tc>
          <w:tcPr>
            <w:tcW w:w="3920" w:type="dxa"/>
            <w:vAlign w:val="bottom"/>
            <w:tcBorders>
              <w:right w:val="single" w:sz="8" w:color="auto"/>
            </w:tcBorders>
          </w:tcPr>
          <w:p>
            <w:pPr>
              <w:spacing w:after="0"/>
              <w:rPr>
                <w:sz w:val="8"/>
                <w:szCs w:val="8"/>
                <w:color w:val="auto"/>
              </w:rPr>
            </w:pPr>
          </w:p>
        </w:tc>
        <w:tc>
          <w:tcPr>
            <w:tcW w:w="960" w:type="dxa"/>
            <w:vAlign w:val="bottom"/>
            <w:tcBorders>
              <w:top w:val="single" w:sz="8" w:color="auto"/>
            </w:tcBorders>
            <w:vMerge w:val="restart"/>
            <w:shd w:val="clear" w:color="auto" w:fill="2AD2C9"/>
          </w:tcPr>
          <w:p>
            <w:pPr>
              <w:jc w:val="center"/>
              <w:spacing w:after="0"/>
              <w:rPr>
                <w:sz w:val="20"/>
                <w:szCs w:val="20"/>
                <w:color w:val="auto"/>
              </w:rPr>
            </w:pPr>
            <w:r>
              <w:rPr>
                <w:rFonts w:ascii="Arial" w:cs="Arial" w:eastAsia="Arial" w:hAnsi="Arial"/>
                <w:sz w:val="10"/>
                <w:szCs w:val="10"/>
                <w:b w:val="1"/>
                <w:bCs w:val="1"/>
                <w:color w:val="FFFFFF"/>
                <w:w w:val="97"/>
              </w:rPr>
              <w:t>2Q23</w:t>
            </w:r>
          </w:p>
        </w:tc>
        <w:tc>
          <w:tcPr>
            <w:tcW w:w="1000" w:type="dxa"/>
            <w:vAlign w:val="bottom"/>
            <w:tcBorders>
              <w:top w:val="single" w:sz="8" w:color="auto"/>
            </w:tcBorders>
            <w:shd w:val="clear" w:color="auto" w:fill="2AD2C9"/>
          </w:tcPr>
          <w:p>
            <w:pPr>
              <w:ind w:left="320"/>
              <w:spacing w:after="0" w:line="99" w:lineRule="exact"/>
              <w:rPr>
                <w:sz w:val="20"/>
                <w:szCs w:val="20"/>
                <w:color w:val="auto"/>
              </w:rPr>
            </w:pPr>
            <w:r>
              <w:rPr>
                <w:rFonts w:ascii="Arial" w:cs="Arial" w:eastAsia="Arial" w:hAnsi="Arial"/>
                <w:sz w:val="10"/>
                <w:szCs w:val="10"/>
                <w:b w:val="1"/>
                <w:bCs w:val="1"/>
                <w:color w:val="FFFFFF"/>
              </w:rPr>
              <w:t>Quarter</w:t>
            </w:r>
          </w:p>
        </w:tc>
        <w:tc>
          <w:tcPr>
            <w:tcW w:w="980" w:type="dxa"/>
            <w:vAlign w:val="bottom"/>
            <w:tcBorders>
              <w:top w:val="single" w:sz="8" w:color="auto"/>
              <w:right w:val="single" w:sz="8" w:color="auto"/>
            </w:tcBorders>
            <w:vMerge w:val="restart"/>
            <w:shd w:val="clear" w:color="auto" w:fill="2AD2C9"/>
          </w:tcPr>
          <w:p>
            <w:pPr>
              <w:jc w:val="center"/>
              <w:spacing w:after="0"/>
              <w:rPr>
                <w:sz w:val="20"/>
                <w:szCs w:val="20"/>
                <w:color w:val="auto"/>
              </w:rPr>
            </w:pPr>
            <w:r>
              <w:rPr>
                <w:rFonts w:ascii="Arial" w:cs="Arial" w:eastAsia="Arial" w:hAnsi="Arial"/>
                <w:sz w:val="10"/>
                <w:szCs w:val="10"/>
                <w:b w:val="1"/>
                <w:bCs w:val="1"/>
                <w:color w:val="FFFFFF"/>
                <w:w w:val="89"/>
              </w:rPr>
              <w:t>2Q24</w:t>
            </w:r>
          </w:p>
        </w:tc>
        <w:tc>
          <w:tcPr>
            <w:tcW w:w="1520" w:type="dxa"/>
            <w:vAlign w:val="bottom"/>
            <w:tcBorders>
              <w:top w:val="single" w:sz="8" w:color="auto"/>
              <w:right w:val="single" w:sz="8" w:color="auto"/>
            </w:tcBorders>
            <w:gridSpan w:val="2"/>
            <w:shd w:val="clear" w:color="auto" w:fill="2AD2C9"/>
          </w:tcPr>
          <w:p>
            <w:pPr>
              <w:ind w:left="520"/>
              <w:spacing w:after="0" w:line="99" w:lineRule="exact"/>
              <w:rPr>
                <w:sz w:val="20"/>
                <w:szCs w:val="20"/>
                <w:color w:val="auto"/>
              </w:rPr>
            </w:pPr>
            <w:r>
              <w:rPr>
                <w:rFonts w:ascii="Arial" w:cs="Arial" w:eastAsia="Arial" w:hAnsi="Arial"/>
                <w:sz w:val="10"/>
                <w:szCs w:val="10"/>
                <w:b w:val="1"/>
                <w:bCs w:val="1"/>
                <w:color w:val="FFFFFF"/>
              </w:rPr>
              <w:t>% change</w:t>
            </w:r>
          </w:p>
        </w:tc>
        <w:tc>
          <w:tcPr>
            <w:tcW w:w="600" w:type="dxa"/>
            <w:vAlign w:val="bottom"/>
            <w:tcBorders>
              <w:top w:val="single" w:sz="8" w:color="auto"/>
            </w:tcBorders>
            <w:vMerge w:val="restart"/>
            <w:shd w:val="clear" w:color="auto" w:fill="2AD2C9"/>
          </w:tcPr>
          <w:p>
            <w:pPr>
              <w:jc w:val="center"/>
              <w:ind w:left="73"/>
              <w:spacing w:after="0"/>
              <w:rPr>
                <w:sz w:val="20"/>
                <w:szCs w:val="20"/>
                <w:color w:val="auto"/>
              </w:rPr>
            </w:pPr>
            <w:r>
              <w:rPr>
                <w:rFonts w:ascii="Arial" w:cs="Arial" w:eastAsia="Arial" w:hAnsi="Arial"/>
                <w:sz w:val="10"/>
                <w:szCs w:val="10"/>
                <w:b w:val="1"/>
                <w:bCs w:val="1"/>
                <w:color w:val="FFFFFF"/>
              </w:rPr>
              <w:t>1H23</w:t>
            </w:r>
          </w:p>
        </w:tc>
        <w:tc>
          <w:tcPr>
            <w:tcW w:w="900" w:type="dxa"/>
            <w:vAlign w:val="bottom"/>
            <w:tcBorders>
              <w:top w:val="single" w:sz="8" w:color="auto"/>
              <w:right w:val="single" w:sz="8" w:color="auto"/>
            </w:tcBorders>
            <w:shd w:val="clear" w:color="auto" w:fill="2AD2C9"/>
          </w:tcPr>
          <w:p>
            <w:pPr>
              <w:ind w:left="20"/>
              <w:spacing w:after="0" w:line="99" w:lineRule="exact"/>
              <w:rPr>
                <w:sz w:val="20"/>
                <w:szCs w:val="20"/>
                <w:color w:val="auto"/>
              </w:rPr>
            </w:pPr>
            <w:r>
              <w:rPr>
                <w:rFonts w:ascii="Arial" w:cs="Arial" w:eastAsia="Arial" w:hAnsi="Arial"/>
                <w:sz w:val="10"/>
                <w:szCs w:val="10"/>
                <w:b w:val="1"/>
                <w:bCs w:val="1"/>
                <w:color w:val="FFFFFF"/>
              </w:rPr>
              <w:t>Up to</w:t>
            </w:r>
          </w:p>
        </w:tc>
        <w:tc>
          <w:tcPr>
            <w:tcW w:w="960" w:type="dxa"/>
            <w:vAlign w:val="bottom"/>
            <w:tcBorders>
              <w:top w:val="single" w:sz="8" w:color="auto"/>
              <w:right w:val="single" w:sz="8" w:color="auto"/>
            </w:tcBorders>
            <w:shd w:val="clear" w:color="auto" w:fill="2AD2C9"/>
          </w:tcPr>
          <w:p>
            <w:pPr>
              <w:jc w:val="center"/>
              <w:spacing w:after="0" w:line="99" w:lineRule="exact"/>
              <w:rPr>
                <w:sz w:val="20"/>
                <w:szCs w:val="20"/>
                <w:color w:val="auto"/>
              </w:rPr>
            </w:pPr>
            <w:r>
              <w:rPr>
                <w:rFonts w:ascii="Arial" w:cs="Arial" w:eastAsia="Arial" w:hAnsi="Arial"/>
                <w:sz w:val="10"/>
                <w:szCs w:val="10"/>
                <w:b w:val="1"/>
                <w:bCs w:val="1"/>
                <w:color w:val="FFFFFF"/>
                <w:w w:val="95"/>
              </w:rPr>
              <w:t>% Change</w:t>
            </w:r>
          </w:p>
        </w:tc>
        <w:tc>
          <w:tcPr>
            <w:tcW w:w="0" w:type="dxa"/>
            <w:vAlign w:val="bottom"/>
          </w:tcPr>
          <w:p>
            <w:pPr>
              <w:spacing w:after="0"/>
              <w:rPr>
                <w:sz w:val="1"/>
                <w:szCs w:val="1"/>
                <w:color w:val="auto"/>
              </w:rPr>
            </w:pPr>
          </w:p>
        </w:tc>
      </w:tr>
      <w:tr>
        <w:trPr>
          <w:trHeight w:val="117"/>
        </w:trPr>
        <w:tc>
          <w:tcPr>
            <w:tcW w:w="3920" w:type="dxa"/>
            <w:vAlign w:val="bottom"/>
            <w:tcBorders>
              <w:bottom w:val="single" w:sz="8" w:color="auto"/>
              <w:right w:val="single" w:sz="8" w:color="auto"/>
            </w:tcBorders>
          </w:tcPr>
          <w:p>
            <w:pPr>
              <w:spacing w:after="0"/>
              <w:rPr>
                <w:sz w:val="10"/>
                <w:szCs w:val="10"/>
                <w:color w:val="auto"/>
              </w:rPr>
            </w:pPr>
          </w:p>
        </w:tc>
        <w:tc>
          <w:tcPr>
            <w:tcW w:w="960" w:type="dxa"/>
            <w:vAlign w:val="bottom"/>
            <w:tcBorders>
              <w:bottom w:val="single" w:sz="8" w:color="auto"/>
            </w:tcBorders>
            <w:vMerge w:val="continue"/>
            <w:shd w:val="clear" w:color="auto" w:fill="2AD2C9"/>
          </w:tcPr>
          <w:p>
            <w:pPr>
              <w:spacing w:after="0"/>
              <w:rPr>
                <w:sz w:val="10"/>
                <w:szCs w:val="10"/>
                <w:color w:val="auto"/>
              </w:rPr>
            </w:pP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7"/>
              </w:rPr>
              <w:t>1Q24</w:t>
            </w:r>
          </w:p>
        </w:tc>
        <w:tc>
          <w:tcPr>
            <w:tcW w:w="980" w:type="dxa"/>
            <w:vAlign w:val="bottom"/>
            <w:tcBorders>
              <w:bottom w:val="single" w:sz="8" w:color="auto"/>
              <w:right w:val="single" w:sz="8" w:color="auto"/>
            </w:tcBorders>
            <w:vMerge w:val="continue"/>
            <w:shd w:val="clear" w:color="auto" w:fill="2AD2C9"/>
          </w:tcPr>
          <w:p>
            <w:pPr>
              <w:spacing w:after="0"/>
              <w:rPr>
                <w:sz w:val="10"/>
                <w:szCs w:val="10"/>
                <w:color w:val="auto"/>
              </w:rPr>
            </w:pPr>
          </w:p>
        </w:tc>
        <w:tc>
          <w:tcPr>
            <w:tcW w:w="7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2"/>
              </w:rPr>
              <w:t>QoQ</w:t>
            </w:r>
          </w:p>
        </w:tc>
        <w:tc>
          <w:tcPr>
            <w:tcW w:w="780" w:type="dxa"/>
            <w:vAlign w:val="bottom"/>
            <w:tcBorders>
              <w:bottom w:val="single" w:sz="8" w:color="auto"/>
              <w:right w:val="single" w:sz="8" w:color="auto"/>
            </w:tcBorders>
            <w:shd w:val="clear" w:color="auto" w:fill="2AD2C9"/>
          </w:tcPr>
          <w:p>
            <w:pPr>
              <w:ind w:left="300"/>
              <w:spacing w:after="0"/>
              <w:rPr>
                <w:sz w:val="20"/>
                <w:szCs w:val="20"/>
                <w:color w:val="auto"/>
              </w:rPr>
            </w:pPr>
            <w:r>
              <w:rPr>
                <w:rFonts w:ascii="Arial" w:cs="Arial" w:eastAsia="Arial" w:hAnsi="Arial"/>
                <w:sz w:val="10"/>
                <w:szCs w:val="10"/>
                <w:b w:val="1"/>
                <w:bCs w:val="1"/>
                <w:color w:val="FFFFFF"/>
              </w:rPr>
              <w:t>YoY</w:t>
            </w:r>
          </w:p>
        </w:tc>
        <w:tc>
          <w:tcPr>
            <w:tcW w:w="600" w:type="dxa"/>
            <w:vAlign w:val="bottom"/>
            <w:tcBorders>
              <w:bottom w:val="single" w:sz="8" w:color="auto"/>
            </w:tcBorders>
            <w:vMerge w:val="continue"/>
            <w:shd w:val="clear" w:color="auto" w:fill="2AD2C9"/>
          </w:tcPr>
          <w:p>
            <w:pPr>
              <w:spacing w:after="0"/>
              <w:rPr>
                <w:sz w:val="10"/>
                <w:szCs w:val="10"/>
                <w:color w:val="auto"/>
              </w:rPr>
            </w:pPr>
          </w:p>
        </w:tc>
        <w:tc>
          <w:tcPr>
            <w:tcW w:w="900" w:type="dxa"/>
            <w:vAlign w:val="bottom"/>
            <w:tcBorders>
              <w:bottom w:val="single" w:sz="8" w:color="auto"/>
              <w:right w:val="single" w:sz="8" w:color="auto"/>
            </w:tcBorders>
            <w:shd w:val="clear" w:color="auto" w:fill="2AD2C9"/>
          </w:tcPr>
          <w:p>
            <w:pPr>
              <w:jc w:val="center"/>
              <w:ind w:left="73"/>
              <w:spacing w:after="0"/>
              <w:rPr>
                <w:sz w:val="20"/>
                <w:szCs w:val="20"/>
                <w:color w:val="auto"/>
              </w:rPr>
            </w:pPr>
            <w:r>
              <w:rPr>
                <w:rFonts w:ascii="Arial" w:cs="Arial" w:eastAsia="Arial" w:hAnsi="Arial"/>
                <w:sz w:val="10"/>
                <w:szCs w:val="10"/>
                <w:b w:val="1"/>
                <w:bCs w:val="1"/>
                <w:color w:val="FFFFFF"/>
                <w:w w:val="91"/>
              </w:rPr>
              <w:t>1H24</w:t>
            </w:r>
          </w:p>
        </w:tc>
        <w:tc>
          <w:tcPr>
            <w:tcW w:w="9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6"/>
              </w:rPr>
              <w:t>1H24 / 1H23</w:t>
            </w:r>
          </w:p>
        </w:tc>
        <w:tc>
          <w:tcPr>
            <w:tcW w:w="0" w:type="dxa"/>
            <w:vAlign w:val="bottom"/>
          </w:tcPr>
          <w:p>
            <w:pPr>
              <w:spacing w:after="0"/>
              <w:rPr>
                <w:sz w:val="1"/>
                <w:szCs w:val="1"/>
                <w:color w:val="auto"/>
              </w:rPr>
            </w:pPr>
          </w:p>
        </w:tc>
      </w:tr>
      <w:tr>
        <w:trPr>
          <w:trHeight w:val="81"/>
        </w:trPr>
        <w:tc>
          <w:tcPr>
            <w:tcW w:w="3920" w:type="dxa"/>
            <w:vAlign w:val="bottom"/>
            <w:tcBorders>
              <w:left w:val="single" w:sz="8" w:color="auto"/>
              <w:right w:val="single" w:sz="8" w:color="auto"/>
            </w:tcBorders>
          </w:tcPr>
          <w:p>
            <w:pPr>
              <w:ind w:left="40"/>
              <w:spacing w:after="0" w:line="81" w:lineRule="exact"/>
              <w:rPr>
                <w:sz w:val="20"/>
                <w:szCs w:val="20"/>
                <w:color w:val="auto"/>
              </w:rPr>
            </w:pPr>
            <w:r>
              <w:rPr>
                <w:rFonts w:ascii="Arial" w:cs="Arial" w:eastAsia="Arial" w:hAnsi="Arial"/>
                <w:sz w:val="8"/>
                <w:szCs w:val="8"/>
                <w:color w:val="auto"/>
              </w:rPr>
              <w:t>Net interest income</w:t>
            </w:r>
          </w:p>
        </w:tc>
        <w:tc>
          <w:tcPr>
            <w:tcW w:w="960" w:type="dxa"/>
            <w:vAlign w:val="bottom"/>
          </w:tcPr>
          <w:p>
            <w:pPr>
              <w:jc w:val="center"/>
              <w:spacing w:after="0" w:line="81" w:lineRule="exact"/>
              <w:rPr>
                <w:sz w:val="20"/>
                <w:szCs w:val="20"/>
                <w:color w:val="auto"/>
              </w:rPr>
            </w:pPr>
            <w:r>
              <w:rPr>
                <w:rFonts w:ascii="Arial" w:cs="Arial" w:eastAsia="Arial" w:hAnsi="Arial"/>
                <w:sz w:val="8"/>
                <w:szCs w:val="8"/>
                <w:color w:val="auto"/>
              </w:rPr>
              <w:t>82,279</w:t>
            </w:r>
          </w:p>
        </w:tc>
        <w:tc>
          <w:tcPr>
            <w:tcW w:w="1000" w:type="dxa"/>
            <w:vAlign w:val="bottom"/>
          </w:tcPr>
          <w:p>
            <w:pPr>
              <w:jc w:val="center"/>
              <w:spacing w:after="0" w:line="81" w:lineRule="exact"/>
              <w:rPr>
                <w:sz w:val="20"/>
                <w:szCs w:val="20"/>
                <w:color w:val="auto"/>
              </w:rPr>
            </w:pPr>
            <w:r>
              <w:rPr>
                <w:rFonts w:ascii="Arial" w:cs="Arial" w:eastAsia="Arial" w:hAnsi="Arial"/>
                <w:sz w:val="8"/>
                <w:szCs w:val="8"/>
                <w:color w:val="auto"/>
              </w:rPr>
              <w:t>86,848</w:t>
            </w:r>
          </w:p>
        </w:tc>
        <w:tc>
          <w:tcPr>
            <w:tcW w:w="98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91,049</w:t>
            </w:r>
          </w:p>
        </w:tc>
        <w:tc>
          <w:tcPr>
            <w:tcW w:w="740" w:type="dxa"/>
            <w:vAlign w:val="bottom"/>
          </w:tcPr>
          <w:p>
            <w:pPr>
              <w:jc w:val="center"/>
              <w:spacing w:after="0" w:line="81" w:lineRule="exact"/>
              <w:rPr>
                <w:sz w:val="20"/>
                <w:szCs w:val="20"/>
                <w:color w:val="auto"/>
              </w:rPr>
            </w:pPr>
            <w:r>
              <w:rPr>
                <w:rFonts w:ascii="Arial" w:cs="Arial" w:eastAsia="Arial" w:hAnsi="Arial"/>
                <w:sz w:val="8"/>
                <w:szCs w:val="8"/>
                <w:color w:val="auto"/>
              </w:rPr>
              <w:t>4.8%</w:t>
            </w:r>
          </w:p>
        </w:tc>
        <w:tc>
          <w:tcPr>
            <w:tcW w:w="78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10.7%</w:t>
            </w:r>
          </w:p>
        </w:tc>
        <w:tc>
          <w:tcPr>
            <w:tcW w:w="600" w:type="dxa"/>
            <w:vAlign w:val="bottom"/>
          </w:tcPr>
          <w:p>
            <w:pPr>
              <w:jc w:val="center"/>
              <w:ind w:left="73"/>
              <w:spacing w:after="0" w:line="81" w:lineRule="exact"/>
              <w:rPr>
                <w:sz w:val="20"/>
                <w:szCs w:val="20"/>
                <w:color w:val="auto"/>
              </w:rPr>
            </w:pPr>
            <w:r>
              <w:rPr>
                <w:rFonts w:ascii="Arial" w:cs="Arial" w:eastAsia="Arial" w:hAnsi="Arial"/>
                <w:sz w:val="8"/>
                <w:szCs w:val="8"/>
                <w:color w:val="auto"/>
              </w:rPr>
              <w:t>164,950</w:t>
            </w:r>
          </w:p>
        </w:tc>
        <w:tc>
          <w:tcPr>
            <w:tcW w:w="900" w:type="dxa"/>
            <w:vAlign w:val="bottom"/>
            <w:tcBorders>
              <w:right w:val="single" w:sz="8" w:color="auto"/>
            </w:tcBorders>
          </w:tcPr>
          <w:p>
            <w:pPr>
              <w:jc w:val="center"/>
              <w:ind w:left="73"/>
              <w:spacing w:after="0" w:line="81" w:lineRule="exact"/>
              <w:rPr>
                <w:sz w:val="20"/>
                <w:szCs w:val="20"/>
                <w:color w:val="auto"/>
              </w:rPr>
            </w:pPr>
            <w:r>
              <w:rPr>
                <w:rFonts w:ascii="Arial" w:cs="Arial" w:eastAsia="Arial" w:hAnsi="Arial"/>
                <w:sz w:val="8"/>
                <w:szCs w:val="8"/>
                <w:color w:val="auto"/>
              </w:rPr>
              <w:t>177,896</w:t>
            </w:r>
          </w:p>
        </w:tc>
        <w:tc>
          <w:tcPr>
            <w:tcW w:w="96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7.8%</w:t>
            </w:r>
          </w:p>
        </w:tc>
        <w:tc>
          <w:tcPr>
            <w:tcW w:w="0" w:type="dxa"/>
            <w:vAlign w:val="bottom"/>
          </w:tcPr>
          <w:p>
            <w:pPr>
              <w:spacing w:after="0"/>
              <w:rPr>
                <w:sz w:val="1"/>
                <w:szCs w:val="1"/>
                <w:color w:val="auto"/>
              </w:rPr>
            </w:pPr>
          </w:p>
        </w:tc>
      </w:tr>
      <w:tr>
        <w:trPr>
          <w:trHeight w:val="101"/>
        </w:trPr>
        <w:tc>
          <w:tcPr>
            <w:tcW w:w="3920" w:type="dxa"/>
            <w:vAlign w:val="bottom"/>
            <w:tcBorders>
              <w:left w:val="single" w:sz="8" w:color="auto"/>
              <w:right w:val="single" w:sz="8" w:color="auto"/>
            </w:tcBorders>
          </w:tcPr>
          <w:p>
            <w:pPr>
              <w:ind w:left="40"/>
              <w:spacing w:after="0" w:line="101" w:lineRule="exact"/>
              <w:rPr>
                <w:sz w:val="20"/>
                <w:szCs w:val="20"/>
                <w:color w:val="auto"/>
              </w:rPr>
            </w:pPr>
            <w:r>
              <w:rPr>
                <w:rFonts w:ascii="Arial" w:cs="Arial" w:eastAsia="Arial" w:hAnsi="Arial"/>
                <w:sz w:val="10"/>
                <w:szCs w:val="10"/>
                <w:color w:val="auto"/>
              </w:rPr>
              <w:t>Provision for loan losses, net of recoveries</w:t>
            </w:r>
          </w:p>
        </w:tc>
        <w:tc>
          <w:tcPr>
            <w:tcW w:w="960" w:type="dxa"/>
            <w:vAlign w:val="bottom"/>
          </w:tcPr>
          <w:p>
            <w:pPr>
              <w:jc w:val="center"/>
              <w:spacing w:after="0" w:line="101" w:lineRule="exact"/>
              <w:rPr>
                <w:sz w:val="20"/>
                <w:szCs w:val="20"/>
                <w:color w:val="auto"/>
              </w:rPr>
            </w:pPr>
            <w:r>
              <w:rPr>
                <w:rFonts w:ascii="Arial" w:cs="Arial" w:eastAsia="Arial" w:hAnsi="Arial"/>
                <w:sz w:val="10"/>
                <w:szCs w:val="10"/>
                <w:color w:val="auto"/>
                <w:w w:val="95"/>
              </w:rPr>
              <w:t>4,337</w:t>
            </w:r>
          </w:p>
        </w:tc>
        <w:tc>
          <w:tcPr>
            <w:tcW w:w="1000" w:type="dxa"/>
            <w:vAlign w:val="bottom"/>
          </w:tcPr>
          <w:p>
            <w:pPr>
              <w:jc w:val="center"/>
              <w:spacing w:after="0" w:line="101" w:lineRule="exact"/>
              <w:rPr>
                <w:sz w:val="20"/>
                <w:szCs w:val="20"/>
                <w:color w:val="auto"/>
              </w:rPr>
            </w:pPr>
            <w:r>
              <w:rPr>
                <w:rFonts w:ascii="Arial" w:cs="Arial" w:eastAsia="Arial" w:hAnsi="Arial"/>
                <w:sz w:val="10"/>
                <w:szCs w:val="10"/>
                <w:color w:val="auto"/>
                <w:w w:val="96"/>
              </w:rPr>
              <w:t>(14,653)</w:t>
            </w:r>
          </w:p>
        </w:tc>
        <w:tc>
          <w:tcPr>
            <w:tcW w:w="98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color w:val="auto"/>
                <w:w w:val="91"/>
              </w:rPr>
              <w:t>(23,466)</w:t>
            </w:r>
          </w:p>
        </w:tc>
        <w:tc>
          <w:tcPr>
            <w:tcW w:w="740" w:type="dxa"/>
            <w:vAlign w:val="bottom"/>
          </w:tcPr>
          <w:p>
            <w:pPr>
              <w:jc w:val="center"/>
              <w:spacing w:after="0" w:line="101" w:lineRule="exact"/>
              <w:rPr>
                <w:sz w:val="20"/>
                <w:szCs w:val="20"/>
                <w:color w:val="auto"/>
              </w:rPr>
            </w:pPr>
            <w:r>
              <w:rPr>
                <w:rFonts w:ascii="Arial" w:cs="Arial" w:eastAsia="Arial" w:hAnsi="Arial"/>
                <w:sz w:val="10"/>
                <w:szCs w:val="10"/>
                <w:color w:val="auto"/>
                <w:w w:val="98"/>
              </w:rPr>
              <w:t>60.1%</w:t>
            </w:r>
          </w:p>
        </w:tc>
        <w:tc>
          <w:tcPr>
            <w:tcW w:w="780" w:type="dxa"/>
            <w:vAlign w:val="bottom"/>
            <w:tcBorders>
              <w:right w:val="single" w:sz="8" w:color="auto"/>
            </w:tcBorders>
          </w:tcPr>
          <w:p>
            <w:pPr>
              <w:ind w:left="300"/>
              <w:spacing w:after="0" w:line="101" w:lineRule="exact"/>
              <w:rPr>
                <w:sz w:val="20"/>
                <w:szCs w:val="20"/>
                <w:color w:val="auto"/>
              </w:rPr>
            </w:pPr>
            <w:r>
              <w:rPr>
                <w:rFonts w:ascii="Arial" w:cs="Arial" w:eastAsia="Arial" w:hAnsi="Arial"/>
                <w:sz w:val="10"/>
                <w:szCs w:val="10"/>
                <w:color w:val="auto"/>
              </w:rPr>
              <w:t>n.a.</w:t>
            </w:r>
          </w:p>
        </w:tc>
        <w:tc>
          <w:tcPr>
            <w:tcW w:w="600" w:type="dxa"/>
            <w:vAlign w:val="bottom"/>
          </w:tcPr>
          <w:p>
            <w:pPr>
              <w:jc w:val="center"/>
              <w:ind w:left="73"/>
              <w:spacing w:after="0" w:line="101" w:lineRule="exact"/>
              <w:rPr>
                <w:sz w:val="20"/>
                <w:szCs w:val="20"/>
                <w:color w:val="auto"/>
              </w:rPr>
            </w:pPr>
            <w:r>
              <w:rPr>
                <w:rFonts w:ascii="Arial" w:cs="Arial" w:eastAsia="Arial" w:hAnsi="Arial"/>
                <w:sz w:val="10"/>
                <w:szCs w:val="10"/>
                <w:color w:val="auto"/>
                <w:w w:val="95"/>
              </w:rPr>
              <w:t>987</w:t>
            </w:r>
          </w:p>
        </w:tc>
        <w:tc>
          <w:tcPr>
            <w:tcW w:w="900" w:type="dxa"/>
            <w:vAlign w:val="bottom"/>
            <w:tcBorders>
              <w:right w:val="single" w:sz="8" w:color="auto"/>
            </w:tcBorders>
          </w:tcPr>
          <w:p>
            <w:pPr>
              <w:jc w:val="center"/>
              <w:ind w:left="73"/>
              <w:spacing w:after="0" w:line="101" w:lineRule="exact"/>
              <w:rPr>
                <w:sz w:val="20"/>
                <w:szCs w:val="20"/>
                <w:color w:val="auto"/>
              </w:rPr>
            </w:pPr>
            <w:r>
              <w:rPr>
                <w:rFonts w:ascii="Arial" w:cs="Arial" w:eastAsia="Arial" w:hAnsi="Arial"/>
                <w:sz w:val="10"/>
                <w:szCs w:val="10"/>
                <w:color w:val="auto"/>
                <w:w w:val="91"/>
              </w:rPr>
              <w:t>(38,119)</w:t>
            </w:r>
          </w:p>
        </w:tc>
        <w:tc>
          <w:tcPr>
            <w:tcW w:w="96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color w:val="auto"/>
                <w:w w:val="95"/>
              </w:rPr>
              <w:t>n.a.</w:t>
            </w:r>
          </w:p>
        </w:tc>
        <w:tc>
          <w:tcPr>
            <w:tcW w:w="0" w:type="dxa"/>
            <w:vAlign w:val="bottom"/>
          </w:tcPr>
          <w:p>
            <w:pPr>
              <w:spacing w:after="0"/>
              <w:rPr>
                <w:sz w:val="1"/>
                <w:szCs w:val="1"/>
                <w:color w:val="auto"/>
              </w:rPr>
            </w:pPr>
          </w:p>
        </w:tc>
      </w:tr>
      <w:tr>
        <w:trPr>
          <w:trHeight w:val="105"/>
        </w:trPr>
        <w:tc>
          <w:tcPr>
            <w:tcW w:w="3920" w:type="dxa"/>
            <w:vAlign w:val="bottom"/>
            <w:tcBorders>
              <w:left w:val="single" w:sz="8" w:color="auto"/>
              <w:right w:val="single" w:sz="8" w:color="auto"/>
            </w:tcBorders>
          </w:tcPr>
          <w:p>
            <w:pPr>
              <w:ind w:left="40"/>
              <w:spacing w:after="0" w:line="105" w:lineRule="exact"/>
              <w:rPr>
                <w:sz w:val="20"/>
                <w:szCs w:val="20"/>
                <w:color w:val="auto"/>
              </w:rPr>
            </w:pPr>
            <w:r>
              <w:rPr>
                <w:rFonts w:ascii="Arial" w:cs="Arial" w:eastAsia="Arial" w:hAnsi="Arial"/>
                <w:sz w:val="10"/>
                <w:szCs w:val="10"/>
                <w:b w:val="1"/>
                <w:bCs w:val="1"/>
                <w:color w:val="auto"/>
              </w:rPr>
              <w:t>Net interest income after provisions</w:t>
            </w:r>
          </w:p>
        </w:tc>
        <w:tc>
          <w:tcPr>
            <w:tcW w:w="96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91"/>
              </w:rPr>
              <w:t>86,616</w:t>
            </w:r>
          </w:p>
        </w:tc>
        <w:tc>
          <w:tcPr>
            <w:tcW w:w="100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97"/>
              </w:rPr>
              <w:t>72,195</w:t>
            </w:r>
          </w:p>
        </w:tc>
        <w:tc>
          <w:tcPr>
            <w:tcW w:w="98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0"/>
                <w:szCs w:val="10"/>
                <w:b w:val="1"/>
                <w:bCs w:val="1"/>
                <w:color w:val="auto"/>
                <w:w w:val="97"/>
              </w:rPr>
              <w:t>67,583</w:t>
            </w:r>
          </w:p>
        </w:tc>
        <w:tc>
          <w:tcPr>
            <w:tcW w:w="74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91"/>
              </w:rPr>
              <w:t>-6.4%</w:t>
            </w:r>
          </w:p>
        </w:tc>
        <w:tc>
          <w:tcPr>
            <w:tcW w:w="78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0"/>
                <w:szCs w:val="10"/>
                <w:b w:val="1"/>
                <w:bCs w:val="1"/>
                <w:color w:val="auto"/>
              </w:rPr>
              <w:t>-22.0%</w:t>
            </w:r>
          </w:p>
        </w:tc>
        <w:tc>
          <w:tcPr>
            <w:tcW w:w="600" w:type="dxa"/>
            <w:vAlign w:val="bottom"/>
          </w:tcPr>
          <w:p>
            <w:pPr>
              <w:jc w:val="center"/>
              <w:ind w:left="73"/>
              <w:spacing w:after="0" w:line="105" w:lineRule="exact"/>
              <w:rPr>
                <w:sz w:val="20"/>
                <w:szCs w:val="20"/>
                <w:color w:val="auto"/>
              </w:rPr>
            </w:pPr>
            <w:r>
              <w:rPr>
                <w:rFonts w:ascii="Arial" w:cs="Arial" w:eastAsia="Arial" w:hAnsi="Arial"/>
                <w:sz w:val="10"/>
                <w:szCs w:val="10"/>
                <w:b w:val="1"/>
                <w:bCs w:val="1"/>
                <w:color w:val="auto"/>
                <w:w w:val="99"/>
              </w:rPr>
              <w:t>165,937</w:t>
            </w:r>
          </w:p>
        </w:tc>
        <w:tc>
          <w:tcPr>
            <w:tcW w:w="900" w:type="dxa"/>
            <w:vAlign w:val="bottom"/>
            <w:tcBorders>
              <w:right w:val="single" w:sz="8" w:color="auto"/>
            </w:tcBorders>
          </w:tcPr>
          <w:p>
            <w:pPr>
              <w:jc w:val="center"/>
              <w:ind w:left="73"/>
              <w:spacing w:after="0" w:line="105" w:lineRule="exact"/>
              <w:rPr>
                <w:sz w:val="20"/>
                <w:szCs w:val="20"/>
                <w:color w:val="auto"/>
              </w:rPr>
            </w:pPr>
            <w:r>
              <w:rPr>
                <w:rFonts w:ascii="Arial" w:cs="Arial" w:eastAsia="Arial" w:hAnsi="Arial"/>
                <w:sz w:val="10"/>
                <w:szCs w:val="10"/>
                <w:b w:val="1"/>
                <w:bCs w:val="1"/>
                <w:color w:val="auto"/>
                <w:w w:val="93"/>
              </w:rPr>
              <w:t>139,777</w:t>
            </w:r>
          </w:p>
        </w:tc>
        <w:tc>
          <w:tcPr>
            <w:tcW w:w="96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0"/>
                <w:szCs w:val="10"/>
                <w:b w:val="1"/>
                <w:bCs w:val="1"/>
                <w:color w:val="auto"/>
                <w:w w:val="94"/>
              </w:rPr>
              <w:t>-15.8%</w:t>
            </w:r>
          </w:p>
        </w:tc>
        <w:tc>
          <w:tcPr>
            <w:tcW w:w="0" w:type="dxa"/>
            <w:vAlign w:val="bottom"/>
          </w:tcPr>
          <w:p>
            <w:pPr>
              <w:spacing w:after="0"/>
              <w:rPr>
                <w:sz w:val="1"/>
                <w:szCs w:val="1"/>
                <w:color w:val="auto"/>
              </w:rPr>
            </w:pPr>
          </w:p>
        </w:tc>
      </w:tr>
      <w:tr>
        <w:trPr>
          <w:trHeight w:val="103"/>
        </w:trPr>
        <w:tc>
          <w:tcPr>
            <w:tcW w:w="392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Non-financial income</w:t>
            </w:r>
          </w:p>
        </w:tc>
        <w:tc>
          <w:tcPr>
            <w:tcW w:w="960" w:type="dxa"/>
            <w:vAlign w:val="bottom"/>
          </w:tcPr>
          <w:p>
            <w:pPr>
              <w:jc w:val="center"/>
              <w:spacing w:after="0" w:line="103" w:lineRule="exact"/>
              <w:rPr>
                <w:sz w:val="20"/>
                <w:szCs w:val="20"/>
                <w:color w:val="auto"/>
              </w:rPr>
            </w:pPr>
            <w:r>
              <w:rPr>
                <w:rFonts w:ascii="Arial" w:cs="Arial" w:eastAsia="Arial" w:hAnsi="Arial"/>
                <w:sz w:val="10"/>
                <w:szCs w:val="10"/>
                <w:color w:val="auto"/>
                <w:w w:val="91"/>
              </w:rPr>
              <w:t>57,444</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7"/>
              </w:rPr>
              <w:t>62,912</w:t>
            </w:r>
          </w:p>
        </w:tc>
        <w:tc>
          <w:tcPr>
            <w:tcW w:w="9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7"/>
              </w:rPr>
              <w:t>91,602</w:t>
            </w:r>
          </w:p>
        </w:tc>
        <w:tc>
          <w:tcPr>
            <w:tcW w:w="740" w:type="dxa"/>
            <w:vAlign w:val="bottom"/>
          </w:tcPr>
          <w:p>
            <w:pPr>
              <w:jc w:val="center"/>
              <w:spacing w:after="0" w:line="103" w:lineRule="exact"/>
              <w:rPr>
                <w:sz w:val="20"/>
                <w:szCs w:val="20"/>
                <w:color w:val="auto"/>
              </w:rPr>
            </w:pPr>
            <w:r>
              <w:rPr>
                <w:rFonts w:ascii="Arial" w:cs="Arial" w:eastAsia="Arial" w:hAnsi="Arial"/>
                <w:sz w:val="10"/>
                <w:szCs w:val="10"/>
                <w:color w:val="auto"/>
                <w:w w:val="98"/>
              </w:rPr>
              <w:t>45.6%</w:t>
            </w:r>
          </w:p>
        </w:tc>
        <w:tc>
          <w:tcPr>
            <w:tcW w:w="7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8"/>
              </w:rPr>
              <w:t>59.5%</w:t>
            </w:r>
          </w:p>
        </w:tc>
        <w:tc>
          <w:tcPr>
            <w:tcW w:w="600" w:type="dxa"/>
            <w:vAlign w:val="bottom"/>
          </w:tcPr>
          <w:p>
            <w:pPr>
              <w:jc w:val="center"/>
              <w:ind w:left="73"/>
              <w:spacing w:after="0" w:line="103" w:lineRule="exact"/>
              <w:rPr>
                <w:sz w:val="20"/>
                <w:szCs w:val="20"/>
                <w:color w:val="auto"/>
              </w:rPr>
            </w:pPr>
            <w:r>
              <w:rPr>
                <w:rFonts w:ascii="Arial" w:cs="Arial" w:eastAsia="Arial" w:hAnsi="Arial"/>
                <w:sz w:val="10"/>
                <w:szCs w:val="10"/>
                <w:color w:val="auto"/>
                <w:w w:val="99"/>
              </w:rPr>
              <w:t>102,750</w:t>
            </w:r>
          </w:p>
        </w:tc>
        <w:tc>
          <w:tcPr>
            <w:tcW w:w="900" w:type="dxa"/>
            <w:vAlign w:val="bottom"/>
            <w:tcBorders>
              <w:right w:val="single" w:sz="8" w:color="auto"/>
            </w:tcBorders>
          </w:tcPr>
          <w:p>
            <w:pPr>
              <w:jc w:val="center"/>
              <w:ind w:left="73"/>
              <w:spacing w:after="0" w:line="103" w:lineRule="exact"/>
              <w:rPr>
                <w:sz w:val="20"/>
                <w:szCs w:val="20"/>
                <w:color w:val="auto"/>
              </w:rPr>
            </w:pPr>
            <w:r>
              <w:rPr>
                <w:rFonts w:ascii="Arial" w:cs="Arial" w:eastAsia="Arial" w:hAnsi="Arial"/>
                <w:sz w:val="10"/>
                <w:szCs w:val="10"/>
                <w:color w:val="auto"/>
                <w:w w:val="93"/>
              </w:rPr>
              <w:t>154,514</w:t>
            </w:r>
          </w:p>
        </w:tc>
        <w:tc>
          <w:tcPr>
            <w:tcW w:w="9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1"/>
              </w:rPr>
              <w:t>50.4%</w:t>
            </w:r>
          </w:p>
        </w:tc>
        <w:tc>
          <w:tcPr>
            <w:tcW w:w="0" w:type="dxa"/>
            <w:vAlign w:val="bottom"/>
          </w:tcPr>
          <w:p>
            <w:pPr>
              <w:spacing w:after="0"/>
              <w:rPr>
                <w:sz w:val="1"/>
                <w:szCs w:val="1"/>
                <w:color w:val="auto"/>
              </w:rPr>
            </w:pPr>
          </w:p>
        </w:tc>
      </w:tr>
      <w:tr>
        <w:trPr>
          <w:trHeight w:val="103"/>
        </w:trPr>
        <w:tc>
          <w:tcPr>
            <w:tcW w:w="392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Total expenses</w:t>
            </w:r>
          </w:p>
        </w:tc>
        <w:tc>
          <w:tcPr>
            <w:tcW w:w="960" w:type="dxa"/>
            <w:vAlign w:val="bottom"/>
          </w:tcPr>
          <w:p>
            <w:pPr>
              <w:jc w:val="center"/>
              <w:spacing w:after="0" w:line="103" w:lineRule="exact"/>
              <w:rPr>
                <w:sz w:val="20"/>
                <w:szCs w:val="20"/>
                <w:color w:val="auto"/>
              </w:rPr>
            </w:pPr>
            <w:r>
              <w:rPr>
                <w:rFonts w:ascii="Arial" w:cs="Arial" w:eastAsia="Arial" w:hAnsi="Arial"/>
                <w:sz w:val="10"/>
                <w:szCs w:val="10"/>
                <w:color w:val="auto"/>
                <w:w w:val="96"/>
              </w:rPr>
              <w:t>(92,555)</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8"/>
              </w:rPr>
              <w:t>(101,421)</w:t>
            </w:r>
          </w:p>
        </w:tc>
        <w:tc>
          <w:tcPr>
            <w:tcW w:w="9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1"/>
              </w:rPr>
              <w:t>(98,349)</w:t>
            </w:r>
          </w:p>
        </w:tc>
        <w:tc>
          <w:tcPr>
            <w:tcW w:w="740" w:type="dxa"/>
            <w:vAlign w:val="bottom"/>
          </w:tcPr>
          <w:p>
            <w:pPr>
              <w:jc w:val="center"/>
              <w:spacing w:after="0" w:line="103" w:lineRule="exact"/>
              <w:rPr>
                <w:sz w:val="20"/>
                <w:szCs w:val="20"/>
                <w:color w:val="auto"/>
              </w:rPr>
            </w:pPr>
            <w:r>
              <w:rPr>
                <w:rFonts w:ascii="Arial" w:cs="Arial" w:eastAsia="Arial" w:hAnsi="Arial"/>
                <w:sz w:val="10"/>
                <w:szCs w:val="10"/>
                <w:color w:val="auto"/>
                <w:w w:val="91"/>
              </w:rPr>
              <w:t>-3.0%</w:t>
            </w:r>
          </w:p>
        </w:tc>
        <w:tc>
          <w:tcPr>
            <w:tcW w:w="7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87"/>
              </w:rPr>
              <w:t>6.3%</w:t>
            </w:r>
          </w:p>
        </w:tc>
        <w:tc>
          <w:tcPr>
            <w:tcW w:w="600" w:type="dxa"/>
            <w:vAlign w:val="bottom"/>
          </w:tcPr>
          <w:p>
            <w:pPr>
              <w:jc w:val="center"/>
              <w:ind w:left="73"/>
              <w:spacing w:after="0" w:line="103" w:lineRule="exact"/>
              <w:rPr>
                <w:sz w:val="20"/>
                <w:szCs w:val="20"/>
                <w:color w:val="auto"/>
              </w:rPr>
            </w:pPr>
            <w:r>
              <w:rPr>
                <w:rFonts w:ascii="Arial" w:cs="Arial" w:eastAsia="Arial" w:hAnsi="Arial"/>
                <w:sz w:val="10"/>
                <w:szCs w:val="10"/>
                <w:color w:val="auto"/>
                <w:w w:val="93"/>
              </w:rPr>
              <w:t>(185,103)</w:t>
            </w:r>
          </w:p>
        </w:tc>
        <w:tc>
          <w:tcPr>
            <w:tcW w:w="900" w:type="dxa"/>
            <w:vAlign w:val="bottom"/>
            <w:tcBorders>
              <w:right w:val="single" w:sz="8" w:color="auto"/>
            </w:tcBorders>
          </w:tcPr>
          <w:p>
            <w:pPr>
              <w:jc w:val="center"/>
              <w:ind w:left="73"/>
              <w:spacing w:after="0" w:line="103" w:lineRule="exact"/>
              <w:rPr>
                <w:sz w:val="20"/>
                <w:szCs w:val="20"/>
                <w:color w:val="auto"/>
              </w:rPr>
            </w:pPr>
            <w:r>
              <w:rPr>
                <w:rFonts w:ascii="Arial" w:cs="Arial" w:eastAsia="Arial" w:hAnsi="Arial"/>
                <w:sz w:val="10"/>
                <w:szCs w:val="10"/>
                <w:color w:val="auto"/>
                <w:w w:val="98"/>
              </w:rPr>
              <w:t>(199,770)</w:t>
            </w:r>
          </w:p>
        </w:tc>
        <w:tc>
          <w:tcPr>
            <w:tcW w:w="9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7.9%</w:t>
            </w:r>
          </w:p>
        </w:tc>
        <w:tc>
          <w:tcPr>
            <w:tcW w:w="0" w:type="dxa"/>
            <w:vAlign w:val="bottom"/>
          </w:tcPr>
          <w:p>
            <w:pPr>
              <w:spacing w:after="0"/>
              <w:rPr>
                <w:sz w:val="1"/>
                <w:szCs w:val="1"/>
                <w:color w:val="auto"/>
              </w:rPr>
            </w:pPr>
          </w:p>
        </w:tc>
      </w:tr>
      <w:tr>
        <w:trPr>
          <w:trHeight w:val="103"/>
        </w:trPr>
        <w:tc>
          <w:tcPr>
            <w:tcW w:w="392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Translation result</w:t>
            </w:r>
          </w:p>
        </w:tc>
        <w:tc>
          <w:tcPr>
            <w:tcW w:w="960" w:type="dxa"/>
            <w:vAlign w:val="bottom"/>
          </w:tcPr>
          <w:p>
            <w:pPr>
              <w:jc w:val="center"/>
              <w:spacing w:after="0" w:line="103" w:lineRule="exact"/>
              <w:rPr>
                <w:sz w:val="20"/>
                <w:szCs w:val="20"/>
                <w:color w:val="auto"/>
              </w:rPr>
            </w:pPr>
            <w:r>
              <w:rPr>
                <w:rFonts w:ascii="Arial" w:cs="Arial" w:eastAsia="Arial" w:hAnsi="Arial"/>
                <w:sz w:val="10"/>
                <w:szCs w:val="10"/>
                <w:color w:val="auto"/>
                <w:w w:val="89"/>
              </w:rPr>
              <w:t>(59)</w:t>
            </w:r>
          </w:p>
        </w:tc>
        <w:tc>
          <w:tcPr>
            <w:tcW w:w="1000" w:type="dxa"/>
            <w:vAlign w:val="bottom"/>
          </w:tcPr>
          <w:p>
            <w:pPr>
              <w:jc w:val="center"/>
              <w:spacing w:after="0" w:line="103" w:lineRule="exact"/>
              <w:rPr>
                <w:sz w:val="20"/>
                <w:szCs w:val="20"/>
                <w:color w:val="auto"/>
              </w:rPr>
            </w:pPr>
            <w:r>
              <w:rPr>
                <w:rFonts w:ascii="Arial" w:cs="Arial" w:eastAsia="Arial" w:hAnsi="Arial"/>
                <w:sz w:val="10"/>
                <w:szCs w:val="10"/>
                <w:color w:val="auto"/>
                <w:w w:val="95"/>
              </w:rPr>
              <w:t>163</w:t>
            </w:r>
          </w:p>
        </w:tc>
        <w:tc>
          <w:tcPr>
            <w:tcW w:w="9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(563)</w:t>
            </w:r>
          </w:p>
        </w:tc>
        <w:tc>
          <w:tcPr>
            <w:tcW w:w="740" w:type="dxa"/>
            <w:vAlign w:val="bottom"/>
          </w:tcPr>
          <w:p>
            <w:pPr>
              <w:jc w:val="center"/>
              <w:spacing w:after="0" w:line="103" w:lineRule="exact"/>
              <w:rPr>
                <w:sz w:val="20"/>
                <w:szCs w:val="20"/>
                <w:color w:val="auto"/>
              </w:rPr>
            </w:pPr>
            <w:r>
              <w:rPr>
                <w:rFonts w:ascii="Arial" w:cs="Arial" w:eastAsia="Arial" w:hAnsi="Arial"/>
                <w:sz w:val="10"/>
                <w:szCs w:val="10"/>
                <w:color w:val="auto"/>
                <w:w w:val="95"/>
              </w:rPr>
              <w:t>n.a.</w:t>
            </w:r>
          </w:p>
        </w:tc>
        <w:tc>
          <w:tcPr>
            <w:tcW w:w="7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858.9%</w:t>
            </w:r>
          </w:p>
        </w:tc>
        <w:tc>
          <w:tcPr>
            <w:tcW w:w="600" w:type="dxa"/>
            <w:vAlign w:val="bottom"/>
          </w:tcPr>
          <w:p>
            <w:pPr>
              <w:jc w:val="center"/>
              <w:ind w:left="73"/>
              <w:spacing w:after="0" w:line="103" w:lineRule="exact"/>
              <w:rPr>
                <w:sz w:val="20"/>
                <w:szCs w:val="20"/>
                <w:color w:val="auto"/>
              </w:rPr>
            </w:pPr>
            <w:r>
              <w:rPr>
                <w:rFonts w:ascii="Arial" w:cs="Arial" w:eastAsia="Arial" w:hAnsi="Arial"/>
                <w:sz w:val="10"/>
                <w:szCs w:val="10"/>
                <w:color w:val="auto"/>
                <w:w w:val="85"/>
              </w:rPr>
              <w:t>(110)</w:t>
            </w:r>
          </w:p>
        </w:tc>
        <w:tc>
          <w:tcPr>
            <w:tcW w:w="900" w:type="dxa"/>
            <w:vAlign w:val="bottom"/>
            <w:tcBorders>
              <w:right w:val="single" w:sz="8" w:color="auto"/>
            </w:tcBorders>
          </w:tcPr>
          <w:p>
            <w:pPr>
              <w:jc w:val="center"/>
              <w:ind w:left="73"/>
              <w:spacing w:after="0" w:line="103" w:lineRule="exact"/>
              <w:rPr>
                <w:sz w:val="20"/>
                <w:szCs w:val="20"/>
                <w:color w:val="auto"/>
              </w:rPr>
            </w:pPr>
            <w:r>
              <w:rPr>
                <w:rFonts w:ascii="Arial" w:cs="Arial" w:eastAsia="Arial" w:hAnsi="Arial"/>
                <w:sz w:val="10"/>
                <w:szCs w:val="10"/>
                <w:color w:val="auto"/>
                <w:w w:val="94"/>
              </w:rPr>
              <w:t>(399)</w:t>
            </w:r>
          </w:p>
        </w:tc>
        <w:tc>
          <w:tcPr>
            <w:tcW w:w="9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rPr>
              <w:t>264.2%</w:t>
            </w:r>
          </w:p>
        </w:tc>
        <w:tc>
          <w:tcPr>
            <w:tcW w:w="0" w:type="dxa"/>
            <w:vAlign w:val="bottom"/>
          </w:tcPr>
          <w:p>
            <w:pPr>
              <w:spacing w:after="0"/>
              <w:rPr>
                <w:sz w:val="1"/>
                <w:szCs w:val="1"/>
                <w:color w:val="auto"/>
              </w:rPr>
            </w:pPr>
          </w:p>
        </w:tc>
      </w:tr>
      <w:tr>
        <w:trPr>
          <w:trHeight w:val="101"/>
        </w:trPr>
        <w:tc>
          <w:tcPr>
            <w:tcW w:w="3920" w:type="dxa"/>
            <w:vAlign w:val="bottom"/>
            <w:tcBorders>
              <w:left w:val="single" w:sz="8" w:color="auto"/>
              <w:right w:val="single" w:sz="8" w:color="auto"/>
            </w:tcBorders>
          </w:tcPr>
          <w:p>
            <w:pPr>
              <w:ind w:left="40"/>
              <w:spacing w:after="0" w:line="101" w:lineRule="exact"/>
              <w:rPr>
                <w:sz w:val="20"/>
                <w:szCs w:val="20"/>
                <w:color w:val="auto"/>
              </w:rPr>
            </w:pPr>
            <w:r>
              <w:rPr>
                <w:rFonts w:ascii="Arial" w:cs="Arial" w:eastAsia="Arial" w:hAnsi="Arial"/>
                <w:sz w:val="10"/>
                <w:szCs w:val="10"/>
                <w:color w:val="auto"/>
              </w:rPr>
              <w:t>Income taxes</w:t>
            </w:r>
          </w:p>
        </w:tc>
        <w:tc>
          <w:tcPr>
            <w:tcW w:w="960" w:type="dxa"/>
            <w:vAlign w:val="bottom"/>
          </w:tcPr>
          <w:p>
            <w:pPr>
              <w:jc w:val="center"/>
              <w:spacing w:after="0" w:line="101" w:lineRule="exact"/>
              <w:rPr>
                <w:sz w:val="20"/>
                <w:szCs w:val="20"/>
                <w:color w:val="auto"/>
              </w:rPr>
            </w:pPr>
            <w:r>
              <w:rPr>
                <w:rFonts w:ascii="Arial" w:cs="Arial" w:eastAsia="Arial" w:hAnsi="Arial"/>
                <w:sz w:val="10"/>
                <w:szCs w:val="10"/>
                <w:color w:val="auto"/>
                <w:w w:val="96"/>
              </w:rPr>
              <w:t>(29,844)</w:t>
            </w:r>
          </w:p>
        </w:tc>
        <w:tc>
          <w:tcPr>
            <w:tcW w:w="1000" w:type="dxa"/>
            <w:vAlign w:val="bottom"/>
          </w:tcPr>
          <w:p>
            <w:pPr>
              <w:jc w:val="center"/>
              <w:spacing w:after="0" w:line="101" w:lineRule="exact"/>
              <w:rPr>
                <w:sz w:val="20"/>
                <w:szCs w:val="20"/>
                <w:color w:val="auto"/>
              </w:rPr>
            </w:pPr>
            <w:r>
              <w:rPr>
                <w:rFonts w:ascii="Arial" w:cs="Arial" w:eastAsia="Arial" w:hAnsi="Arial"/>
                <w:sz w:val="10"/>
                <w:szCs w:val="10"/>
                <w:color w:val="auto"/>
                <w:w w:val="96"/>
              </w:rPr>
              <w:t>(13,002)</w:t>
            </w:r>
          </w:p>
        </w:tc>
        <w:tc>
          <w:tcPr>
            <w:tcW w:w="98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color w:val="auto"/>
                <w:w w:val="91"/>
              </w:rPr>
              <w:t>(27,726)</w:t>
            </w:r>
          </w:p>
        </w:tc>
        <w:tc>
          <w:tcPr>
            <w:tcW w:w="740" w:type="dxa"/>
            <w:vAlign w:val="bottom"/>
          </w:tcPr>
          <w:p>
            <w:pPr>
              <w:jc w:val="center"/>
              <w:spacing w:after="0" w:line="101" w:lineRule="exact"/>
              <w:rPr>
                <w:sz w:val="20"/>
                <w:szCs w:val="20"/>
                <w:color w:val="auto"/>
              </w:rPr>
            </w:pPr>
            <w:r>
              <w:rPr>
                <w:rFonts w:ascii="Arial" w:cs="Arial" w:eastAsia="Arial" w:hAnsi="Arial"/>
                <w:sz w:val="10"/>
                <w:szCs w:val="10"/>
                <w:color w:val="auto"/>
                <w:w w:val="94"/>
              </w:rPr>
              <w:t>113.2%</w:t>
            </w:r>
          </w:p>
        </w:tc>
        <w:tc>
          <w:tcPr>
            <w:tcW w:w="78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color w:val="auto"/>
                <w:w w:val="91"/>
              </w:rPr>
              <w:t>-7.1%</w:t>
            </w:r>
          </w:p>
        </w:tc>
        <w:tc>
          <w:tcPr>
            <w:tcW w:w="600" w:type="dxa"/>
            <w:vAlign w:val="bottom"/>
          </w:tcPr>
          <w:p>
            <w:pPr>
              <w:jc w:val="center"/>
              <w:ind w:left="73"/>
              <w:spacing w:after="0" w:line="101" w:lineRule="exact"/>
              <w:rPr>
                <w:sz w:val="20"/>
                <w:szCs w:val="20"/>
                <w:color w:val="auto"/>
              </w:rPr>
            </w:pPr>
            <w:r>
              <w:rPr>
                <w:rFonts w:ascii="Arial" w:cs="Arial" w:eastAsia="Arial" w:hAnsi="Arial"/>
                <w:sz w:val="10"/>
                <w:szCs w:val="10"/>
                <w:color w:val="auto"/>
                <w:w w:val="96"/>
              </w:rPr>
              <w:t>(41,134)</w:t>
            </w:r>
          </w:p>
        </w:tc>
        <w:tc>
          <w:tcPr>
            <w:tcW w:w="900" w:type="dxa"/>
            <w:vAlign w:val="bottom"/>
            <w:tcBorders>
              <w:right w:val="single" w:sz="8" w:color="auto"/>
            </w:tcBorders>
          </w:tcPr>
          <w:p>
            <w:pPr>
              <w:jc w:val="center"/>
              <w:ind w:left="53"/>
              <w:spacing w:after="0" w:line="101" w:lineRule="exact"/>
              <w:rPr>
                <w:sz w:val="20"/>
                <w:szCs w:val="20"/>
                <w:color w:val="auto"/>
              </w:rPr>
            </w:pPr>
            <w:r>
              <w:rPr>
                <w:rFonts w:ascii="Arial" w:cs="Arial" w:eastAsia="Arial" w:hAnsi="Arial"/>
                <w:sz w:val="10"/>
                <w:szCs w:val="10"/>
                <w:color w:val="auto"/>
                <w:w w:val="96"/>
              </w:rPr>
              <w:t>(40,727)</w:t>
            </w:r>
          </w:p>
        </w:tc>
        <w:tc>
          <w:tcPr>
            <w:tcW w:w="96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color w:val="auto"/>
                <w:w w:val="99"/>
              </w:rPr>
              <w:t>-1.0%</w:t>
            </w:r>
          </w:p>
        </w:tc>
        <w:tc>
          <w:tcPr>
            <w:tcW w:w="0" w:type="dxa"/>
            <w:vAlign w:val="bottom"/>
          </w:tcPr>
          <w:p>
            <w:pPr>
              <w:spacing w:after="0"/>
              <w:rPr>
                <w:sz w:val="1"/>
                <w:szCs w:val="1"/>
                <w:color w:val="auto"/>
              </w:rPr>
            </w:pPr>
          </w:p>
        </w:tc>
      </w:tr>
      <w:tr>
        <w:trPr>
          <w:trHeight w:val="117"/>
        </w:trPr>
        <w:tc>
          <w:tcPr>
            <w:tcW w:w="3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0"/>
                <w:szCs w:val="10"/>
                <w:b w:val="1"/>
                <w:bCs w:val="1"/>
                <w:color w:val="auto"/>
              </w:rPr>
              <w:t>Net income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21,603</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20,847</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32,548</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56.1%</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50.7%</w:t>
            </w:r>
          </w:p>
        </w:tc>
        <w:tc>
          <w:tcPr>
            <w:tcW w:w="600" w:type="dxa"/>
            <w:vAlign w:val="bottom"/>
            <w:tcBorders>
              <w:bottom w:val="single" w:sz="8" w:color="auto"/>
            </w:tcBorders>
          </w:tcPr>
          <w:p>
            <w:pPr>
              <w:jc w:val="center"/>
              <w:ind w:left="73"/>
              <w:spacing w:after="0"/>
              <w:rPr>
                <w:sz w:val="20"/>
                <w:szCs w:val="20"/>
                <w:color w:val="auto"/>
              </w:rPr>
            </w:pPr>
            <w:r>
              <w:rPr>
                <w:rFonts w:ascii="Arial" w:cs="Arial" w:eastAsia="Arial" w:hAnsi="Arial"/>
                <w:sz w:val="10"/>
                <w:szCs w:val="10"/>
                <w:b w:val="1"/>
                <w:bCs w:val="1"/>
                <w:color w:val="auto"/>
                <w:w w:val="91"/>
              </w:rPr>
              <w:t>42,340</w:t>
            </w:r>
          </w:p>
        </w:tc>
        <w:tc>
          <w:tcPr>
            <w:tcW w:w="900" w:type="dxa"/>
            <w:vAlign w:val="bottom"/>
            <w:tcBorders>
              <w:bottom w:val="single" w:sz="8" w:color="auto"/>
              <w:right w:val="single" w:sz="8" w:color="auto"/>
            </w:tcBorders>
          </w:tcPr>
          <w:p>
            <w:pPr>
              <w:jc w:val="center"/>
              <w:ind w:left="73"/>
              <w:spacing w:after="0"/>
              <w:rPr>
                <w:sz w:val="20"/>
                <w:szCs w:val="20"/>
                <w:color w:val="auto"/>
              </w:rPr>
            </w:pPr>
            <w:r>
              <w:rPr>
                <w:rFonts w:ascii="Arial" w:cs="Arial" w:eastAsia="Arial" w:hAnsi="Arial"/>
                <w:sz w:val="10"/>
                <w:szCs w:val="10"/>
                <w:b w:val="1"/>
                <w:bCs w:val="1"/>
                <w:color w:val="auto"/>
                <w:w w:val="97"/>
              </w:rPr>
              <w:t>53,394</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26.1%</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ind w:right="160"/>
        <w:spacing w:after="0"/>
        <w:rPr>
          <w:sz w:val="20"/>
          <w:szCs w:val="20"/>
          <w:color w:val="auto"/>
        </w:rPr>
      </w:pPr>
      <w:r>
        <w:rPr>
          <w:rFonts w:ascii="Arial" w:cs="Arial" w:eastAsia="Arial" w:hAnsi="Arial"/>
          <w:sz w:val="12"/>
          <w:szCs w:val="12"/>
          <w:b w:val="1"/>
          <w:bCs w:val="1"/>
          <w:color w:val="auto"/>
        </w:rPr>
        <w:t>Selected Financial Indicators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240" w:type="dxa"/>
            <w:vAlign w:val="bottom"/>
            <w:tcBorders>
              <w:right w:val="single" w:sz="8" w:color="auto"/>
            </w:tcBorders>
          </w:tcPr>
          <w:p>
            <w:pPr>
              <w:spacing w:after="0"/>
              <w:rPr>
                <w:sz w:val="8"/>
                <w:szCs w:val="8"/>
                <w:color w:val="auto"/>
              </w:rPr>
            </w:pPr>
          </w:p>
        </w:tc>
        <w:tc>
          <w:tcPr>
            <w:tcW w:w="3900" w:type="dxa"/>
            <w:vAlign w:val="bottom"/>
            <w:tcBorders>
              <w:top w:val="single" w:sz="8" w:color="auto"/>
              <w:right w:val="single" w:sz="8" w:color="auto"/>
            </w:tcBorders>
            <w:shd w:val="clear" w:color="auto" w:fill="2AD2C9"/>
          </w:tcPr>
          <w:p>
            <w:pPr>
              <w:spacing w:after="0"/>
              <w:rPr>
                <w:sz w:val="8"/>
                <w:szCs w:val="8"/>
                <w:color w:val="auto"/>
              </w:rPr>
            </w:pPr>
          </w:p>
        </w:tc>
        <w:tc>
          <w:tcPr>
            <w:tcW w:w="960" w:type="dxa"/>
            <w:vAlign w:val="bottom"/>
            <w:tcBorders>
              <w:top w:val="single" w:sz="8" w:color="auto"/>
            </w:tcBorders>
            <w:shd w:val="clear" w:color="auto" w:fill="2AD2C9"/>
          </w:tcPr>
          <w:p>
            <w:pPr>
              <w:spacing w:after="0"/>
              <w:rPr>
                <w:sz w:val="8"/>
                <w:szCs w:val="8"/>
                <w:color w:val="auto"/>
              </w:rPr>
            </w:pPr>
          </w:p>
        </w:tc>
        <w:tc>
          <w:tcPr>
            <w:tcW w:w="980" w:type="dxa"/>
            <w:vAlign w:val="bottom"/>
            <w:tcBorders>
              <w:top w:val="single" w:sz="8" w:color="auto"/>
            </w:tcBorders>
            <w:shd w:val="clear" w:color="auto" w:fill="2AD2C9"/>
          </w:tcPr>
          <w:p>
            <w:pPr>
              <w:ind w:left="340"/>
              <w:spacing w:after="0"/>
              <w:rPr>
                <w:sz w:val="20"/>
                <w:szCs w:val="20"/>
                <w:color w:val="auto"/>
              </w:rPr>
            </w:pPr>
            <w:r>
              <w:rPr>
                <w:rFonts w:ascii="Arial" w:cs="Arial" w:eastAsia="Arial" w:hAnsi="Arial"/>
                <w:sz w:val="8"/>
                <w:szCs w:val="8"/>
                <w:b w:val="1"/>
                <w:bCs w:val="1"/>
                <w:color w:val="FFFFFF"/>
              </w:rPr>
              <w:t>Quarter</w:t>
            </w:r>
          </w:p>
        </w:tc>
        <w:tc>
          <w:tcPr>
            <w:tcW w:w="1000" w:type="dxa"/>
            <w:vAlign w:val="bottom"/>
            <w:tcBorders>
              <w:top w:val="single" w:sz="8" w:color="auto"/>
              <w:right w:val="single" w:sz="8" w:color="auto"/>
            </w:tcBorders>
            <w:shd w:val="clear" w:color="auto" w:fill="2AD2C9"/>
          </w:tcPr>
          <w:p>
            <w:pPr>
              <w:spacing w:after="0"/>
              <w:rPr>
                <w:sz w:val="8"/>
                <w:szCs w:val="8"/>
                <w:color w:val="auto"/>
              </w:rPr>
            </w:pPr>
          </w:p>
        </w:tc>
        <w:tc>
          <w:tcPr>
            <w:tcW w:w="940" w:type="dxa"/>
            <w:vAlign w:val="bottom"/>
            <w:tcBorders>
              <w:top w:val="single" w:sz="8" w:color="auto"/>
            </w:tcBorders>
            <w:shd w:val="clear" w:color="auto" w:fill="2AD2C9"/>
          </w:tcPr>
          <w:p>
            <w:pPr>
              <w:ind w:left="560"/>
              <w:spacing w:after="0"/>
              <w:rPr>
                <w:sz w:val="20"/>
                <w:szCs w:val="20"/>
                <w:color w:val="auto"/>
              </w:rPr>
            </w:pPr>
            <w:r>
              <w:rPr>
                <w:rFonts w:ascii="Arial" w:cs="Arial" w:eastAsia="Arial" w:hAnsi="Arial"/>
                <w:sz w:val="8"/>
                <w:szCs w:val="8"/>
                <w:b w:val="1"/>
                <w:bCs w:val="1"/>
                <w:color w:val="FFFFFF"/>
                <w:w w:val="96"/>
              </w:rPr>
              <w:t>% change</w:t>
            </w:r>
          </w:p>
        </w:tc>
        <w:tc>
          <w:tcPr>
            <w:tcW w:w="580" w:type="dxa"/>
            <w:vAlign w:val="bottom"/>
            <w:tcBorders>
              <w:top w:val="single" w:sz="8" w:color="auto"/>
              <w:right w:val="single" w:sz="8" w:color="auto"/>
            </w:tcBorders>
            <w:shd w:val="clear" w:color="auto" w:fill="2AD2C9"/>
          </w:tcPr>
          <w:p>
            <w:pPr>
              <w:spacing w:after="0"/>
              <w:rPr>
                <w:sz w:val="8"/>
                <w:szCs w:val="8"/>
                <w:color w:val="auto"/>
              </w:rPr>
            </w:pPr>
          </w:p>
        </w:tc>
        <w:tc>
          <w:tcPr>
            <w:tcW w:w="560" w:type="dxa"/>
            <w:vAlign w:val="bottom"/>
            <w:tcBorders>
              <w:top w:val="single" w:sz="8" w:color="auto"/>
            </w:tcBorders>
            <w:shd w:val="clear" w:color="auto" w:fill="2AD2C9"/>
          </w:tcPr>
          <w:p>
            <w:pPr>
              <w:spacing w:after="0"/>
              <w:rPr>
                <w:sz w:val="8"/>
                <w:szCs w:val="8"/>
                <w:color w:val="auto"/>
              </w:rPr>
            </w:pPr>
          </w:p>
        </w:tc>
        <w:tc>
          <w:tcPr>
            <w:tcW w:w="940" w:type="dxa"/>
            <w:vAlign w:val="bottom"/>
            <w:tcBorders>
              <w:top w:val="single" w:sz="8" w:color="auto"/>
              <w:right w:val="single" w:sz="8" w:color="auto"/>
            </w:tcBorders>
            <w:shd w:val="clear" w:color="auto" w:fill="2AD2C9"/>
          </w:tcPr>
          <w:p>
            <w:pPr>
              <w:ind w:left="80"/>
              <w:spacing w:after="0"/>
              <w:rPr>
                <w:sz w:val="20"/>
                <w:szCs w:val="20"/>
                <w:color w:val="auto"/>
              </w:rPr>
            </w:pPr>
            <w:r>
              <w:rPr>
                <w:rFonts w:ascii="Arial" w:cs="Arial" w:eastAsia="Arial" w:hAnsi="Arial"/>
                <w:sz w:val="8"/>
                <w:szCs w:val="8"/>
                <w:b w:val="1"/>
                <w:bCs w:val="1"/>
                <w:color w:val="FFFFFF"/>
              </w:rPr>
              <w:t>Up to</w:t>
            </w:r>
          </w:p>
        </w:tc>
        <w:tc>
          <w:tcPr>
            <w:tcW w:w="96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w w:val="98"/>
              </w:rPr>
              <w:t>% Change</w:t>
            </w:r>
          </w:p>
        </w:tc>
        <w:tc>
          <w:tcPr>
            <w:tcW w:w="220" w:type="dxa"/>
            <w:vAlign w:val="bottom"/>
          </w:tcPr>
          <w:p>
            <w:pPr>
              <w:spacing w:after="0"/>
              <w:rPr>
                <w:sz w:val="8"/>
                <w:szCs w:val="8"/>
                <w:color w:val="auto"/>
              </w:rPr>
            </w:pPr>
          </w:p>
        </w:tc>
      </w:tr>
      <w:tr>
        <w:trPr>
          <w:trHeight w:val="103"/>
        </w:trPr>
        <w:tc>
          <w:tcPr>
            <w:tcW w:w="240" w:type="dxa"/>
            <w:vAlign w:val="bottom"/>
            <w:tcBorders>
              <w:right w:val="single" w:sz="8" w:color="auto"/>
            </w:tcBorders>
          </w:tcPr>
          <w:p>
            <w:pPr>
              <w:spacing w:after="0"/>
              <w:rPr>
                <w:sz w:val="8"/>
                <w:szCs w:val="8"/>
                <w:color w:val="auto"/>
              </w:rPr>
            </w:pPr>
          </w:p>
        </w:tc>
        <w:tc>
          <w:tcPr>
            <w:tcW w:w="3900" w:type="dxa"/>
            <w:vAlign w:val="bottom"/>
            <w:tcBorders>
              <w:bottom w:val="single" w:sz="8" w:color="auto"/>
              <w:right w:val="single" w:sz="8" w:color="auto"/>
            </w:tcBorders>
            <w:shd w:val="clear" w:color="auto" w:fill="2AD2C9"/>
          </w:tcPr>
          <w:p>
            <w:pPr>
              <w:spacing w:after="0"/>
              <w:rPr>
                <w:sz w:val="8"/>
                <w:szCs w:val="8"/>
                <w:color w:val="auto"/>
              </w:rPr>
            </w:pPr>
          </w:p>
        </w:tc>
        <w:tc>
          <w:tcPr>
            <w:tcW w:w="9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rPr>
              <w:t>2Q23</w:t>
            </w:r>
          </w:p>
        </w:tc>
        <w:tc>
          <w:tcPr>
            <w:tcW w:w="9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rPr>
              <w:t>1Q24</w:t>
            </w:r>
          </w:p>
        </w:tc>
        <w:tc>
          <w:tcPr>
            <w:tcW w:w="10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rPr>
              <w:t>2Q24</w:t>
            </w:r>
          </w:p>
        </w:tc>
        <w:tc>
          <w:tcPr>
            <w:tcW w:w="940" w:type="dxa"/>
            <w:vAlign w:val="bottom"/>
            <w:tcBorders>
              <w:bottom w:val="single" w:sz="8" w:color="auto"/>
            </w:tcBorders>
            <w:shd w:val="clear" w:color="auto" w:fill="2AD2C9"/>
          </w:tcPr>
          <w:p>
            <w:pPr>
              <w:jc w:val="center"/>
              <w:ind w:right="159"/>
              <w:spacing w:after="0"/>
              <w:rPr>
                <w:sz w:val="20"/>
                <w:szCs w:val="20"/>
                <w:color w:val="auto"/>
              </w:rPr>
            </w:pPr>
            <w:r>
              <w:rPr>
                <w:rFonts w:ascii="Arial" w:cs="Arial" w:eastAsia="Arial" w:hAnsi="Arial"/>
                <w:sz w:val="8"/>
                <w:szCs w:val="8"/>
                <w:b w:val="1"/>
                <w:bCs w:val="1"/>
                <w:color w:val="FFFFFF"/>
              </w:rPr>
              <w:t>QoQ</w:t>
            </w:r>
          </w:p>
        </w:tc>
        <w:tc>
          <w:tcPr>
            <w:tcW w:w="580" w:type="dxa"/>
            <w:vAlign w:val="bottom"/>
            <w:tcBorders>
              <w:bottom w:val="single" w:sz="8" w:color="auto"/>
              <w:right w:val="single" w:sz="8" w:color="auto"/>
            </w:tcBorders>
            <w:shd w:val="clear" w:color="auto" w:fill="2AD2C9"/>
          </w:tcPr>
          <w:p>
            <w:pPr>
              <w:jc w:val="center"/>
              <w:ind w:right="179"/>
              <w:spacing w:after="0"/>
              <w:rPr>
                <w:sz w:val="20"/>
                <w:szCs w:val="20"/>
                <w:color w:val="auto"/>
              </w:rPr>
            </w:pPr>
            <w:r>
              <w:rPr>
                <w:rFonts w:ascii="Arial" w:cs="Arial" w:eastAsia="Arial" w:hAnsi="Arial"/>
                <w:sz w:val="8"/>
                <w:szCs w:val="8"/>
                <w:b w:val="1"/>
                <w:bCs w:val="1"/>
                <w:color w:val="FFFFFF"/>
              </w:rPr>
              <w:t>YoY</w:t>
            </w:r>
          </w:p>
        </w:tc>
        <w:tc>
          <w:tcPr>
            <w:tcW w:w="560" w:type="dxa"/>
            <w:vAlign w:val="bottom"/>
            <w:tcBorders>
              <w:bottom w:val="single" w:sz="8" w:color="auto"/>
            </w:tcBorders>
            <w:shd w:val="clear" w:color="auto" w:fill="2AD2C9"/>
          </w:tcPr>
          <w:p>
            <w:pPr>
              <w:jc w:val="center"/>
              <w:ind w:left="119"/>
              <w:spacing w:after="0"/>
              <w:rPr>
                <w:sz w:val="20"/>
                <w:szCs w:val="20"/>
                <w:color w:val="auto"/>
              </w:rPr>
            </w:pPr>
            <w:r>
              <w:rPr>
                <w:rFonts w:ascii="Arial" w:cs="Arial" w:eastAsia="Arial" w:hAnsi="Arial"/>
                <w:sz w:val="8"/>
                <w:szCs w:val="8"/>
                <w:b w:val="1"/>
                <w:bCs w:val="1"/>
                <w:color w:val="FFFFFF"/>
              </w:rPr>
              <w:t>1H23</w:t>
            </w:r>
          </w:p>
        </w:tc>
        <w:tc>
          <w:tcPr>
            <w:tcW w:w="940" w:type="dxa"/>
            <w:vAlign w:val="bottom"/>
            <w:tcBorders>
              <w:bottom w:val="single" w:sz="8" w:color="auto"/>
              <w:right w:val="single" w:sz="8" w:color="auto"/>
            </w:tcBorders>
            <w:shd w:val="clear" w:color="auto" w:fill="2AD2C9"/>
          </w:tcPr>
          <w:p>
            <w:pPr>
              <w:jc w:val="center"/>
              <w:ind w:left="99"/>
              <w:spacing w:after="0"/>
              <w:rPr>
                <w:sz w:val="20"/>
                <w:szCs w:val="20"/>
                <w:color w:val="auto"/>
              </w:rPr>
            </w:pPr>
            <w:r>
              <w:rPr>
                <w:rFonts w:ascii="Arial" w:cs="Arial" w:eastAsia="Arial" w:hAnsi="Arial"/>
                <w:sz w:val="8"/>
                <w:szCs w:val="8"/>
                <w:b w:val="1"/>
                <w:bCs w:val="1"/>
                <w:color w:val="FFFFFF"/>
              </w:rPr>
              <w:t>1H24</w:t>
            </w:r>
          </w:p>
        </w:tc>
        <w:tc>
          <w:tcPr>
            <w:tcW w:w="9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rPr>
              <w:t>1H24 / 1H23</w:t>
            </w:r>
          </w:p>
        </w:tc>
        <w:tc>
          <w:tcPr>
            <w:tcW w:w="220" w:type="dxa"/>
            <w:vAlign w:val="bottom"/>
          </w:tcPr>
          <w:p>
            <w:pPr>
              <w:spacing w:after="0"/>
              <w:rPr>
                <w:sz w:val="8"/>
                <w:szCs w:val="8"/>
                <w:color w:val="auto"/>
              </w:rPr>
            </w:pPr>
          </w:p>
        </w:tc>
      </w:tr>
      <w:tr>
        <w:trPr>
          <w:trHeight w:val="72"/>
        </w:trPr>
        <w:tc>
          <w:tcPr>
            <w:tcW w:w="240" w:type="dxa"/>
            <w:vAlign w:val="bottom"/>
            <w:tcBorders>
              <w:right w:val="single" w:sz="8" w:color="auto"/>
            </w:tcBorders>
          </w:tcPr>
          <w:p>
            <w:pPr>
              <w:spacing w:after="0"/>
              <w:rPr>
                <w:sz w:val="6"/>
                <w:szCs w:val="6"/>
                <w:color w:val="auto"/>
              </w:rPr>
            </w:pPr>
          </w:p>
        </w:tc>
        <w:tc>
          <w:tcPr>
            <w:tcW w:w="3900" w:type="dxa"/>
            <w:vAlign w:val="bottom"/>
            <w:tcBorders>
              <w:right w:val="single" w:sz="8" w:color="auto"/>
            </w:tcBorders>
          </w:tcPr>
          <w:p>
            <w:pPr>
              <w:ind w:left="20"/>
              <w:spacing w:after="0" w:line="73" w:lineRule="exact"/>
              <w:rPr>
                <w:sz w:val="20"/>
                <w:szCs w:val="20"/>
                <w:color w:val="auto"/>
              </w:rPr>
            </w:pPr>
            <w:r>
              <w:rPr>
                <w:rFonts w:ascii="Arial" w:cs="Arial" w:eastAsia="Arial" w:hAnsi="Arial"/>
                <w:sz w:val="8"/>
                <w:szCs w:val="8"/>
                <w:color w:val="auto"/>
              </w:rPr>
              <w:t>Efficiency ratio</w:t>
            </w:r>
          </w:p>
        </w:tc>
        <w:tc>
          <w:tcPr>
            <w:tcW w:w="960" w:type="dxa"/>
            <w:vAlign w:val="bottom"/>
          </w:tcPr>
          <w:p>
            <w:pPr>
              <w:jc w:val="center"/>
              <w:spacing w:after="0" w:line="73" w:lineRule="exact"/>
              <w:rPr>
                <w:sz w:val="20"/>
                <w:szCs w:val="20"/>
                <w:color w:val="auto"/>
              </w:rPr>
            </w:pPr>
            <w:r>
              <w:rPr>
                <w:rFonts w:ascii="Arial" w:cs="Arial" w:eastAsia="Arial" w:hAnsi="Arial"/>
                <w:sz w:val="8"/>
                <w:szCs w:val="8"/>
                <w:color w:val="auto"/>
              </w:rPr>
              <w:t>60.7%</w:t>
            </w:r>
          </w:p>
        </w:tc>
        <w:tc>
          <w:tcPr>
            <w:tcW w:w="980" w:type="dxa"/>
            <w:vAlign w:val="bottom"/>
          </w:tcPr>
          <w:p>
            <w:pPr>
              <w:jc w:val="center"/>
              <w:spacing w:after="0" w:line="73" w:lineRule="exact"/>
              <w:rPr>
                <w:sz w:val="20"/>
                <w:szCs w:val="20"/>
                <w:color w:val="auto"/>
              </w:rPr>
            </w:pPr>
            <w:r>
              <w:rPr>
                <w:rFonts w:ascii="Arial" w:cs="Arial" w:eastAsia="Arial" w:hAnsi="Arial"/>
                <w:sz w:val="8"/>
                <w:szCs w:val="8"/>
                <w:color w:val="auto"/>
                <w:w w:val="96"/>
              </w:rPr>
              <w:t>58.1%</w:t>
            </w:r>
          </w:p>
        </w:tc>
        <w:tc>
          <w:tcPr>
            <w:tcW w:w="1000" w:type="dxa"/>
            <w:vAlign w:val="bottom"/>
            <w:tcBorders>
              <w:right w:val="single" w:sz="8" w:color="auto"/>
            </w:tcBorders>
          </w:tcPr>
          <w:p>
            <w:pPr>
              <w:jc w:val="center"/>
              <w:spacing w:after="0" w:line="73" w:lineRule="exact"/>
              <w:rPr>
                <w:sz w:val="20"/>
                <w:szCs w:val="20"/>
                <w:color w:val="auto"/>
              </w:rPr>
            </w:pPr>
            <w:r>
              <w:rPr>
                <w:rFonts w:ascii="Arial" w:cs="Arial" w:eastAsia="Arial" w:hAnsi="Arial"/>
                <w:sz w:val="8"/>
                <w:szCs w:val="8"/>
                <w:color w:val="auto"/>
                <w:w w:val="96"/>
              </w:rPr>
              <w:t>58.2%</w:t>
            </w:r>
          </w:p>
        </w:tc>
        <w:tc>
          <w:tcPr>
            <w:tcW w:w="940" w:type="dxa"/>
            <w:vAlign w:val="bottom"/>
          </w:tcPr>
          <w:p>
            <w:pPr>
              <w:jc w:val="center"/>
              <w:ind w:right="179"/>
              <w:spacing w:after="0" w:line="73" w:lineRule="exact"/>
              <w:rPr>
                <w:sz w:val="20"/>
                <w:szCs w:val="20"/>
                <w:color w:val="auto"/>
              </w:rPr>
            </w:pPr>
            <w:r>
              <w:rPr>
                <w:rFonts w:ascii="Arial" w:cs="Arial" w:eastAsia="Arial" w:hAnsi="Arial"/>
                <w:sz w:val="8"/>
                <w:szCs w:val="8"/>
                <w:color w:val="auto"/>
                <w:w w:val="99"/>
              </w:rPr>
              <w:t>14 bps</w:t>
            </w:r>
          </w:p>
        </w:tc>
        <w:tc>
          <w:tcPr>
            <w:tcW w:w="580" w:type="dxa"/>
            <w:vAlign w:val="bottom"/>
            <w:tcBorders>
              <w:right w:val="single" w:sz="8" w:color="auto"/>
            </w:tcBorders>
          </w:tcPr>
          <w:p>
            <w:pPr>
              <w:jc w:val="center"/>
              <w:ind w:right="179"/>
              <w:spacing w:after="0" w:line="73" w:lineRule="exact"/>
              <w:rPr>
                <w:sz w:val="20"/>
                <w:szCs w:val="20"/>
                <w:color w:val="auto"/>
              </w:rPr>
            </w:pPr>
            <w:r>
              <w:rPr>
                <w:rFonts w:ascii="Arial" w:cs="Arial" w:eastAsia="Arial" w:hAnsi="Arial"/>
                <w:sz w:val="8"/>
                <w:szCs w:val="8"/>
                <w:color w:val="auto"/>
              </w:rPr>
              <w:t>-247 bps</w:t>
            </w:r>
          </w:p>
        </w:tc>
        <w:tc>
          <w:tcPr>
            <w:tcW w:w="560" w:type="dxa"/>
            <w:vAlign w:val="bottom"/>
          </w:tcPr>
          <w:p>
            <w:pPr>
              <w:jc w:val="center"/>
              <w:ind w:left="119"/>
              <w:spacing w:after="0" w:line="73" w:lineRule="exact"/>
              <w:rPr>
                <w:sz w:val="20"/>
                <w:szCs w:val="20"/>
                <w:color w:val="auto"/>
              </w:rPr>
            </w:pPr>
            <w:r>
              <w:rPr>
                <w:rFonts w:ascii="Arial" w:cs="Arial" w:eastAsia="Arial" w:hAnsi="Arial"/>
                <w:sz w:val="8"/>
                <w:szCs w:val="8"/>
                <w:color w:val="auto"/>
              </w:rPr>
              <w:t>60.5%</w:t>
            </w:r>
          </w:p>
        </w:tc>
        <w:tc>
          <w:tcPr>
            <w:tcW w:w="940" w:type="dxa"/>
            <w:vAlign w:val="bottom"/>
            <w:tcBorders>
              <w:right w:val="single" w:sz="8" w:color="auto"/>
            </w:tcBorders>
          </w:tcPr>
          <w:p>
            <w:pPr>
              <w:jc w:val="center"/>
              <w:ind w:left="119"/>
              <w:spacing w:after="0" w:line="73" w:lineRule="exact"/>
              <w:rPr>
                <w:sz w:val="20"/>
                <w:szCs w:val="20"/>
                <w:color w:val="auto"/>
              </w:rPr>
            </w:pPr>
            <w:r>
              <w:rPr>
                <w:rFonts w:ascii="Arial" w:cs="Arial" w:eastAsia="Arial" w:hAnsi="Arial"/>
                <w:sz w:val="8"/>
                <w:szCs w:val="8"/>
                <w:color w:val="auto"/>
                <w:w w:val="96"/>
              </w:rPr>
              <w:t>58.1%</w:t>
            </w:r>
          </w:p>
        </w:tc>
        <w:tc>
          <w:tcPr>
            <w:tcW w:w="960" w:type="dxa"/>
            <w:vAlign w:val="bottom"/>
            <w:tcBorders>
              <w:right w:val="single" w:sz="8" w:color="auto"/>
            </w:tcBorders>
          </w:tcPr>
          <w:p>
            <w:pPr>
              <w:jc w:val="center"/>
              <w:spacing w:after="0" w:line="73" w:lineRule="exact"/>
              <w:rPr>
                <w:sz w:val="20"/>
                <w:szCs w:val="20"/>
                <w:color w:val="auto"/>
              </w:rPr>
            </w:pPr>
            <w:r>
              <w:rPr>
                <w:rFonts w:ascii="Arial" w:cs="Arial" w:eastAsia="Arial" w:hAnsi="Arial"/>
                <w:sz w:val="8"/>
                <w:szCs w:val="8"/>
                <w:color w:val="auto"/>
              </w:rPr>
              <w:t>-233 bps</w:t>
            </w:r>
          </w:p>
        </w:tc>
        <w:tc>
          <w:tcPr>
            <w:tcW w:w="220" w:type="dxa"/>
            <w:vAlign w:val="bottom"/>
          </w:tcPr>
          <w:p>
            <w:pPr>
              <w:spacing w:after="0"/>
              <w:rPr>
                <w:sz w:val="6"/>
                <w:szCs w:val="6"/>
                <w:color w:val="auto"/>
              </w:rPr>
            </w:pPr>
          </w:p>
        </w:tc>
      </w:tr>
      <w:tr>
        <w:trPr>
          <w:trHeight w:val="93"/>
        </w:trPr>
        <w:tc>
          <w:tcPr>
            <w:tcW w:w="240" w:type="dxa"/>
            <w:vAlign w:val="bottom"/>
            <w:tcBorders>
              <w:right w:val="single" w:sz="8" w:color="auto"/>
            </w:tcBorders>
          </w:tcPr>
          <w:p>
            <w:pPr>
              <w:spacing w:after="0"/>
              <w:rPr>
                <w:sz w:val="8"/>
                <w:szCs w:val="8"/>
                <w:color w:val="auto"/>
              </w:rPr>
            </w:pP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ROAE</w:t>
            </w:r>
          </w:p>
        </w:tc>
        <w:tc>
          <w:tcPr>
            <w:tcW w:w="960" w:type="dxa"/>
            <w:vAlign w:val="bottom"/>
          </w:tcPr>
          <w:p>
            <w:pPr>
              <w:jc w:val="center"/>
              <w:spacing w:after="0"/>
              <w:rPr>
                <w:sz w:val="20"/>
                <w:szCs w:val="20"/>
                <w:color w:val="auto"/>
              </w:rPr>
            </w:pPr>
            <w:r>
              <w:rPr>
                <w:rFonts w:ascii="Arial" w:cs="Arial" w:eastAsia="Arial" w:hAnsi="Arial"/>
                <w:sz w:val="8"/>
                <w:szCs w:val="8"/>
                <w:color w:val="auto"/>
              </w:rPr>
              <w:t>10.1%</w:t>
            </w:r>
          </w:p>
        </w:tc>
        <w:tc>
          <w:tcPr>
            <w:tcW w:w="980" w:type="dxa"/>
            <w:vAlign w:val="bottom"/>
          </w:tcPr>
          <w:p>
            <w:pPr>
              <w:jc w:val="center"/>
              <w:spacing w:after="0"/>
              <w:rPr>
                <w:sz w:val="20"/>
                <w:szCs w:val="20"/>
                <w:color w:val="auto"/>
              </w:rPr>
            </w:pPr>
            <w:r>
              <w:rPr>
                <w:rFonts w:ascii="Arial" w:cs="Arial" w:eastAsia="Arial" w:hAnsi="Arial"/>
                <w:sz w:val="8"/>
                <w:szCs w:val="8"/>
                <w:color w:val="auto"/>
                <w:w w:val="98"/>
              </w:rPr>
              <w:t>9.3%</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6"/>
              </w:rPr>
              <w:t>13.8%</w:t>
            </w:r>
          </w:p>
        </w:tc>
        <w:tc>
          <w:tcPr>
            <w:tcW w:w="940" w:type="dxa"/>
            <w:vAlign w:val="bottom"/>
          </w:tcPr>
          <w:p>
            <w:pPr>
              <w:jc w:val="center"/>
              <w:ind w:right="159"/>
              <w:spacing w:after="0"/>
              <w:rPr>
                <w:sz w:val="20"/>
                <w:szCs w:val="20"/>
                <w:color w:val="auto"/>
              </w:rPr>
            </w:pPr>
            <w:r>
              <w:rPr>
                <w:rFonts w:ascii="Arial" w:cs="Arial" w:eastAsia="Arial" w:hAnsi="Arial"/>
                <w:sz w:val="8"/>
                <w:szCs w:val="8"/>
                <w:color w:val="auto"/>
              </w:rPr>
              <w:t>451 bps</w:t>
            </w:r>
          </w:p>
        </w:tc>
        <w:tc>
          <w:tcPr>
            <w:tcW w:w="580" w:type="dxa"/>
            <w:vAlign w:val="bottom"/>
            <w:tcBorders>
              <w:right w:val="single" w:sz="8" w:color="auto"/>
            </w:tcBorders>
          </w:tcPr>
          <w:p>
            <w:pPr>
              <w:jc w:val="center"/>
              <w:ind w:right="179"/>
              <w:spacing w:after="0"/>
              <w:rPr>
                <w:sz w:val="20"/>
                <w:szCs w:val="20"/>
                <w:color w:val="auto"/>
              </w:rPr>
            </w:pPr>
            <w:r>
              <w:rPr>
                <w:rFonts w:ascii="Arial" w:cs="Arial" w:eastAsia="Arial" w:hAnsi="Arial"/>
                <w:sz w:val="8"/>
                <w:szCs w:val="8"/>
                <w:color w:val="auto"/>
                <w:w w:val="98"/>
              </w:rPr>
              <w:t>370 bps</w:t>
            </w:r>
          </w:p>
        </w:tc>
        <w:tc>
          <w:tcPr>
            <w:tcW w:w="560" w:type="dxa"/>
            <w:vAlign w:val="bottom"/>
            <w:tcBorders>
              <w:bottom w:val="single" w:sz="8" w:color="auto"/>
            </w:tcBorders>
          </w:tcPr>
          <w:p>
            <w:pPr>
              <w:jc w:val="center"/>
              <w:ind w:left="119"/>
              <w:spacing w:after="0"/>
              <w:rPr>
                <w:sz w:val="20"/>
                <w:szCs w:val="20"/>
                <w:color w:val="auto"/>
              </w:rPr>
            </w:pPr>
            <w:r>
              <w:rPr>
                <w:rFonts w:ascii="Arial" w:cs="Arial" w:eastAsia="Arial" w:hAnsi="Arial"/>
                <w:sz w:val="8"/>
                <w:szCs w:val="8"/>
                <w:color w:val="auto"/>
              </w:rPr>
              <w:t>9.9%</w:t>
            </w:r>
          </w:p>
        </w:tc>
        <w:tc>
          <w:tcPr>
            <w:tcW w:w="940" w:type="dxa"/>
            <w:vAlign w:val="bottom"/>
            <w:tcBorders>
              <w:bottom w:val="single" w:sz="8" w:color="auto"/>
              <w:right w:val="single" w:sz="8" w:color="auto"/>
            </w:tcBorders>
          </w:tcPr>
          <w:p>
            <w:pPr>
              <w:jc w:val="center"/>
              <w:ind w:left="119"/>
              <w:spacing w:after="0"/>
              <w:rPr>
                <w:sz w:val="20"/>
                <w:szCs w:val="20"/>
                <w:color w:val="auto"/>
              </w:rPr>
            </w:pPr>
            <w:r>
              <w:rPr>
                <w:rFonts w:ascii="Arial" w:cs="Arial" w:eastAsia="Arial" w:hAnsi="Arial"/>
                <w:sz w:val="8"/>
                <w:szCs w:val="8"/>
                <w:color w:val="auto"/>
                <w:w w:val="96"/>
              </w:rPr>
              <w:t>11.4%</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154 bps</w:t>
            </w:r>
          </w:p>
        </w:tc>
        <w:tc>
          <w:tcPr>
            <w:tcW w:w="220" w:type="dxa"/>
            <w:vAlign w:val="bottom"/>
          </w:tcPr>
          <w:p>
            <w:pPr>
              <w:spacing w:after="0"/>
              <w:rPr>
                <w:sz w:val="8"/>
                <w:szCs w:val="8"/>
                <w:color w:val="auto"/>
              </w:rPr>
            </w:pPr>
          </w:p>
        </w:tc>
      </w:tr>
      <w:tr>
        <w:trPr>
          <w:trHeight w:val="82"/>
        </w:trPr>
        <w:tc>
          <w:tcPr>
            <w:tcW w:w="240" w:type="dxa"/>
            <w:vAlign w:val="bottom"/>
            <w:tcBorders>
              <w:right w:val="single" w:sz="8" w:color="auto"/>
            </w:tcBorders>
          </w:tcPr>
          <w:p>
            <w:pPr>
              <w:spacing w:after="0"/>
              <w:rPr>
                <w:sz w:val="7"/>
                <w:szCs w:val="7"/>
                <w:color w:val="auto"/>
              </w:rPr>
            </w:pPr>
          </w:p>
        </w:tc>
        <w:tc>
          <w:tcPr>
            <w:tcW w:w="3900" w:type="dxa"/>
            <w:vAlign w:val="bottom"/>
            <w:tcBorders>
              <w:right w:val="single" w:sz="8" w:color="auto"/>
            </w:tcBorders>
          </w:tcPr>
          <w:p>
            <w:pPr>
              <w:ind w:left="20"/>
              <w:spacing w:after="0" w:line="83" w:lineRule="exact"/>
              <w:rPr>
                <w:sz w:val="20"/>
                <w:szCs w:val="20"/>
                <w:color w:val="auto"/>
              </w:rPr>
            </w:pPr>
            <w:r>
              <w:rPr>
                <w:rFonts w:ascii="Arial" w:cs="Arial" w:eastAsia="Arial" w:hAnsi="Arial"/>
                <w:sz w:val="8"/>
                <w:szCs w:val="8"/>
                <w:color w:val="auto"/>
              </w:rPr>
              <w:t>L/D ratio</w:t>
            </w:r>
          </w:p>
        </w:tc>
        <w:tc>
          <w:tcPr>
            <w:tcW w:w="960" w:type="dxa"/>
            <w:vAlign w:val="bottom"/>
          </w:tcPr>
          <w:p>
            <w:pPr>
              <w:jc w:val="center"/>
              <w:spacing w:after="0" w:line="83" w:lineRule="exact"/>
              <w:rPr>
                <w:sz w:val="20"/>
                <w:szCs w:val="20"/>
                <w:color w:val="auto"/>
              </w:rPr>
            </w:pPr>
            <w:r>
              <w:rPr>
                <w:rFonts w:ascii="Arial" w:cs="Arial" w:eastAsia="Arial" w:hAnsi="Arial"/>
                <w:sz w:val="8"/>
                <w:szCs w:val="8"/>
                <w:color w:val="auto"/>
              </w:rPr>
              <w:t>85.4%</w:t>
            </w:r>
          </w:p>
        </w:tc>
        <w:tc>
          <w:tcPr>
            <w:tcW w:w="980" w:type="dxa"/>
            <w:vAlign w:val="bottom"/>
          </w:tcPr>
          <w:p>
            <w:pPr>
              <w:jc w:val="center"/>
              <w:spacing w:after="0" w:line="83" w:lineRule="exact"/>
              <w:rPr>
                <w:sz w:val="20"/>
                <w:szCs w:val="20"/>
                <w:color w:val="auto"/>
              </w:rPr>
            </w:pPr>
            <w:r>
              <w:rPr>
                <w:rFonts w:ascii="Arial" w:cs="Arial" w:eastAsia="Arial" w:hAnsi="Arial"/>
                <w:sz w:val="8"/>
                <w:szCs w:val="8"/>
                <w:color w:val="auto"/>
                <w:w w:val="96"/>
              </w:rPr>
              <w:t>83.0%</w:t>
            </w:r>
          </w:p>
        </w:tc>
        <w:tc>
          <w:tcPr>
            <w:tcW w:w="1000" w:type="dxa"/>
            <w:vAlign w:val="bottom"/>
            <w:tcBorders>
              <w:right w:val="single" w:sz="8" w:color="auto"/>
            </w:tcBorders>
          </w:tcPr>
          <w:p>
            <w:pPr>
              <w:jc w:val="center"/>
              <w:spacing w:after="0" w:line="83" w:lineRule="exact"/>
              <w:rPr>
                <w:sz w:val="20"/>
                <w:szCs w:val="20"/>
                <w:color w:val="auto"/>
              </w:rPr>
            </w:pPr>
            <w:r>
              <w:rPr>
                <w:rFonts w:ascii="Arial" w:cs="Arial" w:eastAsia="Arial" w:hAnsi="Arial"/>
                <w:sz w:val="8"/>
                <w:szCs w:val="8"/>
                <w:color w:val="auto"/>
                <w:w w:val="96"/>
              </w:rPr>
              <w:t>83.0%</w:t>
            </w:r>
          </w:p>
        </w:tc>
        <w:tc>
          <w:tcPr>
            <w:tcW w:w="940" w:type="dxa"/>
            <w:vAlign w:val="bottom"/>
          </w:tcPr>
          <w:p>
            <w:pPr>
              <w:jc w:val="center"/>
              <w:ind w:right="179"/>
              <w:spacing w:after="0" w:line="83" w:lineRule="exact"/>
              <w:rPr>
                <w:sz w:val="20"/>
                <w:szCs w:val="20"/>
                <w:color w:val="auto"/>
              </w:rPr>
            </w:pPr>
            <w:r>
              <w:rPr>
                <w:rFonts w:ascii="Arial" w:cs="Arial" w:eastAsia="Arial" w:hAnsi="Arial"/>
                <w:sz w:val="8"/>
                <w:szCs w:val="8"/>
                <w:color w:val="auto"/>
              </w:rPr>
              <w:t>-7 bps</w:t>
            </w:r>
          </w:p>
        </w:tc>
        <w:tc>
          <w:tcPr>
            <w:tcW w:w="580" w:type="dxa"/>
            <w:vAlign w:val="bottom"/>
            <w:tcBorders>
              <w:right w:val="single" w:sz="8" w:color="auto"/>
            </w:tcBorders>
          </w:tcPr>
          <w:p>
            <w:pPr>
              <w:jc w:val="center"/>
              <w:ind w:right="179"/>
              <w:spacing w:after="0" w:line="83" w:lineRule="exact"/>
              <w:rPr>
                <w:sz w:val="20"/>
                <w:szCs w:val="20"/>
                <w:color w:val="auto"/>
              </w:rPr>
            </w:pPr>
            <w:r>
              <w:rPr>
                <w:rFonts w:ascii="Arial" w:cs="Arial" w:eastAsia="Arial" w:hAnsi="Arial"/>
                <w:sz w:val="8"/>
                <w:szCs w:val="8"/>
                <w:color w:val="auto"/>
              </w:rPr>
              <w:t>-246 bps</w:t>
            </w:r>
          </w:p>
        </w:tc>
        <w:tc>
          <w:tcPr>
            <w:tcW w:w="560" w:type="dxa"/>
            <w:vAlign w:val="bottom"/>
          </w:tcPr>
          <w:p>
            <w:pPr>
              <w:spacing w:after="0"/>
              <w:rPr>
                <w:sz w:val="7"/>
                <w:szCs w:val="7"/>
                <w:color w:val="auto"/>
              </w:rPr>
            </w:pPr>
          </w:p>
        </w:tc>
        <w:tc>
          <w:tcPr>
            <w:tcW w:w="94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r>
      <w:tr>
        <w:trPr>
          <w:trHeight w:val="93"/>
        </w:trPr>
        <w:tc>
          <w:tcPr>
            <w:tcW w:w="240" w:type="dxa"/>
            <w:vAlign w:val="bottom"/>
            <w:tcBorders>
              <w:right w:val="single" w:sz="8" w:color="auto"/>
            </w:tcBorders>
          </w:tcPr>
          <w:p>
            <w:pPr>
              <w:spacing w:after="0"/>
              <w:rPr>
                <w:sz w:val="8"/>
                <w:szCs w:val="8"/>
                <w:color w:val="auto"/>
              </w:rPr>
            </w:pP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IOL ratio</w:t>
            </w:r>
          </w:p>
        </w:tc>
        <w:tc>
          <w:tcPr>
            <w:tcW w:w="960" w:type="dxa"/>
            <w:vAlign w:val="bottom"/>
          </w:tcPr>
          <w:p>
            <w:pPr>
              <w:jc w:val="center"/>
              <w:spacing w:after="0"/>
              <w:rPr>
                <w:sz w:val="20"/>
                <w:szCs w:val="20"/>
                <w:color w:val="auto"/>
              </w:rPr>
            </w:pPr>
            <w:r>
              <w:rPr>
                <w:rFonts w:ascii="Arial" w:cs="Arial" w:eastAsia="Arial" w:hAnsi="Arial"/>
                <w:sz w:val="8"/>
                <w:szCs w:val="8"/>
                <w:color w:val="auto"/>
              </w:rPr>
              <w:t>2.7%</w:t>
            </w:r>
          </w:p>
        </w:tc>
        <w:tc>
          <w:tcPr>
            <w:tcW w:w="980" w:type="dxa"/>
            <w:vAlign w:val="bottom"/>
          </w:tcPr>
          <w:p>
            <w:pPr>
              <w:jc w:val="center"/>
              <w:spacing w:after="0"/>
              <w:rPr>
                <w:sz w:val="20"/>
                <w:szCs w:val="20"/>
                <w:color w:val="auto"/>
              </w:rPr>
            </w:pPr>
            <w:r>
              <w:rPr>
                <w:rFonts w:ascii="Arial" w:cs="Arial" w:eastAsia="Arial" w:hAnsi="Arial"/>
                <w:sz w:val="8"/>
                <w:szCs w:val="8"/>
                <w:color w:val="auto"/>
                <w:w w:val="98"/>
              </w:rPr>
              <w:t>2.6%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2.8%</w:t>
            </w:r>
          </w:p>
        </w:tc>
        <w:tc>
          <w:tcPr>
            <w:tcW w:w="940" w:type="dxa"/>
            <w:vAlign w:val="bottom"/>
          </w:tcPr>
          <w:p>
            <w:pPr>
              <w:jc w:val="center"/>
              <w:ind w:right="179"/>
              <w:spacing w:after="0"/>
              <w:rPr>
                <w:sz w:val="20"/>
                <w:szCs w:val="20"/>
                <w:color w:val="auto"/>
              </w:rPr>
            </w:pPr>
            <w:r>
              <w:rPr>
                <w:rFonts w:ascii="Arial" w:cs="Arial" w:eastAsia="Arial" w:hAnsi="Arial"/>
                <w:sz w:val="8"/>
                <w:szCs w:val="8"/>
                <w:color w:val="auto"/>
                <w:w w:val="99"/>
              </w:rPr>
              <w:t>20 bps</w:t>
            </w:r>
          </w:p>
        </w:tc>
        <w:tc>
          <w:tcPr>
            <w:tcW w:w="580" w:type="dxa"/>
            <w:vAlign w:val="bottom"/>
            <w:tcBorders>
              <w:right w:val="single" w:sz="8" w:color="auto"/>
            </w:tcBorders>
          </w:tcPr>
          <w:p>
            <w:pPr>
              <w:jc w:val="center"/>
              <w:ind w:right="179"/>
              <w:spacing w:after="0"/>
              <w:rPr>
                <w:sz w:val="20"/>
                <w:szCs w:val="20"/>
                <w:color w:val="auto"/>
              </w:rPr>
            </w:pPr>
            <w:r>
              <w:rPr>
                <w:rFonts w:ascii="Arial" w:cs="Arial" w:eastAsia="Arial" w:hAnsi="Arial"/>
                <w:sz w:val="8"/>
                <w:szCs w:val="8"/>
                <w:color w:val="auto"/>
                <w:w w:val="99"/>
              </w:rPr>
              <w:t>10 bps</w:t>
            </w: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93"/>
        </w:trPr>
        <w:tc>
          <w:tcPr>
            <w:tcW w:w="240" w:type="dxa"/>
            <w:vAlign w:val="bottom"/>
            <w:tcBorders>
              <w:right w:val="single" w:sz="8" w:color="auto"/>
            </w:tcBorders>
          </w:tcPr>
          <w:p>
            <w:pPr>
              <w:spacing w:after="0"/>
              <w:rPr>
                <w:sz w:val="8"/>
                <w:szCs w:val="8"/>
                <w:color w:val="auto"/>
              </w:rPr>
            </w:pP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NPL ratio</w:t>
            </w:r>
          </w:p>
        </w:tc>
        <w:tc>
          <w:tcPr>
            <w:tcW w:w="960" w:type="dxa"/>
            <w:vAlign w:val="bottom"/>
          </w:tcPr>
          <w:p>
            <w:pPr>
              <w:jc w:val="center"/>
              <w:spacing w:after="0"/>
              <w:rPr>
                <w:sz w:val="20"/>
                <w:szCs w:val="20"/>
                <w:color w:val="auto"/>
              </w:rPr>
            </w:pPr>
            <w:r>
              <w:rPr>
                <w:rFonts w:ascii="Arial" w:cs="Arial" w:eastAsia="Arial" w:hAnsi="Arial"/>
                <w:sz w:val="8"/>
                <w:szCs w:val="8"/>
                <w:color w:val="auto"/>
              </w:rPr>
              <w:t>3.0%</w:t>
            </w:r>
          </w:p>
        </w:tc>
        <w:tc>
          <w:tcPr>
            <w:tcW w:w="980" w:type="dxa"/>
            <w:vAlign w:val="bottom"/>
          </w:tcPr>
          <w:p>
            <w:pPr>
              <w:jc w:val="center"/>
              <w:spacing w:after="0"/>
              <w:rPr>
                <w:sz w:val="20"/>
                <w:szCs w:val="20"/>
                <w:color w:val="auto"/>
              </w:rPr>
            </w:pPr>
            <w:r>
              <w:rPr>
                <w:rFonts w:ascii="Arial" w:cs="Arial" w:eastAsia="Arial" w:hAnsi="Arial"/>
                <w:sz w:val="8"/>
                <w:szCs w:val="8"/>
                <w:color w:val="auto"/>
                <w:w w:val="98"/>
              </w:rPr>
              <w:t>3.1%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8"/>
              </w:rPr>
              <w:t>3.3%</w:t>
            </w:r>
          </w:p>
        </w:tc>
        <w:tc>
          <w:tcPr>
            <w:tcW w:w="940" w:type="dxa"/>
            <w:vAlign w:val="bottom"/>
          </w:tcPr>
          <w:p>
            <w:pPr>
              <w:jc w:val="center"/>
              <w:ind w:right="179"/>
              <w:spacing w:after="0"/>
              <w:rPr>
                <w:sz w:val="20"/>
                <w:szCs w:val="20"/>
                <w:color w:val="auto"/>
              </w:rPr>
            </w:pPr>
            <w:r>
              <w:rPr>
                <w:rFonts w:ascii="Arial" w:cs="Arial" w:eastAsia="Arial" w:hAnsi="Arial"/>
                <w:sz w:val="8"/>
                <w:szCs w:val="8"/>
                <w:color w:val="auto"/>
                <w:w w:val="99"/>
              </w:rPr>
              <w:t>17 bps</w:t>
            </w:r>
          </w:p>
        </w:tc>
        <w:tc>
          <w:tcPr>
            <w:tcW w:w="580" w:type="dxa"/>
            <w:vAlign w:val="bottom"/>
            <w:tcBorders>
              <w:right w:val="single" w:sz="8" w:color="auto"/>
            </w:tcBorders>
          </w:tcPr>
          <w:p>
            <w:pPr>
              <w:jc w:val="center"/>
              <w:ind w:right="179"/>
              <w:spacing w:after="0"/>
              <w:rPr>
                <w:sz w:val="20"/>
                <w:szCs w:val="20"/>
                <w:color w:val="auto"/>
              </w:rPr>
            </w:pPr>
            <w:r>
              <w:rPr>
                <w:rFonts w:ascii="Arial" w:cs="Arial" w:eastAsia="Arial" w:hAnsi="Arial"/>
                <w:sz w:val="8"/>
                <w:szCs w:val="8"/>
                <w:color w:val="auto"/>
                <w:w w:val="99"/>
              </w:rPr>
              <w:t>31 bps</w:t>
            </w: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93"/>
        </w:trPr>
        <w:tc>
          <w:tcPr>
            <w:tcW w:w="240" w:type="dxa"/>
            <w:vAlign w:val="bottom"/>
            <w:tcBorders>
              <w:right w:val="single" w:sz="8" w:color="auto"/>
            </w:tcBorders>
          </w:tcPr>
          <w:p>
            <w:pPr>
              <w:spacing w:after="0"/>
              <w:rPr>
                <w:sz w:val="8"/>
                <w:szCs w:val="8"/>
                <w:color w:val="auto"/>
              </w:rPr>
            </w:pP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Coverage of IOLs</w:t>
            </w:r>
          </w:p>
        </w:tc>
        <w:tc>
          <w:tcPr>
            <w:tcW w:w="960" w:type="dxa"/>
            <w:vAlign w:val="bottom"/>
          </w:tcPr>
          <w:p>
            <w:pPr>
              <w:jc w:val="center"/>
              <w:spacing w:after="0"/>
              <w:rPr>
                <w:sz w:val="20"/>
                <w:szCs w:val="20"/>
                <w:color w:val="auto"/>
              </w:rPr>
            </w:pPr>
            <w:r>
              <w:rPr>
                <w:rFonts w:ascii="Arial" w:cs="Arial" w:eastAsia="Arial" w:hAnsi="Arial"/>
                <w:sz w:val="8"/>
                <w:szCs w:val="8"/>
                <w:color w:val="auto"/>
              </w:rPr>
              <w:t>149.5%</w:t>
            </w:r>
          </w:p>
        </w:tc>
        <w:tc>
          <w:tcPr>
            <w:tcW w:w="980" w:type="dxa"/>
            <w:vAlign w:val="bottom"/>
          </w:tcPr>
          <w:p>
            <w:pPr>
              <w:jc w:val="center"/>
              <w:spacing w:after="0"/>
              <w:rPr>
                <w:sz w:val="20"/>
                <w:szCs w:val="20"/>
                <w:color w:val="auto"/>
              </w:rPr>
            </w:pPr>
            <w:r>
              <w:rPr>
                <w:rFonts w:ascii="Arial" w:cs="Arial" w:eastAsia="Arial" w:hAnsi="Arial"/>
                <w:sz w:val="8"/>
                <w:szCs w:val="8"/>
                <w:color w:val="auto"/>
              </w:rPr>
              <w:t>140.9%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5"/>
              </w:rPr>
              <w:t>129.2%</w:t>
            </w:r>
          </w:p>
        </w:tc>
        <w:tc>
          <w:tcPr>
            <w:tcW w:w="940" w:type="dxa"/>
            <w:vAlign w:val="bottom"/>
          </w:tcPr>
          <w:p>
            <w:pPr>
              <w:jc w:val="center"/>
              <w:ind w:right="179"/>
              <w:spacing w:after="0"/>
              <w:rPr>
                <w:sz w:val="20"/>
                <w:szCs w:val="20"/>
                <w:color w:val="auto"/>
              </w:rPr>
            </w:pPr>
            <w:r>
              <w:rPr>
                <w:rFonts w:ascii="Arial" w:cs="Arial" w:eastAsia="Arial" w:hAnsi="Arial"/>
                <w:sz w:val="8"/>
                <w:szCs w:val="8"/>
                <w:color w:val="auto"/>
              </w:rPr>
              <w:t>-1165 bps</w:t>
            </w:r>
          </w:p>
        </w:tc>
        <w:tc>
          <w:tcPr>
            <w:tcW w:w="580" w:type="dxa"/>
            <w:vAlign w:val="bottom"/>
            <w:tcBorders>
              <w:right w:val="single" w:sz="8" w:color="auto"/>
            </w:tcBorders>
          </w:tcPr>
          <w:p>
            <w:pPr>
              <w:jc w:val="center"/>
              <w:ind w:right="179"/>
              <w:spacing w:after="0"/>
              <w:rPr>
                <w:sz w:val="20"/>
                <w:szCs w:val="20"/>
                <w:color w:val="auto"/>
              </w:rPr>
            </w:pPr>
            <w:r>
              <w:rPr>
                <w:rFonts w:ascii="Arial" w:cs="Arial" w:eastAsia="Arial" w:hAnsi="Arial"/>
                <w:sz w:val="8"/>
                <w:szCs w:val="8"/>
                <w:color w:val="auto"/>
              </w:rPr>
              <w:t>-2030 bps</w:t>
            </w: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93"/>
        </w:trPr>
        <w:tc>
          <w:tcPr>
            <w:tcW w:w="240" w:type="dxa"/>
            <w:vAlign w:val="bottom"/>
            <w:tcBorders>
              <w:right w:val="single" w:sz="8" w:color="auto"/>
            </w:tcBorders>
          </w:tcPr>
          <w:p>
            <w:pPr>
              <w:spacing w:after="0"/>
              <w:rPr>
                <w:sz w:val="8"/>
                <w:szCs w:val="8"/>
                <w:color w:val="auto"/>
              </w:rPr>
            </w:pP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Coverage of NPLs</w:t>
            </w:r>
          </w:p>
        </w:tc>
        <w:tc>
          <w:tcPr>
            <w:tcW w:w="960" w:type="dxa"/>
            <w:vAlign w:val="bottom"/>
          </w:tcPr>
          <w:p>
            <w:pPr>
              <w:jc w:val="center"/>
              <w:spacing w:after="0"/>
              <w:rPr>
                <w:sz w:val="20"/>
                <w:szCs w:val="20"/>
                <w:color w:val="auto"/>
              </w:rPr>
            </w:pPr>
            <w:r>
              <w:rPr>
                <w:rFonts w:ascii="Arial" w:cs="Arial" w:eastAsia="Arial" w:hAnsi="Arial"/>
                <w:sz w:val="8"/>
                <w:szCs w:val="8"/>
                <w:color w:val="auto"/>
              </w:rPr>
              <w:t>133.5%</w:t>
            </w:r>
          </w:p>
        </w:tc>
        <w:tc>
          <w:tcPr>
            <w:tcW w:w="980" w:type="dxa"/>
            <w:vAlign w:val="bottom"/>
          </w:tcPr>
          <w:p>
            <w:pPr>
              <w:jc w:val="center"/>
              <w:spacing w:after="0"/>
              <w:rPr>
                <w:sz w:val="20"/>
                <w:szCs w:val="20"/>
                <w:color w:val="auto"/>
              </w:rPr>
            </w:pPr>
            <w:r>
              <w:rPr>
                <w:rFonts w:ascii="Arial" w:cs="Arial" w:eastAsia="Arial" w:hAnsi="Arial"/>
                <w:sz w:val="8"/>
                <w:szCs w:val="8"/>
                <w:color w:val="auto"/>
                <w:w w:val="95"/>
              </w:rPr>
              <w:t>115.8%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5"/>
              </w:rPr>
              <w:t>108.4%</w:t>
            </w:r>
          </w:p>
        </w:tc>
        <w:tc>
          <w:tcPr>
            <w:tcW w:w="940" w:type="dxa"/>
            <w:vAlign w:val="bottom"/>
          </w:tcPr>
          <w:p>
            <w:pPr>
              <w:jc w:val="center"/>
              <w:ind w:right="179"/>
              <w:spacing w:after="0"/>
              <w:rPr>
                <w:sz w:val="20"/>
                <w:szCs w:val="20"/>
                <w:color w:val="auto"/>
              </w:rPr>
            </w:pPr>
            <w:r>
              <w:rPr>
                <w:rFonts w:ascii="Arial" w:cs="Arial" w:eastAsia="Arial" w:hAnsi="Arial"/>
                <w:sz w:val="8"/>
                <w:szCs w:val="8"/>
                <w:color w:val="auto"/>
              </w:rPr>
              <w:t>-736 bps</w:t>
            </w:r>
          </w:p>
        </w:tc>
        <w:tc>
          <w:tcPr>
            <w:tcW w:w="580" w:type="dxa"/>
            <w:vAlign w:val="bottom"/>
            <w:tcBorders>
              <w:right w:val="single" w:sz="8" w:color="auto"/>
            </w:tcBorders>
          </w:tcPr>
          <w:p>
            <w:pPr>
              <w:jc w:val="center"/>
              <w:ind w:right="179"/>
              <w:spacing w:after="0"/>
              <w:rPr>
                <w:sz w:val="20"/>
                <w:szCs w:val="20"/>
                <w:color w:val="auto"/>
              </w:rPr>
            </w:pPr>
            <w:r>
              <w:rPr>
                <w:rFonts w:ascii="Arial" w:cs="Arial" w:eastAsia="Arial" w:hAnsi="Arial"/>
                <w:sz w:val="8"/>
                <w:szCs w:val="8"/>
                <w:color w:val="auto"/>
              </w:rPr>
              <w:t>-2514 bps</w:t>
            </w: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93"/>
        </w:trPr>
        <w:tc>
          <w:tcPr>
            <w:tcW w:w="240" w:type="dxa"/>
            <w:vAlign w:val="bottom"/>
            <w:tcBorders>
              <w:right w:val="single" w:sz="8" w:color="auto"/>
            </w:tcBorders>
          </w:tcPr>
          <w:p>
            <w:pPr>
              <w:spacing w:after="0"/>
              <w:rPr>
                <w:sz w:val="8"/>
                <w:szCs w:val="8"/>
                <w:color w:val="auto"/>
              </w:rPr>
            </w:pP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Branches</w:t>
            </w:r>
          </w:p>
        </w:tc>
        <w:tc>
          <w:tcPr>
            <w:tcW w:w="960" w:type="dxa"/>
            <w:vAlign w:val="bottom"/>
          </w:tcPr>
          <w:p>
            <w:pPr>
              <w:jc w:val="center"/>
              <w:spacing w:after="0"/>
              <w:rPr>
                <w:sz w:val="20"/>
                <w:szCs w:val="20"/>
                <w:color w:val="auto"/>
              </w:rPr>
            </w:pPr>
            <w:r>
              <w:rPr>
                <w:rFonts w:ascii="Arial" w:cs="Arial" w:eastAsia="Arial" w:hAnsi="Arial"/>
                <w:sz w:val="8"/>
                <w:szCs w:val="8"/>
                <w:color w:val="auto"/>
                <w:w w:val="89"/>
              </w:rPr>
              <w:t>46</w:t>
            </w:r>
          </w:p>
        </w:tc>
        <w:tc>
          <w:tcPr>
            <w:tcW w:w="980" w:type="dxa"/>
            <w:vAlign w:val="bottom"/>
          </w:tcPr>
          <w:p>
            <w:pPr>
              <w:jc w:val="center"/>
              <w:spacing w:after="0"/>
              <w:rPr>
                <w:sz w:val="20"/>
                <w:szCs w:val="20"/>
                <w:color w:val="auto"/>
              </w:rPr>
            </w:pPr>
            <w:r>
              <w:rPr>
                <w:rFonts w:ascii="Arial" w:cs="Arial" w:eastAsia="Arial" w:hAnsi="Arial"/>
                <w:sz w:val="8"/>
                <w:szCs w:val="8"/>
                <w:color w:val="auto"/>
              </w:rPr>
              <w:t>46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46</w:t>
            </w:r>
          </w:p>
        </w:tc>
        <w:tc>
          <w:tcPr>
            <w:tcW w:w="940" w:type="dxa"/>
            <w:vAlign w:val="bottom"/>
          </w:tcPr>
          <w:p>
            <w:pPr>
              <w:jc w:val="center"/>
              <w:ind w:right="159"/>
              <w:spacing w:after="0"/>
              <w:rPr>
                <w:sz w:val="20"/>
                <w:szCs w:val="20"/>
                <w:color w:val="auto"/>
              </w:rPr>
            </w:pPr>
            <w:r>
              <w:rPr>
                <w:rFonts w:ascii="Arial" w:cs="Arial" w:eastAsia="Arial" w:hAnsi="Arial"/>
                <w:sz w:val="8"/>
                <w:szCs w:val="8"/>
                <w:color w:val="auto"/>
                <w:w w:val="98"/>
              </w:rPr>
              <w:t>0.0%</w:t>
            </w:r>
          </w:p>
        </w:tc>
        <w:tc>
          <w:tcPr>
            <w:tcW w:w="580" w:type="dxa"/>
            <w:vAlign w:val="bottom"/>
            <w:tcBorders>
              <w:right w:val="single" w:sz="8" w:color="auto"/>
            </w:tcBorders>
          </w:tcPr>
          <w:p>
            <w:pPr>
              <w:jc w:val="center"/>
              <w:ind w:right="179"/>
              <w:spacing w:after="0"/>
              <w:rPr>
                <w:sz w:val="20"/>
                <w:szCs w:val="20"/>
                <w:color w:val="auto"/>
              </w:rPr>
            </w:pPr>
            <w:r>
              <w:rPr>
                <w:rFonts w:ascii="Arial" w:cs="Arial" w:eastAsia="Arial" w:hAnsi="Arial"/>
                <w:sz w:val="8"/>
                <w:szCs w:val="8"/>
                <w:color w:val="auto"/>
              </w:rPr>
              <w:t>0.0%</w:t>
            </w: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93"/>
        </w:trPr>
        <w:tc>
          <w:tcPr>
            <w:tcW w:w="240" w:type="dxa"/>
            <w:vAlign w:val="bottom"/>
            <w:tcBorders>
              <w:right w:val="single" w:sz="8" w:color="auto"/>
            </w:tcBorders>
          </w:tcPr>
          <w:p>
            <w:pPr>
              <w:spacing w:after="0"/>
              <w:rPr>
                <w:sz w:val="8"/>
                <w:szCs w:val="8"/>
                <w:color w:val="auto"/>
              </w:rPr>
            </w:pP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Agentes</w:t>
            </w:r>
          </w:p>
        </w:tc>
        <w:tc>
          <w:tcPr>
            <w:tcW w:w="960" w:type="dxa"/>
            <w:vAlign w:val="bottom"/>
          </w:tcPr>
          <w:p>
            <w:pPr>
              <w:jc w:val="center"/>
              <w:spacing w:after="0"/>
              <w:rPr>
                <w:sz w:val="20"/>
                <w:szCs w:val="20"/>
                <w:color w:val="auto"/>
              </w:rPr>
            </w:pPr>
            <w:r>
              <w:rPr>
                <w:rFonts w:ascii="Arial" w:cs="Arial" w:eastAsia="Arial" w:hAnsi="Arial"/>
                <w:sz w:val="8"/>
                <w:szCs w:val="8"/>
                <w:color w:val="auto"/>
                <w:w w:val="99"/>
              </w:rPr>
              <w:t>1,355</w:t>
            </w:r>
          </w:p>
        </w:tc>
        <w:tc>
          <w:tcPr>
            <w:tcW w:w="980" w:type="dxa"/>
            <w:vAlign w:val="bottom"/>
          </w:tcPr>
          <w:p>
            <w:pPr>
              <w:jc w:val="center"/>
              <w:spacing w:after="0"/>
              <w:rPr>
                <w:sz w:val="20"/>
                <w:szCs w:val="20"/>
                <w:color w:val="auto"/>
              </w:rPr>
            </w:pPr>
            <w:r>
              <w:rPr>
                <w:rFonts w:ascii="Arial" w:cs="Arial" w:eastAsia="Arial" w:hAnsi="Arial"/>
                <w:sz w:val="8"/>
                <w:szCs w:val="8"/>
                <w:color w:val="auto"/>
              </w:rPr>
              <w:t>1,350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1,350</w:t>
            </w:r>
          </w:p>
        </w:tc>
        <w:tc>
          <w:tcPr>
            <w:tcW w:w="940" w:type="dxa"/>
            <w:vAlign w:val="bottom"/>
          </w:tcPr>
          <w:p>
            <w:pPr>
              <w:jc w:val="center"/>
              <w:ind w:right="159"/>
              <w:spacing w:after="0"/>
              <w:rPr>
                <w:sz w:val="20"/>
                <w:szCs w:val="20"/>
                <w:color w:val="auto"/>
              </w:rPr>
            </w:pPr>
            <w:r>
              <w:rPr>
                <w:rFonts w:ascii="Arial" w:cs="Arial" w:eastAsia="Arial" w:hAnsi="Arial"/>
                <w:sz w:val="8"/>
                <w:szCs w:val="8"/>
                <w:color w:val="auto"/>
                <w:w w:val="98"/>
              </w:rPr>
              <w:t>0.0%</w:t>
            </w:r>
          </w:p>
        </w:tc>
        <w:tc>
          <w:tcPr>
            <w:tcW w:w="580" w:type="dxa"/>
            <w:vAlign w:val="bottom"/>
            <w:tcBorders>
              <w:right w:val="single" w:sz="8" w:color="auto"/>
            </w:tcBorders>
          </w:tcPr>
          <w:p>
            <w:pPr>
              <w:jc w:val="center"/>
              <w:ind w:right="179"/>
              <w:spacing w:after="0"/>
              <w:rPr>
                <w:sz w:val="20"/>
                <w:szCs w:val="20"/>
                <w:color w:val="auto"/>
              </w:rPr>
            </w:pPr>
            <w:r>
              <w:rPr>
                <w:rFonts w:ascii="Arial" w:cs="Arial" w:eastAsia="Arial" w:hAnsi="Arial"/>
                <w:sz w:val="8"/>
                <w:szCs w:val="8"/>
                <w:color w:val="auto"/>
                <w:w w:val="95"/>
              </w:rPr>
              <w:t>-0.4%</w:t>
            </w: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93"/>
        </w:trPr>
        <w:tc>
          <w:tcPr>
            <w:tcW w:w="240" w:type="dxa"/>
            <w:vAlign w:val="bottom"/>
            <w:tcBorders>
              <w:right w:val="single" w:sz="8" w:color="auto"/>
            </w:tcBorders>
          </w:tcPr>
          <w:p>
            <w:pPr>
              <w:spacing w:after="0"/>
              <w:rPr>
                <w:sz w:val="8"/>
                <w:szCs w:val="8"/>
                <w:color w:val="auto"/>
              </w:rPr>
            </w:pP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8"/>
                <w:szCs w:val="8"/>
                <w:color w:val="auto"/>
              </w:rPr>
              <w:t>ATMs</w:t>
            </w:r>
          </w:p>
        </w:tc>
        <w:tc>
          <w:tcPr>
            <w:tcW w:w="960" w:type="dxa"/>
            <w:vAlign w:val="bottom"/>
          </w:tcPr>
          <w:p>
            <w:pPr>
              <w:jc w:val="center"/>
              <w:spacing w:after="0"/>
              <w:rPr>
                <w:sz w:val="20"/>
                <w:szCs w:val="20"/>
                <w:color w:val="auto"/>
              </w:rPr>
            </w:pPr>
            <w:r>
              <w:rPr>
                <w:rFonts w:ascii="Arial" w:cs="Arial" w:eastAsia="Arial" w:hAnsi="Arial"/>
                <w:sz w:val="8"/>
                <w:szCs w:val="8"/>
                <w:color w:val="auto"/>
                <w:w w:val="89"/>
              </w:rPr>
              <w:t>314</w:t>
            </w:r>
          </w:p>
        </w:tc>
        <w:tc>
          <w:tcPr>
            <w:tcW w:w="980" w:type="dxa"/>
            <w:vAlign w:val="bottom"/>
          </w:tcPr>
          <w:p>
            <w:pPr>
              <w:jc w:val="center"/>
              <w:spacing w:after="0"/>
              <w:rPr>
                <w:sz w:val="20"/>
                <w:szCs w:val="20"/>
                <w:color w:val="auto"/>
              </w:rPr>
            </w:pPr>
            <w:r>
              <w:rPr>
                <w:rFonts w:ascii="Arial" w:cs="Arial" w:eastAsia="Arial" w:hAnsi="Arial"/>
                <w:sz w:val="8"/>
                <w:szCs w:val="8"/>
                <w:color w:val="auto"/>
              </w:rPr>
              <w:t>315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315</w:t>
            </w:r>
          </w:p>
        </w:tc>
        <w:tc>
          <w:tcPr>
            <w:tcW w:w="940" w:type="dxa"/>
            <w:vAlign w:val="bottom"/>
          </w:tcPr>
          <w:p>
            <w:pPr>
              <w:jc w:val="center"/>
              <w:ind w:right="159"/>
              <w:spacing w:after="0"/>
              <w:rPr>
                <w:sz w:val="20"/>
                <w:szCs w:val="20"/>
                <w:color w:val="auto"/>
              </w:rPr>
            </w:pPr>
            <w:r>
              <w:rPr>
                <w:rFonts w:ascii="Arial" w:cs="Arial" w:eastAsia="Arial" w:hAnsi="Arial"/>
                <w:sz w:val="8"/>
                <w:szCs w:val="8"/>
                <w:color w:val="auto"/>
                <w:w w:val="98"/>
              </w:rPr>
              <w:t>0.0%</w:t>
            </w:r>
          </w:p>
        </w:tc>
        <w:tc>
          <w:tcPr>
            <w:tcW w:w="580" w:type="dxa"/>
            <w:vAlign w:val="bottom"/>
            <w:tcBorders>
              <w:right w:val="single" w:sz="8" w:color="auto"/>
            </w:tcBorders>
          </w:tcPr>
          <w:p>
            <w:pPr>
              <w:jc w:val="center"/>
              <w:ind w:right="179"/>
              <w:spacing w:after="0"/>
              <w:rPr>
                <w:sz w:val="20"/>
                <w:szCs w:val="20"/>
                <w:color w:val="auto"/>
              </w:rPr>
            </w:pPr>
            <w:r>
              <w:rPr>
                <w:rFonts w:ascii="Arial" w:cs="Arial" w:eastAsia="Arial" w:hAnsi="Arial"/>
                <w:sz w:val="8"/>
                <w:szCs w:val="8"/>
                <w:color w:val="auto"/>
              </w:rPr>
              <w:t>0.3%</w:t>
            </w: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103"/>
        </w:trPr>
        <w:tc>
          <w:tcPr>
            <w:tcW w:w="240" w:type="dxa"/>
            <w:vAlign w:val="bottom"/>
            <w:tcBorders>
              <w:right w:val="single" w:sz="8" w:color="auto"/>
            </w:tcBorders>
          </w:tcPr>
          <w:p>
            <w:pPr>
              <w:spacing w:after="0"/>
              <w:rPr>
                <w:sz w:val="8"/>
                <w:szCs w:val="8"/>
                <w:color w:val="auto"/>
              </w:rPr>
            </w:pPr>
          </w:p>
        </w:tc>
        <w:tc>
          <w:tcPr>
            <w:tcW w:w="3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Employees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w w:val="99"/>
              </w:rPr>
              <w:t>1,729</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8"/>
                <w:szCs w:val="8"/>
                <w:color w:val="auto"/>
              </w:rPr>
              <w:t>1,719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color w:val="auto"/>
              </w:rPr>
              <w:t>1,745</w:t>
            </w:r>
          </w:p>
        </w:tc>
        <w:tc>
          <w:tcPr>
            <w:tcW w:w="940" w:type="dxa"/>
            <w:vAlign w:val="bottom"/>
            <w:tcBorders>
              <w:bottom w:val="single" w:sz="8" w:color="auto"/>
            </w:tcBorders>
          </w:tcPr>
          <w:p>
            <w:pPr>
              <w:jc w:val="center"/>
              <w:ind w:right="159"/>
              <w:spacing w:after="0"/>
              <w:rPr>
                <w:sz w:val="20"/>
                <w:szCs w:val="20"/>
                <w:color w:val="auto"/>
              </w:rPr>
            </w:pPr>
            <w:r>
              <w:rPr>
                <w:rFonts w:ascii="Arial" w:cs="Arial" w:eastAsia="Arial" w:hAnsi="Arial"/>
                <w:sz w:val="8"/>
                <w:szCs w:val="8"/>
                <w:color w:val="auto"/>
                <w:w w:val="98"/>
              </w:rPr>
              <w:t>1.5%</w:t>
            </w:r>
          </w:p>
        </w:tc>
        <w:tc>
          <w:tcPr>
            <w:tcW w:w="580" w:type="dxa"/>
            <w:vAlign w:val="bottom"/>
            <w:tcBorders>
              <w:bottom w:val="single" w:sz="8" w:color="auto"/>
              <w:right w:val="single" w:sz="8" w:color="auto"/>
            </w:tcBorders>
          </w:tcPr>
          <w:p>
            <w:pPr>
              <w:jc w:val="center"/>
              <w:ind w:right="179"/>
              <w:spacing w:after="0"/>
              <w:rPr>
                <w:sz w:val="20"/>
                <w:szCs w:val="20"/>
                <w:color w:val="auto"/>
              </w:rPr>
            </w:pPr>
            <w:r>
              <w:rPr>
                <w:rFonts w:ascii="Arial" w:cs="Arial" w:eastAsia="Arial" w:hAnsi="Arial"/>
                <w:sz w:val="8"/>
                <w:szCs w:val="8"/>
                <w:color w:val="auto"/>
              </w:rPr>
              <w:t>0.9%</w:t>
            </w: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978"/>
        </w:trPr>
        <w:tc>
          <w:tcPr>
            <w:tcW w:w="2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-541655</wp:posOffset>
            </wp:positionV>
            <wp:extent cx="1502410" cy="4438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5415915</wp:posOffset>
            </wp:positionH>
            <wp:positionV relativeFrom="paragraph">
              <wp:posOffset>-404495</wp:posOffset>
            </wp:positionV>
            <wp:extent cx="1750695" cy="3067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750695" cy="306705"/>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66" w:name="page67"/>
    <w:bookmarkEnd w:id="66"/>
    <w:p>
      <w:pPr>
        <w:ind w:left="2580"/>
        <w:spacing w:after="0"/>
        <w:tabs>
          <w:tab w:leader="none" w:pos="2780" w:val="left"/>
          <w:tab w:leader="none" w:pos="7780"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10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64705" cy="581025"/>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15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12. Appendix</w:t>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12.6.6. Mibanco</w:t>
      </w:r>
    </w:p>
    <w:p>
      <w:pPr>
        <w:spacing w:after="0" w:line="152" w:lineRule="exact"/>
        <w:rPr>
          <w:sz w:val="20"/>
          <w:szCs w:val="20"/>
          <w:color w:val="auto"/>
        </w:rPr>
      </w:pPr>
    </w:p>
    <w:p>
      <w:pPr>
        <w:jc w:val="center"/>
        <w:ind w:right="-139"/>
        <w:spacing w:after="0"/>
        <w:rPr>
          <w:sz w:val="20"/>
          <w:szCs w:val="20"/>
          <w:color w:val="auto"/>
        </w:rPr>
      </w:pPr>
      <w:r>
        <w:rPr>
          <w:rFonts w:ascii="Arial" w:cs="Arial" w:eastAsia="Arial" w:hAnsi="Arial"/>
          <w:sz w:val="12"/>
          <w:szCs w:val="12"/>
          <w:b w:val="1"/>
          <w:bCs w:val="1"/>
          <w:color w:val="auto"/>
        </w:rPr>
        <w:t>Statement of Financial Position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2"/>
          <w:szCs w:val="12"/>
          <w:b w:val="1"/>
          <w:bCs w:val="1"/>
          <w:color w:val="auto"/>
        </w:rPr>
        <w:t>(S/ Thousands, IFRS)</w:t>
      </w:r>
    </w:p>
    <w:p>
      <w:pPr>
        <w:spacing w:after="0" w:line="149" w:lineRule="exact"/>
        <w:rPr>
          <w:sz w:val="20"/>
          <w:szCs w:val="20"/>
          <w:color w:val="auto"/>
        </w:rPr>
      </w:pPr>
    </w:p>
    <w:tbl>
      <w:tblPr>
        <w:tblLayout w:type="fixed"/>
        <w:tblInd w:w="1010" w:type="dxa"/>
        <w:tblCellMar>
          <w:top w:w="0" w:type="dxa"/>
          <w:left w:w="0" w:type="dxa"/>
          <w:bottom w:w="0" w:type="dxa"/>
          <w:right w:w="0" w:type="dxa"/>
        </w:tblCellMar>
      </w:tblPr>
      <w:tr>
        <w:trPr>
          <w:trHeight w:val="134"/>
        </w:trPr>
        <w:tc>
          <w:tcPr>
            <w:tcW w:w="4440" w:type="dxa"/>
            <w:vAlign w:val="bottom"/>
            <w:tcBorders>
              <w:top w:val="single" w:sz="8" w:color="auto"/>
              <w:left w:val="single" w:sz="8" w:color="auto"/>
              <w:right w:val="single" w:sz="8" w:color="auto"/>
            </w:tcBorders>
            <w:shd w:val="clear" w:color="auto" w:fill="2AD2C9"/>
          </w:tcPr>
          <w:p>
            <w:pPr>
              <w:spacing w:after="0"/>
              <w:rPr>
                <w:sz w:val="11"/>
                <w:szCs w:val="11"/>
                <w:color w:val="auto"/>
              </w:rPr>
            </w:pPr>
          </w:p>
        </w:tc>
        <w:tc>
          <w:tcPr>
            <w:tcW w:w="1000" w:type="dxa"/>
            <w:vAlign w:val="bottom"/>
            <w:tcBorders>
              <w:top w:val="single" w:sz="8" w:color="auto"/>
            </w:tcBorders>
            <w:shd w:val="clear" w:color="auto" w:fill="2AD2C9"/>
          </w:tcPr>
          <w:p>
            <w:pPr>
              <w:spacing w:after="0"/>
              <w:rPr>
                <w:sz w:val="11"/>
                <w:szCs w:val="11"/>
                <w:color w:val="auto"/>
              </w:rPr>
            </w:pPr>
          </w:p>
        </w:tc>
        <w:tc>
          <w:tcPr>
            <w:tcW w:w="1040" w:type="dxa"/>
            <w:vAlign w:val="bottom"/>
            <w:tcBorders>
              <w:top w:val="single" w:sz="8" w:color="auto"/>
            </w:tcBorders>
            <w:shd w:val="clear" w:color="auto" w:fill="2AD2C9"/>
          </w:tcPr>
          <w:p>
            <w:pPr>
              <w:ind w:left="420"/>
              <w:spacing w:after="0"/>
              <w:rPr>
                <w:sz w:val="20"/>
                <w:szCs w:val="20"/>
                <w:color w:val="auto"/>
              </w:rPr>
            </w:pPr>
            <w:r>
              <w:rPr>
                <w:rFonts w:ascii="Arial" w:cs="Arial" w:eastAsia="Arial" w:hAnsi="Arial"/>
                <w:sz w:val="11"/>
                <w:szCs w:val="11"/>
                <w:b w:val="1"/>
                <w:bCs w:val="1"/>
                <w:color w:val="FFFFFF"/>
              </w:rPr>
              <w:t>As of</w:t>
            </w:r>
          </w:p>
        </w:tc>
        <w:tc>
          <w:tcPr>
            <w:tcW w:w="1100" w:type="dxa"/>
            <w:vAlign w:val="bottom"/>
            <w:tcBorders>
              <w:top w:val="single" w:sz="8" w:color="auto"/>
              <w:right w:val="single" w:sz="8" w:color="auto"/>
            </w:tcBorders>
            <w:shd w:val="clear" w:color="auto" w:fill="2AD2C9"/>
          </w:tcPr>
          <w:p>
            <w:pPr>
              <w:spacing w:after="0"/>
              <w:rPr>
                <w:sz w:val="11"/>
                <w:szCs w:val="11"/>
                <w:color w:val="auto"/>
              </w:rPr>
            </w:pPr>
          </w:p>
        </w:tc>
        <w:tc>
          <w:tcPr>
            <w:tcW w:w="1440" w:type="dxa"/>
            <w:vAlign w:val="bottom"/>
            <w:tcBorders>
              <w:top w:val="single" w:sz="8" w:color="auto"/>
              <w:right w:val="single" w:sz="8" w:color="auto"/>
            </w:tcBorders>
            <w:gridSpan w:val="2"/>
            <w:shd w:val="clear" w:color="auto" w:fill="2AD2C9"/>
          </w:tcPr>
          <w:p>
            <w:pPr>
              <w:ind w:left="460"/>
              <w:spacing w:after="0"/>
              <w:rPr>
                <w:sz w:val="20"/>
                <w:szCs w:val="20"/>
                <w:color w:val="auto"/>
              </w:rPr>
            </w:pPr>
            <w:r>
              <w:rPr>
                <w:rFonts w:ascii="Arial" w:cs="Arial" w:eastAsia="Arial" w:hAnsi="Arial"/>
                <w:sz w:val="11"/>
                <w:szCs w:val="11"/>
                <w:b w:val="1"/>
                <w:bCs w:val="1"/>
                <w:color w:val="FFFFFF"/>
              </w:rPr>
              <w:t>% change</w:t>
            </w:r>
          </w:p>
        </w:tc>
      </w:tr>
      <w:tr>
        <w:trPr>
          <w:trHeight w:val="123"/>
        </w:trPr>
        <w:tc>
          <w:tcPr>
            <w:tcW w:w="4440" w:type="dxa"/>
            <w:vAlign w:val="bottom"/>
            <w:tcBorders>
              <w:left w:val="single" w:sz="8" w:color="auto"/>
              <w:bottom w:val="single" w:sz="8" w:color="auto"/>
              <w:right w:val="single" w:sz="8" w:color="auto"/>
            </w:tcBorders>
            <w:shd w:val="clear" w:color="auto" w:fill="2AD2C9"/>
          </w:tcPr>
          <w:p>
            <w:pPr>
              <w:spacing w:after="0"/>
              <w:rPr>
                <w:sz w:val="10"/>
                <w:szCs w:val="10"/>
                <w:color w:val="auto"/>
              </w:rPr>
            </w:pPr>
          </w:p>
        </w:tc>
        <w:tc>
          <w:tcPr>
            <w:tcW w:w="1000" w:type="dxa"/>
            <w:vAlign w:val="bottom"/>
            <w:tcBorders>
              <w:bottom w:val="single" w:sz="8" w:color="auto"/>
            </w:tcBorders>
            <w:shd w:val="clear" w:color="auto" w:fill="2AD2C9"/>
          </w:tcPr>
          <w:p>
            <w:pPr>
              <w:ind w:left="300"/>
              <w:spacing w:after="0" w:line="124" w:lineRule="exact"/>
              <w:rPr>
                <w:sz w:val="20"/>
                <w:szCs w:val="20"/>
                <w:color w:val="auto"/>
              </w:rPr>
            </w:pPr>
            <w:r>
              <w:rPr>
                <w:rFonts w:ascii="Arial" w:cs="Arial" w:eastAsia="Arial" w:hAnsi="Arial"/>
                <w:sz w:val="11"/>
                <w:szCs w:val="11"/>
                <w:b w:val="1"/>
                <w:bCs w:val="1"/>
                <w:color w:val="FFFFFF"/>
              </w:rPr>
              <w:t>Jun 23</w:t>
            </w:r>
          </w:p>
        </w:tc>
        <w:tc>
          <w:tcPr>
            <w:tcW w:w="1040" w:type="dxa"/>
            <w:vAlign w:val="bottom"/>
            <w:tcBorders>
              <w:bottom w:val="single" w:sz="8" w:color="auto"/>
            </w:tcBorders>
            <w:shd w:val="clear" w:color="auto" w:fill="2AD2C9"/>
          </w:tcPr>
          <w:p>
            <w:pPr>
              <w:ind w:left="340"/>
              <w:spacing w:after="0" w:line="124" w:lineRule="exact"/>
              <w:rPr>
                <w:sz w:val="20"/>
                <w:szCs w:val="20"/>
                <w:color w:val="auto"/>
              </w:rPr>
            </w:pPr>
            <w:r>
              <w:rPr>
                <w:rFonts w:ascii="Arial" w:cs="Arial" w:eastAsia="Arial" w:hAnsi="Arial"/>
                <w:sz w:val="11"/>
                <w:szCs w:val="11"/>
                <w:b w:val="1"/>
                <w:bCs w:val="1"/>
                <w:color w:val="FFFFFF"/>
              </w:rPr>
              <w:t>Mar 24</w:t>
            </w:r>
          </w:p>
        </w:tc>
        <w:tc>
          <w:tcPr>
            <w:tcW w:w="1100" w:type="dxa"/>
            <w:vAlign w:val="bottom"/>
            <w:tcBorders>
              <w:bottom w:val="single" w:sz="8" w:color="auto"/>
              <w:right w:val="single" w:sz="8" w:color="auto"/>
            </w:tcBorders>
            <w:shd w:val="clear" w:color="auto" w:fill="2AD2C9"/>
          </w:tcPr>
          <w:p>
            <w:pPr>
              <w:ind w:left="380"/>
              <w:spacing w:after="0" w:line="124" w:lineRule="exact"/>
              <w:rPr>
                <w:sz w:val="20"/>
                <w:szCs w:val="20"/>
                <w:color w:val="auto"/>
              </w:rPr>
            </w:pPr>
            <w:r>
              <w:rPr>
                <w:rFonts w:ascii="Arial" w:cs="Arial" w:eastAsia="Arial" w:hAnsi="Arial"/>
                <w:sz w:val="11"/>
                <w:szCs w:val="11"/>
                <w:b w:val="1"/>
                <w:bCs w:val="1"/>
                <w:color w:val="FFFFFF"/>
              </w:rPr>
              <w:t>Jun 24</w:t>
            </w:r>
          </w:p>
        </w:tc>
        <w:tc>
          <w:tcPr>
            <w:tcW w:w="700" w:type="dxa"/>
            <w:vAlign w:val="bottom"/>
            <w:tcBorders>
              <w:bottom w:val="single" w:sz="8" w:color="auto"/>
            </w:tcBorders>
            <w:shd w:val="clear" w:color="auto" w:fill="2AD2C9"/>
          </w:tcPr>
          <w:p>
            <w:pPr>
              <w:ind w:left="240"/>
              <w:spacing w:after="0" w:line="124" w:lineRule="exact"/>
              <w:rPr>
                <w:sz w:val="20"/>
                <w:szCs w:val="20"/>
                <w:color w:val="auto"/>
              </w:rPr>
            </w:pPr>
            <w:r>
              <w:rPr>
                <w:rFonts w:ascii="Arial" w:cs="Arial" w:eastAsia="Arial" w:hAnsi="Arial"/>
                <w:sz w:val="11"/>
                <w:szCs w:val="11"/>
                <w:b w:val="1"/>
                <w:bCs w:val="1"/>
                <w:color w:val="FFFFFF"/>
              </w:rPr>
              <w:t>QoQ</w:t>
            </w:r>
          </w:p>
        </w:tc>
        <w:tc>
          <w:tcPr>
            <w:tcW w:w="740" w:type="dxa"/>
            <w:vAlign w:val="bottom"/>
            <w:tcBorders>
              <w:bottom w:val="single" w:sz="8" w:color="auto"/>
              <w:right w:val="single" w:sz="8" w:color="auto"/>
            </w:tcBorders>
            <w:shd w:val="clear" w:color="auto" w:fill="2AD2C9"/>
          </w:tcPr>
          <w:p>
            <w:pPr>
              <w:ind w:left="260"/>
              <w:spacing w:after="0" w:line="124" w:lineRule="exact"/>
              <w:rPr>
                <w:sz w:val="20"/>
                <w:szCs w:val="20"/>
                <w:color w:val="auto"/>
              </w:rPr>
            </w:pPr>
            <w:r>
              <w:rPr>
                <w:rFonts w:ascii="Arial" w:cs="Arial" w:eastAsia="Arial" w:hAnsi="Arial"/>
                <w:sz w:val="11"/>
                <w:szCs w:val="11"/>
                <w:b w:val="1"/>
                <w:bCs w:val="1"/>
                <w:color w:val="FFFFFF"/>
              </w:rPr>
              <w:t>YoY</w:t>
            </w:r>
          </w:p>
        </w:tc>
      </w:tr>
      <w:tr>
        <w:trPr>
          <w:trHeight w:val="107"/>
        </w:trPr>
        <w:tc>
          <w:tcPr>
            <w:tcW w:w="4440" w:type="dxa"/>
            <w:vAlign w:val="bottom"/>
            <w:tcBorders>
              <w:left w:val="single" w:sz="8" w:color="auto"/>
              <w:right w:val="single" w:sz="8" w:color="auto"/>
            </w:tcBorders>
          </w:tcPr>
          <w:p>
            <w:pPr>
              <w:ind w:left="40"/>
              <w:spacing w:after="0" w:line="107" w:lineRule="exact"/>
              <w:rPr>
                <w:sz w:val="20"/>
                <w:szCs w:val="20"/>
                <w:color w:val="auto"/>
              </w:rPr>
            </w:pPr>
            <w:r>
              <w:rPr>
                <w:rFonts w:ascii="Arial" w:cs="Arial" w:eastAsia="Arial" w:hAnsi="Arial"/>
                <w:sz w:val="11"/>
                <w:szCs w:val="11"/>
                <w:b w:val="1"/>
                <w:bCs w:val="1"/>
                <w:color w:val="auto"/>
              </w:rPr>
              <w:t>ASSETS</w:t>
            </w:r>
          </w:p>
        </w:tc>
        <w:tc>
          <w:tcPr>
            <w:tcW w:w="10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r>
      <w:tr>
        <w:trPr>
          <w:trHeight w:val="123"/>
        </w:trPr>
        <w:tc>
          <w:tcPr>
            <w:tcW w:w="4440" w:type="dxa"/>
            <w:vAlign w:val="bottom"/>
            <w:tcBorders>
              <w:left w:val="single" w:sz="8" w:color="auto"/>
              <w:right w:val="single" w:sz="8" w:color="auto"/>
            </w:tcBorders>
          </w:tcPr>
          <w:p>
            <w:pPr>
              <w:ind w:left="40"/>
              <w:spacing w:after="0" w:line="124" w:lineRule="exact"/>
              <w:rPr>
                <w:sz w:val="20"/>
                <w:szCs w:val="20"/>
                <w:color w:val="auto"/>
              </w:rPr>
            </w:pPr>
            <w:r>
              <w:rPr>
                <w:rFonts w:ascii="Arial" w:cs="Arial" w:eastAsia="Arial" w:hAnsi="Arial"/>
                <w:sz w:val="11"/>
                <w:szCs w:val="11"/>
                <w:color w:val="auto"/>
              </w:rPr>
              <w:t>Cash and due from banks</w:t>
            </w:r>
          </w:p>
        </w:tc>
        <w:tc>
          <w:tcPr>
            <w:tcW w:w="1000" w:type="dxa"/>
            <w:vAlign w:val="bottom"/>
          </w:tcPr>
          <w:p>
            <w:pPr>
              <w:jc w:val="center"/>
              <w:spacing w:after="0" w:line="124" w:lineRule="exact"/>
              <w:rPr>
                <w:sz w:val="20"/>
                <w:szCs w:val="20"/>
                <w:color w:val="auto"/>
              </w:rPr>
            </w:pPr>
            <w:r>
              <w:rPr>
                <w:rFonts w:ascii="Arial" w:cs="Arial" w:eastAsia="Arial" w:hAnsi="Arial"/>
                <w:sz w:val="11"/>
                <w:szCs w:val="11"/>
                <w:color w:val="auto"/>
                <w:w w:val="97"/>
              </w:rPr>
              <w:t>1,605,462</w:t>
            </w:r>
          </w:p>
        </w:tc>
        <w:tc>
          <w:tcPr>
            <w:tcW w:w="1040" w:type="dxa"/>
            <w:vAlign w:val="bottom"/>
          </w:tcPr>
          <w:p>
            <w:pPr>
              <w:jc w:val="center"/>
              <w:spacing w:after="0" w:line="124" w:lineRule="exact"/>
              <w:rPr>
                <w:sz w:val="20"/>
                <w:szCs w:val="20"/>
                <w:color w:val="auto"/>
              </w:rPr>
            </w:pPr>
            <w:r>
              <w:rPr>
                <w:rFonts w:ascii="Arial" w:cs="Arial" w:eastAsia="Arial" w:hAnsi="Arial"/>
                <w:sz w:val="11"/>
                <w:szCs w:val="11"/>
                <w:color w:val="auto"/>
                <w:w w:val="97"/>
              </w:rPr>
              <w:t>1,250,746</w:t>
            </w:r>
          </w:p>
        </w:tc>
        <w:tc>
          <w:tcPr>
            <w:tcW w:w="11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1,017,485</w:t>
            </w:r>
          </w:p>
        </w:tc>
        <w:tc>
          <w:tcPr>
            <w:tcW w:w="700" w:type="dxa"/>
            <w:vAlign w:val="bottom"/>
          </w:tcPr>
          <w:p>
            <w:pPr>
              <w:jc w:val="center"/>
              <w:spacing w:after="0" w:line="124" w:lineRule="exact"/>
              <w:rPr>
                <w:sz w:val="20"/>
                <w:szCs w:val="20"/>
                <w:color w:val="auto"/>
              </w:rPr>
            </w:pPr>
            <w:r>
              <w:rPr>
                <w:rFonts w:ascii="Arial" w:cs="Arial" w:eastAsia="Arial" w:hAnsi="Arial"/>
                <w:sz w:val="11"/>
                <w:szCs w:val="11"/>
                <w:color w:val="auto"/>
                <w:w w:val="97"/>
              </w:rPr>
              <w:t>-18.6%</w:t>
            </w:r>
          </w:p>
        </w:tc>
        <w:tc>
          <w:tcPr>
            <w:tcW w:w="7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-36.6%</w:t>
            </w:r>
          </w:p>
        </w:tc>
      </w:tr>
      <w:tr>
        <w:trPr>
          <w:trHeight w:val="123"/>
        </w:trPr>
        <w:tc>
          <w:tcPr>
            <w:tcW w:w="4440" w:type="dxa"/>
            <w:vAlign w:val="bottom"/>
            <w:tcBorders>
              <w:left w:val="single" w:sz="8" w:color="auto"/>
              <w:right w:val="single" w:sz="8" w:color="auto"/>
            </w:tcBorders>
          </w:tcPr>
          <w:p>
            <w:pPr>
              <w:ind w:left="40"/>
              <w:spacing w:after="0" w:line="124" w:lineRule="exact"/>
              <w:rPr>
                <w:sz w:val="20"/>
                <w:szCs w:val="20"/>
                <w:color w:val="auto"/>
              </w:rPr>
            </w:pPr>
            <w:r>
              <w:rPr>
                <w:rFonts w:ascii="Arial" w:cs="Arial" w:eastAsia="Arial" w:hAnsi="Arial"/>
                <w:sz w:val="11"/>
                <w:szCs w:val="11"/>
                <w:color w:val="auto"/>
              </w:rPr>
              <w:t>Investments</w:t>
            </w:r>
          </w:p>
        </w:tc>
        <w:tc>
          <w:tcPr>
            <w:tcW w:w="1000" w:type="dxa"/>
            <w:vAlign w:val="bottom"/>
          </w:tcPr>
          <w:p>
            <w:pPr>
              <w:jc w:val="center"/>
              <w:spacing w:after="0" w:line="124" w:lineRule="exact"/>
              <w:rPr>
                <w:sz w:val="20"/>
                <w:szCs w:val="20"/>
                <w:color w:val="auto"/>
              </w:rPr>
            </w:pPr>
            <w:r>
              <w:rPr>
                <w:rFonts w:ascii="Arial" w:cs="Arial" w:eastAsia="Arial" w:hAnsi="Arial"/>
                <w:sz w:val="11"/>
                <w:szCs w:val="11"/>
                <w:color w:val="auto"/>
                <w:w w:val="97"/>
              </w:rPr>
              <w:t>1,574,763</w:t>
            </w:r>
          </w:p>
        </w:tc>
        <w:tc>
          <w:tcPr>
            <w:tcW w:w="1040" w:type="dxa"/>
            <w:vAlign w:val="bottom"/>
          </w:tcPr>
          <w:p>
            <w:pPr>
              <w:jc w:val="center"/>
              <w:spacing w:after="0" w:line="124" w:lineRule="exact"/>
              <w:rPr>
                <w:sz w:val="20"/>
                <w:szCs w:val="20"/>
                <w:color w:val="auto"/>
              </w:rPr>
            </w:pPr>
            <w:r>
              <w:rPr>
                <w:rFonts w:ascii="Arial" w:cs="Arial" w:eastAsia="Arial" w:hAnsi="Arial"/>
                <w:sz w:val="11"/>
                <w:szCs w:val="11"/>
                <w:color w:val="auto"/>
                <w:w w:val="97"/>
              </w:rPr>
              <w:t>2,882,015</w:t>
            </w:r>
          </w:p>
        </w:tc>
        <w:tc>
          <w:tcPr>
            <w:tcW w:w="11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3,220,179</w:t>
            </w:r>
          </w:p>
        </w:tc>
        <w:tc>
          <w:tcPr>
            <w:tcW w:w="700" w:type="dxa"/>
            <w:vAlign w:val="bottom"/>
          </w:tcPr>
          <w:p>
            <w:pPr>
              <w:jc w:val="center"/>
              <w:spacing w:after="0" w:line="124" w:lineRule="exact"/>
              <w:rPr>
                <w:sz w:val="20"/>
                <w:szCs w:val="20"/>
                <w:color w:val="auto"/>
              </w:rPr>
            </w:pPr>
            <w:r>
              <w:rPr>
                <w:rFonts w:ascii="Arial" w:cs="Arial" w:eastAsia="Arial" w:hAnsi="Arial"/>
                <w:sz w:val="11"/>
                <w:szCs w:val="11"/>
                <w:color w:val="auto"/>
                <w:w w:val="96"/>
              </w:rPr>
              <w:t>11.7%</w:t>
            </w:r>
          </w:p>
        </w:tc>
        <w:tc>
          <w:tcPr>
            <w:tcW w:w="7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6"/>
              </w:rPr>
              <w:t>104.5%</w:t>
            </w:r>
          </w:p>
        </w:tc>
      </w:tr>
      <w:tr>
        <w:trPr>
          <w:trHeight w:val="123"/>
        </w:trPr>
        <w:tc>
          <w:tcPr>
            <w:tcW w:w="4440" w:type="dxa"/>
            <w:vAlign w:val="bottom"/>
            <w:tcBorders>
              <w:left w:val="single" w:sz="8" w:color="auto"/>
              <w:right w:val="single" w:sz="8" w:color="auto"/>
            </w:tcBorders>
          </w:tcPr>
          <w:p>
            <w:pPr>
              <w:ind w:left="40"/>
              <w:spacing w:after="0" w:line="124" w:lineRule="exact"/>
              <w:rPr>
                <w:sz w:val="20"/>
                <w:szCs w:val="20"/>
                <w:color w:val="auto"/>
              </w:rPr>
            </w:pPr>
            <w:r>
              <w:rPr>
                <w:rFonts w:ascii="Arial" w:cs="Arial" w:eastAsia="Arial" w:hAnsi="Arial"/>
                <w:sz w:val="11"/>
                <w:szCs w:val="11"/>
                <w:b w:val="1"/>
                <w:bCs w:val="1"/>
                <w:color w:val="auto"/>
              </w:rPr>
              <w:t>Total loans</w:t>
            </w:r>
          </w:p>
        </w:tc>
        <w:tc>
          <w:tcPr>
            <w:tcW w:w="1000" w:type="dxa"/>
            <w:vAlign w:val="bottom"/>
          </w:tcPr>
          <w:p>
            <w:pPr>
              <w:jc w:val="center"/>
              <w:ind w:right="5"/>
              <w:spacing w:after="0" w:line="124" w:lineRule="exact"/>
              <w:rPr>
                <w:sz w:val="20"/>
                <w:szCs w:val="20"/>
                <w:color w:val="auto"/>
              </w:rPr>
            </w:pPr>
            <w:r>
              <w:rPr>
                <w:rFonts w:ascii="Arial" w:cs="Arial" w:eastAsia="Arial" w:hAnsi="Arial"/>
                <w:sz w:val="11"/>
                <w:szCs w:val="11"/>
                <w:b w:val="1"/>
                <w:bCs w:val="1"/>
                <w:color w:val="auto"/>
                <w:w w:val="98"/>
              </w:rPr>
              <w:t>14,198,690</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13,080,143</w:t>
            </w:r>
          </w:p>
        </w:tc>
        <w:tc>
          <w:tcPr>
            <w:tcW w:w="11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rPr>
              <w:t>12,705,605</w:t>
            </w:r>
          </w:p>
        </w:tc>
        <w:tc>
          <w:tcPr>
            <w:tcW w:w="7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-2.9%</w:t>
            </w:r>
          </w:p>
        </w:tc>
        <w:tc>
          <w:tcPr>
            <w:tcW w:w="7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7"/>
              </w:rPr>
              <w:t>-10.5%</w:t>
            </w:r>
          </w:p>
        </w:tc>
      </w:tr>
      <w:tr>
        <w:trPr>
          <w:trHeight w:val="123"/>
        </w:trPr>
        <w:tc>
          <w:tcPr>
            <w:tcW w:w="4440" w:type="dxa"/>
            <w:vAlign w:val="bottom"/>
            <w:tcBorders>
              <w:left w:val="single" w:sz="8" w:color="auto"/>
              <w:right w:val="single" w:sz="8" w:color="auto"/>
            </w:tcBorders>
          </w:tcPr>
          <w:p>
            <w:pPr>
              <w:ind w:left="140"/>
              <w:spacing w:after="0" w:line="124" w:lineRule="exact"/>
              <w:rPr>
                <w:sz w:val="20"/>
                <w:szCs w:val="20"/>
                <w:color w:val="auto"/>
              </w:rPr>
            </w:pPr>
            <w:r>
              <w:rPr>
                <w:rFonts w:ascii="Arial" w:cs="Arial" w:eastAsia="Arial" w:hAnsi="Arial"/>
                <w:sz w:val="11"/>
                <w:szCs w:val="11"/>
                <w:color w:val="auto"/>
              </w:rPr>
              <w:t>Current</w:t>
            </w:r>
          </w:p>
        </w:tc>
        <w:tc>
          <w:tcPr>
            <w:tcW w:w="1000" w:type="dxa"/>
            <w:vAlign w:val="bottom"/>
          </w:tcPr>
          <w:p>
            <w:pPr>
              <w:jc w:val="center"/>
              <w:ind w:right="5"/>
              <w:spacing w:after="0" w:line="124" w:lineRule="exact"/>
              <w:rPr>
                <w:sz w:val="20"/>
                <w:szCs w:val="20"/>
                <w:color w:val="auto"/>
              </w:rPr>
            </w:pPr>
            <w:r>
              <w:rPr>
                <w:rFonts w:ascii="Arial" w:cs="Arial" w:eastAsia="Arial" w:hAnsi="Arial"/>
                <w:sz w:val="11"/>
                <w:szCs w:val="11"/>
                <w:color w:val="auto"/>
                <w:w w:val="98"/>
              </w:rPr>
              <w:t>13,220,657</w:t>
            </w:r>
          </w:p>
        </w:tc>
        <w:tc>
          <w:tcPr>
            <w:tcW w:w="1040" w:type="dxa"/>
            <w:vAlign w:val="bottom"/>
          </w:tcPr>
          <w:p>
            <w:pPr>
              <w:jc w:val="center"/>
              <w:spacing w:after="0" w:line="124" w:lineRule="exact"/>
              <w:rPr>
                <w:sz w:val="20"/>
                <w:szCs w:val="20"/>
                <w:color w:val="auto"/>
              </w:rPr>
            </w:pPr>
            <w:r>
              <w:rPr>
                <w:rFonts w:ascii="Arial" w:cs="Arial" w:eastAsia="Arial" w:hAnsi="Arial"/>
                <w:sz w:val="11"/>
                <w:szCs w:val="11"/>
                <w:color w:val="auto"/>
              </w:rPr>
              <w:t>12,106,939</w:t>
            </w:r>
          </w:p>
        </w:tc>
        <w:tc>
          <w:tcPr>
            <w:tcW w:w="11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8"/>
              </w:rPr>
              <w:t>11,672,954</w:t>
            </w:r>
          </w:p>
        </w:tc>
        <w:tc>
          <w:tcPr>
            <w:tcW w:w="700" w:type="dxa"/>
            <w:vAlign w:val="bottom"/>
          </w:tcPr>
          <w:p>
            <w:pPr>
              <w:jc w:val="center"/>
              <w:spacing w:after="0" w:line="124" w:lineRule="exact"/>
              <w:rPr>
                <w:sz w:val="20"/>
                <w:szCs w:val="20"/>
                <w:color w:val="auto"/>
              </w:rPr>
            </w:pPr>
            <w:r>
              <w:rPr>
                <w:rFonts w:ascii="Arial" w:cs="Arial" w:eastAsia="Arial" w:hAnsi="Arial"/>
                <w:sz w:val="11"/>
                <w:szCs w:val="11"/>
                <w:color w:val="auto"/>
              </w:rPr>
              <w:t>-3.6%</w:t>
            </w:r>
          </w:p>
        </w:tc>
        <w:tc>
          <w:tcPr>
            <w:tcW w:w="7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-11.7%</w:t>
            </w:r>
          </w:p>
        </w:tc>
      </w:tr>
      <w:tr>
        <w:trPr>
          <w:trHeight w:val="123"/>
        </w:trPr>
        <w:tc>
          <w:tcPr>
            <w:tcW w:w="4440" w:type="dxa"/>
            <w:vAlign w:val="bottom"/>
            <w:tcBorders>
              <w:left w:val="single" w:sz="8" w:color="auto"/>
              <w:right w:val="single" w:sz="8" w:color="auto"/>
            </w:tcBorders>
          </w:tcPr>
          <w:p>
            <w:pPr>
              <w:ind w:left="140"/>
              <w:spacing w:after="0" w:line="124" w:lineRule="exact"/>
              <w:rPr>
                <w:sz w:val="20"/>
                <w:szCs w:val="20"/>
                <w:color w:val="auto"/>
              </w:rPr>
            </w:pPr>
            <w:r>
              <w:rPr>
                <w:rFonts w:ascii="Arial" w:cs="Arial" w:eastAsia="Arial" w:hAnsi="Arial"/>
                <w:sz w:val="11"/>
                <w:szCs w:val="11"/>
                <w:color w:val="auto"/>
              </w:rPr>
              <w:t>Internal overdue loans</w:t>
            </w:r>
          </w:p>
        </w:tc>
        <w:tc>
          <w:tcPr>
            <w:tcW w:w="1000" w:type="dxa"/>
            <w:vAlign w:val="bottom"/>
          </w:tcPr>
          <w:p>
            <w:pPr>
              <w:jc w:val="center"/>
              <w:spacing w:after="0" w:line="124" w:lineRule="exact"/>
              <w:rPr>
                <w:sz w:val="20"/>
                <w:szCs w:val="20"/>
                <w:color w:val="auto"/>
              </w:rPr>
            </w:pPr>
            <w:r>
              <w:rPr>
                <w:rFonts w:ascii="Arial" w:cs="Arial" w:eastAsia="Arial" w:hAnsi="Arial"/>
                <w:sz w:val="11"/>
                <w:szCs w:val="11"/>
                <w:color w:val="auto"/>
              </w:rPr>
              <w:t>887,987</w:t>
            </w:r>
          </w:p>
        </w:tc>
        <w:tc>
          <w:tcPr>
            <w:tcW w:w="1040" w:type="dxa"/>
            <w:vAlign w:val="bottom"/>
          </w:tcPr>
          <w:p>
            <w:pPr>
              <w:jc w:val="center"/>
              <w:spacing w:after="0" w:line="124" w:lineRule="exact"/>
              <w:rPr>
                <w:sz w:val="20"/>
                <w:szCs w:val="20"/>
                <w:color w:val="auto"/>
              </w:rPr>
            </w:pPr>
            <w:r>
              <w:rPr>
                <w:rFonts w:ascii="Arial" w:cs="Arial" w:eastAsia="Arial" w:hAnsi="Arial"/>
                <w:sz w:val="11"/>
                <w:szCs w:val="11"/>
                <w:color w:val="auto"/>
              </w:rPr>
              <w:t>870,892</w:t>
            </w:r>
          </w:p>
        </w:tc>
        <w:tc>
          <w:tcPr>
            <w:tcW w:w="11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934,676</w:t>
            </w:r>
          </w:p>
        </w:tc>
        <w:tc>
          <w:tcPr>
            <w:tcW w:w="700" w:type="dxa"/>
            <w:vAlign w:val="bottom"/>
          </w:tcPr>
          <w:p>
            <w:pPr>
              <w:jc w:val="center"/>
              <w:spacing w:after="0" w:line="124" w:lineRule="exact"/>
              <w:rPr>
                <w:sz w:val="20"/>
                <w:szCs w:val="20"/>
                <w:color w:val="auto"/>
              </w:rPr>
            </w:pPr>
            <w:r>
              <w:rPr>
                <w:rFonts w:ascii="Arial" w:cs="Arial" w:eastAsia="Arial" w:hAnsi="Arial"/>
                <w:sz w:val="11"/>
                <w:szCs w:val="11"/>
                <w:color w:val="auto"/>
              </w:rPr>
              <w:t>7.3%</w:t>
            </w:r>
          </w:p>
        </w:tc>
        <w:tc>
          <w:tcPr>
            <w:tcW w:w="7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5"/>
              </w:rPr>
              <w:t>5.3%</w:t>
            </w:r>
          </w:p>
        </w:tc>
      </w:tr>
      <w:tr>
        <w:trPr>
          <w:trHeight w:val="123"/>
        </w:trPr>
        <w:tc>
          <w:tcPr>
            <w:tcW w:w="4440" w:type="dxa"/>
            <w:vAlign w:val="bottom"/>
            <w:tcBorders>
              <w:left w:val="single" w:sz="8" w:color="auto"/>
              <w:right w:val="single" w:sz="8" w:color="auto"/>
            </w:tcBorders>
          </w:tcPr>
          <w:p>
            <w:pPr>
              <w:ind w:left="140"/>
              <w:spacing w:after="0" w:line="124" w:lineRule="exact"/>
              <w:rPr>
                <w:sz w:val="20"/>
                <w:szCs w:val="20"/>
                <w:color w:val="auto"/>
              </w:rPr>
            </w:pPr>
            <w:r>
              <w:rPr>
                <w:rFonts w:ascii="Arial" w:cs="Arial" w:eastAsia="Arial" w:hAnsi="Arial"/>
                <w:sz w:val="11"/>
                <w:szCs w:val="11"/>
                <w:color w:val="auto"/>
              </w:rPr>
              <w:t>Refinanced</w:t>
            </w:r>
          </w:p>
        </w:tc>
        <w:tc>
          <w:tcPr>
            <w:tcW w:w="1000" w:type="dxa"/>
            <w:vAlign w:val="bottom"/>
          </w:tcPr>
          <w:p>
            <w:pPr>
              <w:jc w:val="center"/>
              <w:ind w:right="5"/>
              <w:spacing w:after="0" w:line="124" w:lineRule="exact"/>
              <w:rPr>
                <w:sz w:val="20"/>
                <w:szCs w:val="20"/>
                <w:color w:val="auto"/>
              </w:rPr>
            </w:pPr>
            <w:r>
              <w:rPr>
                <w:rFonts w:ascii="Arial" w:cs="Arial" w:eastAsia="Arial" w:hAnsi="Arial"/>
                <w:sz w:val="11"/>
                <w:szCs w:val="11"/>
                <w:color w:val="auto"/>
              </w:rPr>
              <w:t>90,046</w:t>
            </w:r>
          </w:p>
        </w:tc>
        <w:tc>
          <w:tcPr>
            <w:tcW w:w="1040" w:type="dxa"/>
            <w:vAlign w:val="bottom"/>
          </w:tcPr>
          <w:p>
            <w:pPr>
              <w:jc w:val="center"/>
              <w:spacing w:after="0" w:line="124" w:lineRule="exact"/>
              <w:rPr>
                <w:sz w:val="20"/>
                <w:szCs w:val="20"/>
                <w:color w:val="auto"/>
              </w:rPr>
            </w:pPr>
            <w:r>
              <w:rPr>
                <w:rFonts w:ascii="Arial" w:cs="Arial" w:eastAsia="Arial" w:hAnsi="Arial"/>
                <w:sz w:val="11"/>
                <w:szCs w:val="11"/>
                <w:color w:val="auto"/>
              </w:rPr>
              <w:t>102,312</w:t>
            </w:r>
          </w:p>
        </w:tc>
        <w:tc>
          <w:tcPr>
            <w:tcW w:w="11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97,975</w:t>
            </w:r>
          </w:p>
        </w:tc>
        <w:tc>
          <w:tcPr>
            <w:tcW w:w="700" w:type="dxa"/>
            <w:vAlign w:val="bottom"/>
          </w:tcPr>
          <w:p>
            <w:pPr>
              <w:jc w:val="center"/>
              <w:spacing w:after="0" w:line="124" w:lineRule="exact"/>
              <w:rPr>
                <w:sz w:val="20"/>
                <w:szCs w:val="20"/>
                <w:color w:val="auto"/>
              </w:rPr>
            </w:pPr>
            <w:r>
              <w:rPr>
                <w:rFonts w:ascii="Arial" w:cs="Arial" w:eastAsia="Arial" w:hAnsi="Arial"/>
                <w:sz w:val="11"/>
                <w:szCs w:val="11"/>
                <w:color w:val="auto"/>
              </w:rPr>
              <w:t>-4.2%</w:t>
            </w:r>
          </w:p>
        </w:tc>
        <w:tc>
          <w:tcPr>
            <w:tcW w:w="7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5"/>
              </w:rPr>
              <w:t>8.8%</w:t>
            </w:r>
          </w:p>
        </w:tc>
      </w:tr>
      <w:tr>
        <w:trPr>
          <w:trHeight w:val="123"/>
        </w:trPr>
        <w:tc>
          <w:tcPr>
            <w:tcW w:w="4440" w:type="dxa"/>
            <w:vAlign w:val="bottom"/>
            <w:tcBorders>
              <w:left w:val="single" w:sz="8" w:color="auto"/>
              <w:right w:val="single" w:sz="8" w:color="auto"/>
            </w:tcBorders>
          </w:tcPr>
          <w:p>
            <w:pPr>
              <w:ind w:left="140"/>
              <w:spacing w:after="0" w:line="124" w:lineRule="exact"/>
              <w:rPr>
                <w:sz w:val="20"/>
                <w:szCs w:val="20"/>
                <w:color w:val="auto"/>
              </w:rPr>
            </w:pPr>
            <w:r>
              <w:rPr>
                <w:rFonts w:ascii="Arial" w:cs="Arial" w:eastAsia="Arial" w:hAnsi="Arial"/>
                <w:sz w:val="11"/>
                <w:szCs w:val="11"/>
                <w:color w:val="auto"/>
              </w:rPr>
              <w:t>Allowance for loan losses</w:t>
            </w:r>
          </w:p>
        </w:tc>
        <w:tc>
          <w:tcPr>
            <w:tcW w:w="1000" w:type="dxa"/>
            <w:vAlign w:val="bottom"/>
          </w:tcPr>
          <w:p>
            <w:pPr>
              <w:jc w:val="center"/>
              <w:spacing w:after="0" w:line="124" w:lineRule="exact"/>
              <w:rPr>
                <w:sz w:val="20"/>
                <w:szCs w:val="20"/>
                <w:color w:val="auto"/>
              </w:rPr>
            </w:pPr>
            <w:r>
              <w:rPr>
                <w:rFonts w:ascii="Arial" w:cs="Arial" w:eastAsia="Arial" w:hAnsi="Arial"/>
                <w:sz w:val="11"/>
                <w:szCs w:val="11"/>
                <w:color w:val="auto"/>
                <w:w w:val="99"/>
              </w:rPr>
              <w:t>(1,090,404)</w:t>
            </w:r>
          </w:p>
        </w:tc>
        <w:tc>
          <w:tcPr>
            <w:tcW w:w="1040" w:type="dxa"/>
            <w:vAlign w:val="bottom"/>
          </w:tcPr>
          <w:p>
            <w:pPr>
              <w:jc w:val="center"/>
              <w:spacing w:after="0" w:line="124" w:lineRule="exact"/>
              <w:rPr>
                <w:sz w:val="20"/>
                <w:szCs w:val="20"/>
                <w:color w:val="auto"/>
              </w:rPr>
            </w:pPr>
            <w:r>
              <w:rPr>
                <w:rFonts w:ascii="Arial" w:cs="Arial" w:eastAsia="Arial" w:hAnsi="Arial"/>
                <w:sz w:val="11"/>
                <w:szCs w:val="11"/>
                <w:color w:val="auto"/>
              </w:rPr>
              <w:t>(968,082)</w:t>
            </w:r>
          </w:p>
        </w:tc>
        <w:tc>
          <w:tcPr>
            <w:tcW w:w="11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(984,286)</w:t>
            </w:r>
          </w:p>
        </w:tc>
        <w:tc>
          <w:tcPr>
            <w:tcW w:w="700" w:type="dxa"/>
            <w:vAlign w:val="bottom"/>
          </w:tcPr>
          <w:p>
            <w:pPr>
              <w:jc w:val="center"/>
              <w:spacing w:after="0" w:line="124" w:lineRule="exact"/>
              <w:rPr>
                <w:sz w:val="20"/>
                <w:szCs w:val="20"/>
                <w:color w:val="auto"/>
              </w:rPr>
            </w:pPr>
            <w:r>
              <w:rPr>
                <w:rFonts w:ascii="Arial" w:cs="Arial" w:eastAsia="Arial" w:hAnsi="Arial"/>
                <w:sz w:val="11"/>
                <w:szCs w:val="11"/>
                <w:color w:val="auto"/>
              </w:rPr>
              <w:t>1.7%</w:t>
            </w:r>
          </w:p>
        </w:tc>
        <w:tc>
          <w:tcPr>
            <w:tcW w:w="7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-9.7%</w:t>
            </w:r>
          </w:p>
        </w:tc>
      </w:tr>
      <w:tr>
        <w:trPr>
          <w:trHeight w:val="123"/>
        </w:trPr>
        <w:tc>
          <w:tcPr>
            <w:tcW w:w="4440" w:type="dxa"/>
            <w:vAlign w:val="bottom"/>
            <w:tcBorders>
              <w:left w:val="single" w:sz="8" w:color="auto"/>
              <w:right w:val="single" w:sz="8" w:color="auto"/>
            </w:tcBorders>
          </w:tcPr>
          <w:p>
            <w:pPr>
              <w:ind w:left="40"/>
              <w:spacing w:after="0" w:line="124" w:lineRule="exact"/>
              <w:rPr>
                <w:sz w:val="20"/>
                <w:szCs w:val="20"/>
                <w:color w:val="auto"/>
              </w:rPr>
            </w:pPr>
            <w:r>
              <w:rPr>
                <w:rFonts w:ascii="Arial" w:cs="Arial" w:eastAsia="Arial" w:hAnsi="Arial"/>
                <w:sz w:val="11"/>
                <w:szCs w:val="11"/>
                <w:b w:val="1"/>
                <w:bCs w:val="1"/>
                <w:color w:val="auto"/>
              </w:rPr>
              <w:t>Net loans</w:t>
            </w:r>
          </w:p>
        </w:tc>
        <w:tc>
          <w:tcPr>
            <w:tcW w:w="1000" w:type="dxa"/>
            <w:vAlign w:val="bottom"/>
          </w:tcPr>
          <w:p>
            <w:pPr>
              <w:jc w:val="center"/>
              <w:ind w:right="5"/>
              <w:spacing w:after="0" w:line="124" w:lineRule="exact"/>
              <w:rPr>
                <w:sz w:val="20"/>
                <w:szCs w:val="20"/>
                <w:color w:val="auto"/>
              </w:rPr>
            </w:pPr>
            <w:r>
              <w:rPr>
                <w:rFonts w:ascii="Arial" w:cs="Arial" w:eastAsia="Arial" w:hAnsi="Arial"/>
                <w:sz w:val="11"/>
                <w:szCs w:val="11"/>
                <w:b w:val="1"/>
                <w:bCs w:val="1"/>
                <w:color w:val="auto"/>
                <w:w w:val="98"/>
              </w:rPr>
              <w:t>13,108,286</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8"/>
              </w:rPr>
              <w:t>12,112,061</w:t>
            </w:r>
          </w:p>
        </w:tc>
        <w:tc>
          <w:tcPr>
            <w:tcW w:w="11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8"/>
              </w:rPr>
              <w:t>11,721,319</w:t>
            </w:r>
          </w:p>
        </w:tc>
        <w:tc>
          <w:tcPr>
            <w:tcW w:w="70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-3.2%</w:t>
            </w:r>
          </w:p>
        </w:tc>
        <w:tc>
          <w:tcPr>
            <w:tcW w:w="7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7"/>
              </w:rPr>
              <w:t>-10.6%</w:t>
            </w:r>
          </w:p>
        </w:tc>
      </w:tr>
      <w:tr>
        <w:trPr>
          <w:trHeight w:val="123"/>
        </w:trPr>
        <w:tc>
          <w:tcPr>
            <w:tcW w:w="4440" w:type="dxa"/>
            <w:vAlign w:val="bottom"/>
            <w:tcBorders>
              <w:left w:val="single" w:sz="8" w:color="auto"/>
              <w:right w:val="single" w:sz="8" w:color="auto"/>
            </w:tcBorders>
          </w:tcPr>
          <w:p>
            <w:pPr>
              <w:ind w:left="40"/>
              <w:spacing w:after="0" w:line="124" w:lineRule="exact"/>
              <w:rPr>
                <w:sz w:val="20"/>
                <w:szCs w:val="20"/>
                <w:color w:val="auto"/>
              </w:rPr>
            </w:pPr>
            <w:r>
              <w:rPr>
                <w:rFonts w:ascii="Arial" w:cs="Arial" w:eastAsia="Arial" w:hAnsi="Arial"/>
                <w:sz w:val="11"/>
                <w:szCs w:val="11"/>
                <w:color w:val="auto"/>
              </w:rPr>
              <w:t>Property, plant and equipment, net</w:t>
            </w:r>
          </w:p>
        </w:tc>
        <w:tc>
          <w:tcPr>
            <w:tcW w:w="1000" w:type="dxa"/>
            <w:vAlign w:val="bottom"/>
          </w:tcPr>
          <w:p>
            <w:pPr>
              <w:jc w:val="center"/>
              <w:spacing w:after="0" w:line="124" w:lineRule="exact"/>
              <w:rPr>
                <w:sz w:val="20"/>
                <w:szCs w:val="20"/>
                <w:color w:val="auto"/>
              </w:rPr>
            </w:pPr>
            <w:r>
              <w:rPr>
                <w:rFonts w:ascii="Arial" w:cs="Arial" w:eastAsia="Arial" w:hAnsi="Arial"/>
                <w:sz w:val="11"/>
                <w:szCs w:val="11"/>
                <w:color w:val="auto"/>
              </w:rPr>
              <w:t>130,977</w:t>
            </w:r>
          </w:p>
        </w:tc>
        <w:tc>
          <w:tcPr>
            <w:tcW w:w="1040" w:type="dxa"/>
            <w:vAlign w:val="bottom"/>
          </w:tcPr>
          <w:p>
            <w:pPr>
              <w:jc w:val="center"/>
              <w:spacing w:after="0" w:line="124" w:lineRule="exact"/>
              <w:rPr>
                <w:sz w:val="20"/>
                <w:szCs w:val="20"/>
                <w:color w:val="auto"/>
              </w:rPr>
            </w:pPr>
            <w:r>
              <w:rPr>
                <w:rFonts w:ascii="Arial" w:cs="Arial" w:eastAsia="Arial" w:hAnsi="Arial"/>
                <w:sz w:val="11"/>
                <w:szCs w:val="11"/>
                <w:color w:val="auto"/>
              </w:rPr>
              <w:t>135,215</w:t>
            </w:r>
          </w:p>
        </w:tc>
        <w:tc>
          <w:tcPr>
            <w:tcW w:w="11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132,122</w:t>
            </w:r>
          </w:p>
        </w:tc>
        <w:tc>
          <w:tcPr>
            <w:tcW w:w="700" w:type="dxa"/>
            <w:vAlign w:val="bottom"/>
          </w:tcPr>
          <w:p>
            <w:pPr>
              <w:jc w:val="center"/>
              <w:spacing w:after="0" w:line="124" w:lineRule="exact"/>
              <w:rPr>
                <w:sz w:val="20"/>
                <w:szCs w:val="20"/>
                <w:color w:val="auto"/>
              </w:rPr>
            </w:pPr>
            <w:r>
              <w:rPr>
                <w:rFonts w:ascii="Arial" w:cs="Arial" w:eastAsia="Arial" w:hAnsi="Arial"/>
                <w:sz w:val="11"/>
                <w:szCs w:val="11"/>
                <w:color w:val="auto"/>
              </w:rPr>
              <w:t>-2.3%</w:t>
            </w:r>
          </w:p>
        </w:tc>
        <w:tc>
          <w:tcPr>
            <w:tcW w:w="7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5"/>
              </w:rPr>
              <w:t>0.9%</w:t>
            </w:r>
          </w:p>
        </w:tc>
      </w:tr>
      <w:tr>
        <w:trPr>
          <w:trHeight w:val="123"/>
        </w:trPr>
        <w:tc>
          <w:tcPr>
            <w:tcW w:w="4440" w:type="dxa"/>
            <w:vAlign w:val="bottom"/>
            <w:tcBorders>
              <w:left w:val="single" w:sz="8" w:color="auto"/>
              <w:right w:val="single" w:sz="8" w:color="auto"/>
            </w:tcBorders>
          </w:tcPr>
          <w:p>
            <w:pPr>
              <w:ind w:left="40"/>
              <w:spacing w:after="0" w:line="124" w:lineRule="exact"/>
              <w:rPr>
                <w:sz w:val="20"/>
                <w:szCs w:val="20"/>
                <w:color w:val="auto"/>
              </w:rPr>
            </w:pPr>
            <w:r>
              <w:rPr>
                <w:rFonts w:ascii="Arial" w:cs="Arial" w:eastAsia="Arial" w:hAnsi="Arial"/>
                <w:sz w:val="11"/>
                <w:szCs w:val="11"/>
                <w:color w:val="auto"/>
              </w:rPr>
              <w:t>Other assets</w:t>
            </w:r>
          </w:p>
        </w:tc>
        <w:tc>
          <w:tcPr>
            <w:tcW w:w="1000" w:type="dxa"/>
            <w:vAlign w:val="bottom"/>
          </w:tcPr>
          <w:p>
            <w:pPr>
              <w:jc w:val="center"/>
              <w:spacing w:after="0" w:line="124" w:lineRule="exact"/>
              <w:rPr>
                <w:sz w:val="20"/>
                <w:szCs w:val="20"/>
                <w:color w:val="auto"/>
              </w:rPr>
            </w:pPr>
            <w:r>
              <w:rPr>
                <w:rFonts w:ascii="Arial" w:cs="Arial" w:eastAsia="Arial" w:hAnsi="Arial"/>
                <w:sz w:val="11"/>
                <w:szCs w:val="11"/>
                <w:color w:val="auto"/>
              </w:rPr>
              <w:t>724,569</w:t>
            </w:r>
          </w:p>
        </w:tc>
        <w:tc>
          <w:tcPr>
            <w:tcW w:w="1040" w:type="dxa"/>
            <w:vAlign w:val="bottom"/>
          </w:tcPr>
          <w:p>
            <w:pPr>
              <w:jc w:val="center"/>
              <w:spacing w:after="0" w:line="124" w:lineRule="exact"/>
              <w:rPr>
                <w:sz w:val="20"/>
                <w:szCs w:val="20"/>
                <w:color w:val="auto"/>
              </w:rPr>
            </w:pPr>
            <w:r>
              <w:rPr>
                <w:rFonts w:ascii="Arial" w:cs="Arial" w:eastAsia="Arial" w:hAnsi="Arial"/>
                <w:sz w:val="11"/>
                <w:szCs w:val="11"/>
                <w:color w:val="auto"/>
              </w:rPr>
              <w:t>810,313</w:t>
            </w:r>
          </w:p>
        </w:tc>
        <w:tc>
          <w:tcPr>
            <w:tcW w:w="11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900,293</w:t>
            </w:r>
          </w:p>
        </w:tc>
        <w:tc>
          <w:tcPr>
            <w:tcW w:w="700" w:type="dxa"/>
            <w:vAlign w:val="bottom"/>
          </w:tcPr>
          <w:p>
            <w:pPr>
              <w:jc w:val="center"/>
              <w:spacing w:after="0" w:line="124" w:lineRule="exact"/>
              <w:rPr>
                <w:sz w:val="20"/>
                <w:szCs w:val="20"/>
                <w:color w:val="auto"/>
              </w:rPr>
            </w:pPr>
            <w:r>
              <w:rPr>
                <w:rFonts w:ascii="Arial" w:cs="Arial" w:eastAsia="Arial" w:hAnsi="Arial"/>
                <w:sz w:val="11"/>
                <w:szCs w:val="11"/>
                <w:color w:val="auto"/>
                <w:w w:val="96"/>
              </w:rPr>
              <w:t>11.1%</w:t>
            </w:r>
          </w:p>
        </w:tc>
        <w:tc>
          <w:tcPr>
            <w:tcW w:w="7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24.3%</w:t>
            </w:r>
          </w:p>
        </w:tc>
      </w:tr>
      <w:tr>
        <w:trPr>
          <w:trHeight w:val="149"/>
        </w:trPr>
        <w:tc>
          <w:tcPr>
            <w:tcW w:w="4440" w:type="dxa"/>
            <w:vAlign w:val="bottom"/>
            <w:tcBorders>
              <w:left w:val="single" w:sz="8" w:color="auto"/>
              <w:right w:val="single" w:sz="8" w:color="auto"/>
            </w:tcBorders>
          </w:tcPr>
          <w:p>
            <w:pPr>
              <w:ind w:left="1900"/>
              <w:spacing w:after="0"/>
              <w:rPr>
                <w:sz w:val="20"/>
                <w:szCs w:val="20"/>
                <w:color w:val="auto"/>
              </w:rPr>
            </w:pPr>
            <w:r>
              <w:rPr>
                <w:rFonts w:ascii="Arial" w:cs="Arial" w:eastAsia="Arial" w:hAnsi="Arial"/>
                <w:sz w:val="11"/>
                <w:szCs w:val="11"/>
                <w:b w:val="1"/>
                <w:bCs w:val="1"/>
                <w:color w:val="auto"/>
              </w:rPr>
              <w:t>Total assets</w:t>
            </w:r>
          </w:p>
        </w:tc>
        <w:tc>
          <w:tcPr>
            <w:tcW w:w="1000" w:type="dxa"/>
            <w:vAlign w:val="bottom"/>
          </w:tcPr>
          <w:p>
            <w:pPr>
              <w:jc w:val="center"/>
              <w:ind w:right="5"/>
              <w:spacing w:after="0"/>
              <w:rPr>
                <w:sz w:val="20"/>
                <w:szCs w:val="20"/>
                <w:color w:val="auto"/>
              </w:rPr>
            </w:pPr>
            <w:r>
              <w:rPr>
                <w:rFonts w:ascii="Arial" w:cs="Arial" w:eastAsia="Arial" w:hAnsi="Arial"/>
                <w:sz w:val="11"/>
                <w:szCs w:val="11"/>
                <w:b w:val="1"/>
                <w:bCs w:val="1"/>
                <w:color w:val="auto"/>
                <w:w w:val="98"/>
              </w:rPr>
              <w:t>17,144,058</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17,190,351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16,991,398</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-1.2%</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-0.9%</w:t>
            </w:r>
          </w:p>
        </w:tc>
      </w:tr>
      <w:tr>
        <w:trPr>
          <w:trHeight w:val="221"/>
        </w:trPr>
        <w:tc>
          <w:tcPr>
            <w:tcW w:w="4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LIABILITIES AND NET SHAREHOLDERS’ EQUITY</w:t>
            </w: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r>
      <w:tr>
        <w:trPr>
          <w:trHeight w:val="123"/>
        </w:trPr>
        <w:tc>
          <w:tcPr>
            <w:tcW w:w="4440" w:type="dxa"/>
            <w:vAlign w:val="bottom"/>
            <w:tcBorders>
              <w:left w:val="single" w:sz="8" w:color="auto"/>
              <w:right w:val="single" w:sz="8" w:color="auto"/>
            </w:tcBorders>
          </w:tcPr>
          <w:p>
            <w:pPr>
              <w:ind w:left="40"/>
              <w:spacing w:after="0" w:line="124" w:lineRule="exact"/>
              <w:rPr>
                <w:sz w:val="20"/>
                <w:szCs w:val="20"/>
                <w:color w:val="auto"/>
              </w:rPr>
            </w:pPr>
            <w:r>
              <w:rPr>
                <w:rFonts w:ascii="Arial" w:cs="Arial" w:eastAsia="Arial" w:hAnsi="Arial"/>
                <w:sz w:val="11"/>
                <w:szCs w:val="11"/>
                <w:color w:val="auto"/>
              </w:rPr>
              <w:t>Deposits and obligations</w:t>
            </w:r>
          </w:p>
        </w:tc>
        <w:tc>
          <w:tcPr>
            <w:tcW w:w="1000" w:type="dxa"/>
            <w:vAlign w:val="bottom"/>
          </w:tcPr>
          <w:p>
            <w:pPr>
              <w:jc w:val="center"/>
              <w:spacing w:after="0" w:line="124" w:lineRule="exact"/>
              <w:rPr>
                <w:sz w:val="20"/>
                <w:szCs w:val="20"/>
                <w:color w:val="auto"/>
              </w:rPr>
            </w:pPr>
            <w:r>
              <w:rPr>
                <w:rFonts w:ascii="Arial" w:cs="Arial" w:eastAsia="Arial" w:hAnsi="Arial"/>
                <w:sz w:val="11"/>
                <w:szCs w:val="11"/>
                <w:color w:val="auto"/>
                <w:w w:val="97"/>
              </w:rPr>
              <w:t>9,858,344</w:t>
            </w:r>
          </w:p>
        </w:tc>
        <w:tc>
          <w:tcPr>
            <w:tcW w:w="1040" w:type="dxa"/>
            <w:vAlign w:val="bottom"/>
          </w:tcPr>
          <w:p>
            <w:pPr>
              <w:jc w:val="center"/>
              <w:spacing w:after="0" w:line="124" w:lineRule="exact"/>
              <w:rPr>
                <w:sz w:val="20"/>
                <w:szCs w:val="20"/>
                <w:color w:val="auto"/>
              </w:rPr>
            </w:pPr>
            <w:r>
              <w:rPr>
                <w:rFonts w:ascii="Arial" w:cs="Arial" w:eastAsia="Arial" w:hAnsi="Arial"/>
                <w:sz w:val="11"/>
                <w:szCs w:val="11"/>
                <w:color w:val="auto"/>
                <w:w w:val="98"/>
              </w:rPr>
              <w:t>10,118,296</w:t>
            </w:r>
          </w:p>
        </w:tc>
        <w:tc>
          <w:tcPr>
            <w:tcW w:w="11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10,531,506</w:t>
            </w:r>
          </w:p>
        </w:tc>
        <w:tc>
          <w:tcPr>
            <w:tcW w:w="700" w:type="dxa"/>
            <w:vAlign w:val="bottom"/>
          </w:tcPr>
          <w:p>
            <w:pPr>
              <w:jc w:val="center"/>
              <w:spacing w:after="0" w:line="124" w:lineRule="exact"/>
              <w:rPr>
                <w:sz w:val="20"/>
                <w:szCs w:val="20"/>
                <w:color w:val="auto"/>
              </w:rPr>
            </w:pPr>
            <w:r>
              <w:rPr>
                <w:rFonts w:ascii="Arial" w:cs="Arial" w:eastAsia="Arial" w:hAnsi="Arial"/>
                <w:sz w:val="11"/>
                <w:szCs w:val="11"/>
                <w:color w:val="auto"/>
              </w:rPr>
              <w:t>4.1%</w:t>
            </w:r>
          </w:p>
        </w:tc>
        <w:tc>
          <w:tcPr>
            <w:tcW w:w="7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5"/>
              </w:rPr>
              <w:t>6.8%</w:t>
            </w:r>
          </w:p>
        </w:tc>
      </w:tr>
      <w:tr>
        <w:trPr>
          <w:trHeight w:val="123"/>
        </w:trPr>
        <w:tc>
          <w:tcPr>
            <w:tcW w:w="4440" w:type="dxa"/>
            <w:vAlign w:val="bottom"/>
            <w:tcBorders>
              <w:left w:val="single" w:sz="8" w:color="auto"/>
              <w:right w:val="single" w:sz="8" w:color="auto"/>
            </w:tcBorders>
          </w:tcPr>
          <w:p>
            <w:pPr>
              <w:ind w:left="40"/>
              <w:spacing w:after="0" w:line="124" w:lineRule="exact"/>
              <w:rPr>
                <w:sz w:val="20"/>
                <w:szCs w:val="20"/>
                <w:color w:val="auto"/>
              </w:rPr>
            </w:pPr>
            <w:r>
              <w:rPr>
                <w:rFonts w:ascii="Arial" w:cs="Arial" w:eastAsia="Arial" w:hAnsi="Arial"/>
                <w:sz w:val="11"/>
                <w:szCs w:val="11"/>
                <w:color w:val="auto"/>
              </w:rPr>
              <w:t>Due to banks and correspondents</w:t>
            </w:r>
          </w:p>
        </w:tc>
        <w:tc>
          <w:tcPr>
            <w:tcW w:w="1000" w:type="dxa"/>
            <w:vAlign w:val="bottom"/>
          </w:tcPr>
          <w:p>
            <w:pPr>
              <w:jc w:val="center"/>
              <w:spacing w:after="0" w:line="124" w:lineRule="exact"/>
              <w:rPr>
                <w:sz w:val="20"/>
                <w:szCs w:val="20"/>
                <w:color w:val="auto"/>
              </w:rPr>
            </w:pPr>
            <w:r>
              <w:rPr>
                <w:rFonts w:ascii="Arial" w:cs="Arial" w:eastAsia="Arial" w:hAnsi="Arial"/>
                <w:sz w:val="11"/>
                <w:szCs w:val="11"/>
                <w:color w:val="auto"/>
                <w:w w:val="97"/>
              </w:rPr>
              <w:t>2,696,599</w:t>
            </w:r>
          </w:p>
        </w:tc>
        <w:tc>
          <w:tcPr>
            <w:tcW w:w="1040" w:type="dxa"/>
            <w:vAlign w:val="bottom"/>
          </w:tcPr>
          <w:p>
            <w:pPr>
              <w:jc w:val="center"/>
              <w:spacing w:after="0" w:line="124" w:lineRule="exact"/>
              <w:rPr>
                <w:sz w:val="20"/>
                <w:szCs w:val="20"/>
                <w:color w:val="auto"/>
              </w:rPr>
            </w:pPr>
            <w:r>
              <w:rPr>
                <w:rFonts w:ascii="Arial" w:cs="Arial" w:eastAsia="Arial" w:hAnsi="Arial"/>
                <w:sz w:val="11"/>
                <w:szCs w:val="11"/>
                <w:color w:val="auto"/>
                <w:w w:val="97"/>
              </w:rPr>
              <w:t>2,428,753</w:t>
            </w:r>
          </w:p>
        </w:tc>
        <w:tc>
          <w:tcPr>
            <w:tcW w:w="11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2,107,877</w:t>
            </w:r>
          </w:p>
        </w:tc>
        <w:tc>
          <w:tcPr>
            <w:tcW w:w="700" w:type="dxa"/>
            <w:vAlign w:val="bottom"/>
          </w:tcPr>
          <w:p>
            <w:pPr>
              <w:jc w:val="center"/>
              <w:spacing w:after="0" w:line="124" w:lineRule="exact"/>
              <w:rPr>
                <w:sz w:val="20"/>
                <w:szCs w:val="20"/>
                <w:color w:val="auto"/>
              </w:rPr>
            </w:pPr>
            <w:r>
              <w:rPr>
                <w:rFonts w:ascii="Arial" w:cs="Arial" w:eastAsia="Arial" w:hAnsi="Arial"/>
                <w:sz w:val="11"/>
                <w:szCs w:val="11"/>
                <w:color w:val="auto"/>
                <w:w w:val="97"/>
              </w:rPr>
              <w:t>-13.2%</w:t>
            </w:r>
          </w:p>
        </w:tc>
        <w:tc>
          <w:tcPr>
            <w:tcW w:w="7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-21.8%</w:t>
            </w:r>
          </w:p>
        </w:tc>
      </w:tr>
      <w:tr>
        <w:trPr>
          <w:trHeight w:val="123"/>
        </w:trPr>
        <w:tc>
          <w:tcPr>
            <w:tcW w:w="4440" w:type="dxa"/>
            <w:vAlign w:val="bottom"/>
            <w:tcBorders>
              <w:left w:val="single" w:sz="8" w:color="auto"/>
              <w:right w:val="single" w:sz="8" w:color="auto"/>
            </w:tcBorders>
          </w:tcPr>
          <w:p>
            <w:pPr>
              <w:ind w:left="40"/>
              <w:spacing w:after="0" w:line="124" w:lineRule="exact"/>
              <w:rPr>
                <w:sz w:val="20"/>
                <w:szCs w:val="20"/>
                <w:color w:val="auto"/>
              </w:rPr>
            </w:pPr>
            <w:r>
              <w:rPr>
                <w:rFonts w:ascii="Arial" w:cs="Arial" w:eastAsia="Arial" w:hAnsi="Arial"/>
                <w:sz w:val="11"/>
                <w:szCs w:val="11"/>
                <w:color w:val="auto"/>
              </w:rPr>
              <w:t>Bonds and subordinated debt</w:t>
            </w:r>
          </w:p>
        </w:tc>
        <w:tc>
          <w:tcPr>
            <w:tcW w:w="1000" w:type="dxa"/>
            <w:vAlign w:val="bottom"/>
          </w:tcPr>
          <w:p>
            <w:pPr>
              <w:jc w:val="center"/>
              <w:spacing w:after="0" w:line="124" w:lineRule="exact"/>
              <w:rPr>
                <w:sz w:val="20"/>
                <w:szCs w:val="20"/>
                <w:color w:val="auto"/>
              </w:rPr>
            </w:pPr>
            <w:r>
              <w:rPr>
                <w:rFonts w:ascii="Arial" w:cs="Arial" w:eastAsia="Arial" w:hAnsi="Arial"/>
                <w:sz w:val="11"/>
                <w:szCs w:val="11"/>
                <w:color w:val="auto"/>
              </w:rPr>
              <w:t>651,641</w:t>
            </w:r>
          </w:p>
        </w:tc>
        <w:tc>
          <w:tcPr>
            <w:tcW w:w="1040" w:type="dxa"/>
            <w:vAlign w:val="bottom"/>
          </w:tcPr>
          <w:p>
            <w:pPr>
              <w:jc w:val="center"/>
              <w:spacing w:after="0" w:line="124" w:lineRule="exact"/>
              <w:rPr>
                <w:sz w:val="20"/>
                <w:szCs w:val="20"/>
                <w:color w:val="auto"/>
              </w:rPr>
            </w:pPr>
            <w:r>
              <w:rPr>
                <w:rFonts w:ascii="Arial" w:cs="Arial" w:eastAsia="Arial" w:hAnsi="Arial"/>
                <w:sz w:val="11"/>
                <w:szCs w:val="11"/>
                <w:color w:val="auto"/>
              </w:rPr>
              <w:t>516,761</w:t>
            </w:r>
          </w:p>
        </w:tc>
        <w:tc>
          <w:tcPr>
            <w:tcW w:w="11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572,626</w:t>
            </w:r>
          </w:p>
        </w:tc>
        <w:tc>
          <w:tcPr>
            <w:tcW w:w="700" w:type="dxa"/>
            <w:vAlign w:val="bottom"/>
          </w:tcPr>
          <w:p>
            <w:pPr>
              <w:jc w:val="center"/>
              <w:spacing w:after="0" w:line="124" w:lineRule="exact"/>
              <w:rPr>
                <w:sz w:val="20"/>
                <w:szCs w:val="20"/>
                <w:color w:val="auto"/>
              </w:rPr>
            </w:pPr>
            <w:r>
              <w:rPr>
                <w:rFonts w:ascii="Arial" w:cs="Arial" w:eastAsia="Arial" w:hAnsi="Arial"/>
                <w:sz w:val="11"/>
                <w:szCs w:val="11"/>
                <w:color w:val="auto"/>
                <w:w w:val="96"/>
              </w:rPr>
              <w:t>10.8%</w:t>
            </w:r>
          </w:p>
        </w:tc>
        <w:tc>
          <w:tcPr>
            <w:tcW w:w="7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-12.1%</w:t>
            </w:r>
          </w:p>
        </w:tc>
      </w:tr>
      <w:tr>
        <w:trPr>
          <w:trHeight w:val="123"/>
        </w:trPr>
        <w:tc>
          <w:tcPr>
            <w:tcW w:w="4440" w:type="dxa"/>
            <w:vAlign w:val="bottom"/>
            <w:tcBorders>
              <w:left w:val="single" w:sz="8" w:color="auto"/>
              <w:right w:val="single" w:sz="8" w:color="auto"/>
            </w:tcBorders>
          </w:tcPr>
          <w:p>
            <w:pPr>
              <w:ind w:left="40"/>
              <w:spacing w:after="0" w:line="124" w:lineRule="exact"/>
              <w:rPr>
                <w:sz w:val="20"/>
                <w:szCs w:val="20"/>
                <w:color w:val="auto"/>
              </w:rPr>
            </w:pPr>
            <w:r>
              <w:rPr>
                <w:rFonts w:ascii="Arial" w:cs="Arial" w:eastAsia="Arial" w:hAnsi="Arial"/>
                <w:sz w:val="11"/>
                <w:szCs w:val="11"/>
                <w:color w:val="auto"/>
              </w:rPr>
              <w:t>Other liabilities</w:t>
            </w:r>
          </w:p>
        </w:tc>
        <w:tc>
          <w:tcPr>
            <w:tcW w:w="1000" w:type="dxa"/>
            <w:vAlign w:val="bottom"/>
          </w:tcPr>
          <w:p>
            <w:pPr>
              <w:jc w:val="center"/>
              <w:spacing w:after="0" w:line="124" w:lineRule="exact"/>
              <w:rPr>
                <w:sz w:val="20"/>
                <w:szCs w:val="20"/>
                <w:color w:val="auto"/>
              </w:rPr>
            </w:pPr>
            <w:r>
              <w:rPr>
                <w:rFonts w:ascii="Arial" w:cs="Arial" w:eastAsia="Arial" w:hAnsi="Arial"/>
                <w:sz w:val="11"/>
                <w:szCs w:val="11"/>
                <w:color w:val="auto"/>
                <w:w w:val="97"/>
              </w:rPr>
              <w:t>1,059,119</w:t>
            </w:r>
          </w:p>
        </w:tc>
        <w:tc>
          <w:tcPr>
            <w:tcW w:w="1040" w:type="dxa"/>
            <w:vAlign w:val="bottom"/>
          </w:tcPr>
          <w:p>
            <w:pPr>
              <w:jc w:val="center"/>
              <w:spacing w:after="0" w:line="124" w:lineRule="exact"/>
              <w:rPr>
                <w:sz w:val="20"/>
                <w:szCs w:val="20"/>
                <w:color w:val="auto"/>
              </w:rPr>
            </w:pPr>
            <w:r>
              <w:rPr>
                <w:rFonts w:ascii="Arial" w:cs="Arial" w:eastAsia="Arial" w:hAnsi="Arial"/>
                <w:sz w:val="11"/>
                <w:szCs w:val="11"/>
                <w:color w:val="auto"/>
                <w:w w:val="97"/>
              </w:rPr>
              <w:t>1,494,755</w:t>
            </w:r>
          </w:p>
        </w:tc>
        <w:tc>
          <w:tcPr>
            <w:tcW w:w="11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1,106,743</w:t>
            </w:r>
          </w:p>
        </w:tc>
        <w:tc>
          <w:tcPr>
            <w:tcW w:w="700" w:type="dxa"/>
            <w:vAlign w:val="bottom"/>
          </w:tcPr>
          <w:p>
            <w:pPr>
              <w:jc w:val="center"/>
              <w:spacing w:after="0" w:line="124" w:lineRule="exact"/>
              <w:rPr>
                <w:sz w:val="20"/>
                <w:szCs w:val="20"/>
                <w:color w:val="auto"/>
              </w:rPr>
            </w:pPr>
            <w:r>
              <w:rPr>
                <w:rFonts w:ascii="Arial" w:cs="Arial" w:eastAsia="Arial" w:hAnsi="Arial"/>
                <w:sz w:val="11"/>
                <w:szCs w:val="11"/>
                <w:color w:val="auto"/>
                <w:w w:val="97"/>
              </w:rPr>
              <w:t>-26.0%</w:t>
            </w:r>
          </w:p>
        </w:tc>
        <w:tc>
          <w:tcPr>
            <w:tcW w:w="7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5"/>
              </w:rPr>
              <w:t>4.5%</w:t>
            </w:r>
          </w:p>
        </w:tc>
      </w:tr>
      <w:tr>
        <w:trPr>
          <w:trHeight w:val="149"/>
        </w:trPr>
        <w:tc>
          <w:tcPr>
            <w:tcW w:w="4440" w:type="dxa"/>
            <w:vAlign w:val="bottom"/>
            <w:tcBorders>
              <w:left w:val="single" w:sz="8" w:color="auto"/>
              <w:right w:val="single" w:sz="8" w:color="auto"/>
            </w:tcBorders>
          </w:tcPr>
          <w:p>
            <w:pPr>
              <w:ind w:left="1840"/>
              <w:spacing w:after="0"/>
              <w:rPr>
                <w:sz w:val="20"/>
                <w:szCs w:val="20"/>
                <w:color w:val="auto"/>
              </w:rPr>
            </w:pPr>
            <w:r>
              <w:rPr>
                <w:rFonts w:ascii="Arial" w:cs="Arial" w:eastAsia="Arial" w:hAnsi="Arial"/>
                <w:sz w:val="11"/>
                <w:szCs w:val="11"/>
                <w:b w:val="1"/>
                <w:bCs w:val="1"/>
                <w:color w:val="auto"/>
              </w:rPr>
              <w:t>Total liabilities</w:t>
            </w:r>
          </w:p>
        </w:tc>
        <w:tc>
          <w:tcPr>
            <w:tcW w:w="1000" w:type="dxa"/>
            <w:vAlign w:val="bottom"/>
          </w:tcPr>
          <w:p>
            <w:pPr>
              <w:jc w:val="center"/>
              <w:ind w:right="5"/>
              <w:spacing w:after="0"/>
              <w:rPr>
                <w:sz w:val="20"/>
                <w:szCs w:val="20"/>
                <w:color w:val="auto"/>
              </w:rPr>
            </w:pPr>
            <w:r>
              <w:rPr>
                <w:rFonts w:ascii="Arial" w:cs="Arial" w:eastAsia="Arial" w:hAnsi="Arial"/>
                <w:sz w:val="11"/>
                <w:szCs w:val="11"/>
                <w:b w:val="1"/>
                <w:bCs w:val="1"/>
                <w:color w:val="auto"/>
                <w:w w:val="98"/>
              </w:rPr>
              <w:t>14,265,703</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rPr>
              <w:t>14,558,564</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14,318,752</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-1.6%</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0.4%</w:t>
            </w:r>
          </w:p>
        </w:tc>
      </w:tr>
      <w:tr>
        <w:trPr>
          <w:trHeight w:val="247"/>
        </w:trPr>
        <w:tc>
          <w:tcPr>
            <w:tcW w:w="4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Net equity</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w w:val="97"/>
              </w:rPr>
              <w:t>2,878,354</w:t>
            </w:r>
          </w:p>
        </w:tc>
        <w:tc>
          <w:tcPr>
            <w:tcW w:w="1040" w:type="dxa"/>
            <w:vAlign w:val="bottom"/>
          </w:tcPr>
          <w:p>
            <w:pPr>
              <w:jc w:val="center"/>
              <w:spacing w:after="0"/>
              <w:rPr>
                <w:sz w:val="20"/>
                <w:szCs w:val="20"/>
                <w:color w:val="auto"/>
              </w:rPr>
            </w:pPr>
            <w:r>
              <w:rPr>
                <w:rFonts w:ascii="Arial" w:cs="Arial" w:eastAsia="Arial" w:hAnsi="Arial"/>
                <w:sz w:val="11"/>
                <w:szCs w:val="11"/>
                <w:b w:val="1"/>
                <w:bCs w:val="1"/>
                <w:color w:val="auto"/>
                <w:w w:val="97"/>
              </w:rPr>
              <w:t>2,631,786</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2,672,646</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1.6%</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-7.1%</w:t>
            </w:r>
          </w:p>
        </w:tc>
      </w:tr>
      <w:tr>
        <w:trPr>
          <w:trHeight w:val="227"/>
        </w:trPr>
        <w:tc>
          <w:tcPr>
            <w:tcW w:w="4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TOTAL LIABILITIES AND NET SHAREHOLDERS’ EQUITY</w:t>
            </w:r>
          </w:p>
        </w:tc>
        <w:tc>
          <w:tcPr>
            <w:tcW w:w="1000" w:type="dxa"/>
            <w:vAlign w:val="bottom"/>
            <w:tcBorders>
              <w:bottom w:val="single" w:sz="8" w:color="auto"/>
            </w:tcBorders>
          </w:tcPr>
          <w:p>
            <w:pPr>
              <w:jc w:val="center"/>
              <w:ind w:right="5"/>
              <w:spacing w:after="0"/>
              <w:rPr>
                <w:sz w:val="20"/>
                <w:szCs w:val="20"/>
                <w:color w:val="auto"/>
              </w:rPr>
            </w:pPr>
            <w:r>
              <w:rPr>
                <w:rFonts w:ascii="Arial" w:cs="Arial" w:eastAsia="Arial" w:hAnsi="Arial"/>
                <w:sz w:val="11"/>
                <w:szCs w:val="11"/>
                <w:b w:val="1"/>
                <w:bCs w:val="1"/>
                <w:color w:val="auto"/>
                <w:w w:val="98"/>
              </w:rPr>
              <w:t>17,144,058</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17,190,351</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rPr>
              <w:t>16,991,398</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-1.2%</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-0.9%</w:t>
            </w:r>
          </w:p>
        </w:tc>
      </w:tr>
    </w:tbl>
    <w:p>
      <w:pPr>
        <w:spacing w:after="0" w:line="154" w:lineRule="exact"/>
        <w:rPr>
          <w:sz w:val="20"/>
          <w:szCs w:val="20"/>
          <w:color w:val="auto"/>
        </w:rPr>
      </w:pPr>
    </w:p>
    <w:p>
      <w:pPr>
        <w:ind w:left="4880"/>
        <w:spacing w:after="0"/>
        <w:rPr>
          <w:sz w:val="20"/>
          <w:szCs w:val="20"/>
          <w:color w:val="auto"/>
        </w:rPr>
      </w:pPr>
      <w:r>
        <w:rPr>
          <w:rFonts w:ascii="Arial" w:cs="Arial" w:eastAsia="Arial" w:hAnsi="Arial"/>
          <w:sz w:val="12"/>
          <w:szCs w:val="12"/>
          <w:b w:val="1"/>
          <w:bCs w:val="1"/>
          <w:color w:val="auto"/>
        </w:rPr>
        <w:t>Statement of Income</w:t>
      </w:r>
    </w:p>
    <w:p>
      <w:pPr>
        <w:spacing w:after="0" w:line="18" w:lineRule="exact"/>
        <w:rPr>
          <w:sz w:val="20"/>
          <w:szCs w:val="20"/>
          <w:color w:val="auto"/>
        </w:rPr>
      </w:pPr>
    </w:p>
    <w:p>
      <w:pPr>
        <w:ind w:left="4880"/>
        <w:spacing w:after="0"/>
        <w:rPr>
          <w:sz w:val="20"/>
          <w:szCs w:val="20"/>
          <w:color w:val="auto"/>
        </w:rPr>
      </w:pPr>
      <w:r>
        <w:rPr>
          <w:rFonts w:ascii="Arial" w:cs="Arial" w:eastAsia="Arial" w:hAnsi="Arial"/>
          <w:sz w:val="12"/>
          <w:szCs w:val="12"/>
          <w:b w:val="1"/>
          <w:bCs w:val="1"/>
          <w:color w:val="auto"/>
        </w:rPr>
        <w:t>(S/ Thousands, IFRS)</w:t>
      </w:r>
    </w:p>
    <w:p>
      <w:pPr>
        <w:spacing w:after="0" w:line="139" w:lineRule="exact"/>
        <w:rPr>
          <w:sz w:val="20"/>
          <w:szCs w:val="20"/>
          <w:color w:val="auto"/>
        </w:rPr>
      </w:pPr>
    </w:p>
    <w:tbl>
      <w:tblPr>
        <w:tblLayout w:type="fixed"/>
        <w:tblInd w:w="30" w:type="dxa"/>
        <w:tblCellMar>
          <w:top w:w="0" w:type="dxa"/>
          <w:left w:w="0" w:type="dxa"/>
          <w:bottom w:w="0" w:type="dxa"/>
          <w:right w:w="0" w:type="dxa"/>
        </w:tblCellMar>
      </w:tblPr>
      <w:tr>
        <w:trPr>
          <w:trHeight w:val="99"/>
        </w:trPr>
        <w:tc>
          <w:tcPr>
            <w:tcW w:w="4560" w:type="dxa"/>
            <w:vAlign w:val="bottom"/>
            <w:tcBorders>
              <w:top w:val="single" w:sz="8" w:color="auto"/>
              <w:left w:val="single" w:sz="8" w:color="auto"/>
              <w:right w:val="single" w:sz="8" w:color="auto"/>
            </w:tcBorders>
            <w:shd w:val="clear" w:color="auto" w:fill="2AD2C9"/>
          </w:tcPr>
          <w:p>
            <w:pPr>
              <w:spacing w:after="0"/>
              <w:rPr>
                <w:sz w:val="8"/>
                <w:szCs w:val="8"/>
                <w:color w:val="auto"/>
              </w:rPr>
            </w:pPr>
          </w:p>
        </w:tc>
        <w:tc>
          <w:tcPr>
            <w:tcW w:w="900" w:type="dxa"/>
            <w:vAlign w:val="bottom"/>
            <w:tcBorders>
              <w:top w:val="single" w:sz="8" w:color="auto"/>
            </w:tcBorders>
            <w:shd w:val="clear" w:color="auto" w:fill="2AD2C9"/>
          </w:tcPr>
          <w:p>
            <w:pPr>
              <w:spacing w:after="0"/>
              <w:rPr>
                <w:sz w:val="8"/>
                <w:szCs w:val="8"/>
                <w:color w:val="auto"/>
              </w:rPr>
            </w:pPr>
          </w:p>
        </w:tc>
        <w:tc>
          <w:tcPr>
            <w:tcW w:w="1040" w:type="dxa"/>
            <w:vAlign w:val="bottom"/>
            <w:tcBorders>
              <w:top w:val="single" w:sz="8" w:color="auto"/>
            </w:tcBorders>
            <w:shd w:val="clear" w:color="auto" w:fill="2AD2C9"/>
          </w:tcPr>
          <w:p>
            <w:pPr>
              <w:ind w:left="320"/>
              <w:spacing w:after="0" w:line="99" w:lineRule="exact"/>
              <w:rPr>
                <w:sz w:val="20"/>
                <w:szCs w:val="20"/>
                <w:color w:val="auto"/>
              </w:rPr>
            </w:pPr>
            <w:r>
              <w:rPr>
                <w:rFonts w:ascii="Arial" w:cs="Arial" w:eastAsia="Arial" w:hAnsi="Arial"/>
                <w:sz w:val="10"/>
                <w:szCs w:val="10"/>
                <w:b w:val="1"/>
                <w:bCs w:val="1"/>
                <w:color w:val="FFFFFF"/>
              </w:rPr>
              <w:t>Quarter</w:t>
            </w:r>
          </w:p>
        </w:tc>
        <w:tc>
          <w:tcPr>
            <w:tcW w:w="880" w:type="dxa"/>
            <w:vAlign w:val="bottom"/>
            <w:tcBorders>
              <w:top w:val="single" w:sz="8" w:color="auto"/>
              <w:right w:val="single" w:sz="8" w:color="auto"/>
            </w:tcBorders>
            <w:shd w:val="clear" w:color="auto" w:fill="2AD2C9"/>
          </w:tcPr>
          <w:p>
            <w:pPr>
              <w:spacing w:after="0"/>
              <w:rPr>
                <w:sz w:val="8"/>
                <w:szCs w:val="8"/>
                <w:color w:val="auto"/>
              </w:rPr>
            </w:pPr>
          </w:p>
        </w:tc>
        <w:tc>
          <w:tcPr>
            <w:tcW w:w="1300" w:type="dxa"/>
            <w:vAlign w:val="bottom"/>
            <w:tcBorders>
              <w:top w:val="single" w:sz="8" w:color="auto"/>
              <w:right w:val="single" w:sz="8" w:color="auto"/>
            </w:tcBorders>
            <w:gridSpan w:val="2"/>
            <w:shd w:val="clear" w:color="auto" w:fill="2AD2C9"/>
          </w:tcPr>
          <w:p>
            <w:pPr>
              <w:ind w:left="420"/>
              <w:spacing w:after="0" w:line="99" w:lineRule="exact"/>
              <w:rPr>
                <w:sz w:val="20"/>
                <w:szCs w:val="20"/>
                <w:color w:val="auto"/>
              </w:rPr>
            </w:pPr>
            <w:r>
              <w:rPr>
                <w:rFonts w:ascii="Arial" w:cs="Arial" w:eastAsia="Arial" w:hAnsi="Arial"/>
                <w:sz w:val="10"/>
                <w:szCs w:val="10"/>
                <w:b w:val="1"/>
                <w:bCs w:val="1"/>
                <w:color w:val="FFFFFF"/>
              </w:rPr>
              <w:t>% change</w:t>
            </w:r>
          </w:p>
        </w:tc>
        <w:tc>
          <w:tcPr>
            <w:tcW w:w="1300" w:type="dxa"/>
            <w:vAlign w:val="bottom"/>
            <w:tcBorders>
              <w:top w:val="single" w:sz="8" w:color="auto"/>
              <w:right w:val="single" w:sz="8" w:color="auto"/>
            </w:tcBorders>
            <w:gridSpan w:val="2"/>
            <w:shd w:val="clear" w:color="auto" w:fill="2AD2C9"/>
          </w:tcPr>
          <w:p>
            <w:pPr>
              <w:ind w:left="520"/>
              <w:spacing w:after="0" w:line="99" w:lineRule="exact"/>
              <w:rPr>
                <w:sz w:val="20"/>
                <w:szCs w:val="20"/>
                <w:color w:val="auto"/>
              </w:rPr>
            </w:pPr>
            <w:r>
              <w:rPr>
                <w:rFonts w:ascii="Arial" w:cs="Arial" w:eastAsia="Arial" w:hAnsi="Arial"/>
                <w:sz w:val="10"/>
                <w:szCs w:val="10"/>
                <w:b w:val="1"/>
                <w:bCs w:val="1"/>
                <w:color w:val="FFFFFF"/>
              </w:rPr>
              <w:t>Up to</w:t>
            </w:r>
          </w:p>
        </w:tc>
        <w:tc>
          <w:tcPr>
            <w:tcW w:w="860" w:type="dxa"/>
            <w:vAlign w:val="bottom"/>
            <w:tcBorders>
              <w:top w:val="single" w:sz="8" w:color="auto"/>
              <w:right w:val="single" w:sz="8" w:color="auto"/>
            </w:tcBorders>
            <w:shd w:val="clear" w:color="auto" w:fill="2AD2C9"/>
          </w:tcPr>
          <w:p>
            <w:pPr>
              <w:jc w:val="center"/>
              <w:spacing w:after="0" w:line="99" w:lineRule="exact"/>
              <w:rPr>
                <w:sz w:val="20"/>
                <w:szCs w:val="20"/>
                <w:color w:val="auto"/>
              </w:rPr>
            </w:pPr>
            <w:r>
              <w:rPr>
                <w:rFonts w:ascii="Arial" w:cs="Arial" w:eastAsia="Arial" w:hAnsi="Arial"/>
                <w:sz w:val="10"/>
                <w:szCs w:val="10"/>
                <w:b w:val="1"/>
                <w:bCs w:val="1"/>
                <w:color w:val="FFFFFF"/>
                <w:w w:val="95"/>
              </w:rPr>
              <w:t>% Change</w:t>
            </w:r>
          </w:p>
        </w:tc>
      </w:tr>
      <w:tr>
        <w:trPr>
          <w:trHeight w:val="117"/>
        </w:trPr>
        <w:tc>
          <w:tcPr>
            <w:tcW w:w="4560" w:type="dxa"/>
            <w:vAlign w:val="bottom"/>
            <w:tcBorders>
              <w:left w:val="single" w:sz="8" w:color="auto"/>
              <w:bottom w:val="single" w:sz="8" w:color="auto"/>
              <w:right w:val="single" w:sz="8" w:color="auto"/>
            </w:tcBorders>
            <w:shd w:val="clear" w:color="auto" w:fill="2AD2C9"/>
          </w:tcPr>
          <w:p>
            <w:pPr>
              <w:spacing w:after="0"/>
              <w:rPr>
                <w:sz w:val="10"/>
                <w:szCs w:val="10"/>
                <w:color w:val="auto"/>
              </w:rPr>
            </w:pPr>
          </w:p>
        </w:tc>
        <w:tc>
          <w:tcPr>
            <w:tcW w:w="9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89"/>
              </w:rPr>
              <w:t>2Q23</w:t>
            </w:r>
          </w:p>
        </w:tc>
        <w:tc>
          <w:tcPr>
            <w:tcW w:w="1040" w:type="dxa"/>
            <w:vAlign w:val="bottom"/>
            <w:tcBorders>
              <w:bottom w:val="single" w:sz="8" w:color="auto"/>
            </w:tcBorders>
            <w:shd w:val="clear" w:color="auto" w:fill="2AD2C9"/>
          </w:tcPr>
          <w:p>
            <w:pPr>
              <w:jc w:val="center"/>
              <w:ind w:right="93"/>
              <w:spacing w:after="0"/>
              <w:rPr>
                <w:sz w:val="20"/>
                <w:szCs w:val="20"/>
                <w:color w:val="auto"/>
              </w:rPr>
            </w:pPr>
            <w:r>
              <w:rPr>
                <w:rFonts w:ascii="Arial" w:cs="Arial" w:eastAsia="Arial" w:hAnsi="Arial"/>
                <w:sz w:val="10"/>
                <w:szCs w:val="10"/>
                <w:b w:val="1"/>
                <w:bCs w:val="1"/>
                <w:color w:val="FFFFFF"/>
                <w:w w:val="89"/>
              </w:rPr>
              <w:t>1Q24</w:t>
            </w:r>
          </w:p>
        </w:tc>
        <w:tc>
          <w:tcPr>
            <w:tcW w:w="880" w:type="dxa"/>
            <w:vAlign w:val="bottom"/>
            <w:tcBorders>
              <w:bottom w:val="single" w:sz="8" w:color="auto"/>
              <w:right w:val="single" w:sz="8" w:color="auto"/>
            </w:tcBorders>
            <w:shd w:val="clear" w:color="auto" w:fill="2AD2C9"/>
          </w:tcPr>
          <w:p>
            <w:pPr>
              <w:jc w:val="center"/>
              <w:ind w:right="73"/>
              <w:spacing w:after="0"/>
              <w:rPr>
                <w:sz w:val="20"/>
                <w:szCs w:val="20"/>
                <w:color w:val="auto"/>
              </w:rPr>
            </w:pPr>
            <w:r>
              <w:rPr>
                <w:rFonts w:ascii="Arial" w:cs="Arial" w:eastAsia="Arial" w:hAnsi="Arial"/>
                <w:sz w:val="10"/>
                <w:szCs w:val="10"/>
                <w:b w:val="1"/>
                <w:bCs w:val="1"/>
                <w:color w:val="FFFFFF"/>
                <w:w w:val="97"/>
              </w:rPr>
              <w:t>2Q24</w:t>
            </w:r>
          </w:p>
        </w:tc>
        <w:tc>
          <w:tcPr>
            <w:tcW w:w="6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2"/>
              </w:rPr>
              <w:t>QoQ</w:t>
            </w:r>
          </w:p>
        </w:tc>
        <w:tc>
          <w:tcPr>
            <w:tcW w:w="6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2"/>
              </w:rPr>
              <w:t>YoY</w:t>
            </w:r>
          </w:p>
        </w:tc>
        <w:tc>
          <w:tcPr>
            <w:tcW w:w="6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1"/>
              </w:rPr>
              <w:t>1H23</w:t>
            </w:r>
          </w:p>
        </w:tc>
        <w:tc>
          <w:tcPr>
            <w:tcW w:w="6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1"/>
              </w:rPr>
              <w:t>1H24</w:t>
            </w:r>
          </w:p>
        </w:tc>
        <w:tc>
          <w:tcPr>
            <w:tcW w:w="8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6"/>
              </w:rPr>
              <w:t>1H23 / 1H24</w:t>
            </w:r>
          </w:p>
        </w:tc>
      </w:tr>
      <w:tr>
        <w:trPr>
          <w:trHeight w:val="81"/>
        </w:trPr>
        <w:tc>
          <w:tcPr>
            <w:tcW w:w="4560" w:type="dxa"/>
            <w:vAlign w:val="bottom"/>
            <w:tcBorders>
              <w:left w:val="single" w:sz="8" w:color="auto"/>
              <w:right w:val="single" w:sz="8" w:color="auto"/>
            </w:tcBorders>
          </w:tcPr>
          <w:p>
            <w:pPr>
              <w:ind w:left="40"/>
              <w:spacing w:after="0" w:line="81" w:lineRule="exact"/>
              <w:rPr>
                <w:sz w:val="20"/>
                <w:szCs w:val="20"/>
                <w:color w:val="auto"/>
              </w:rPr>
            </w:pPr>
            <w:r>
              <w:rPr>
                <w:rFonts w:ascii="Arial" w:cs="Arial" w:eastAsia="Arial" w:hAnsi="Arial"/>
                <w:sz w:val="8"/>
                <w:szCs w:val="8"/>
                <w:color w:val="auto"/>
              </w:rPr>
              <w:t>Net interest income</w:t>
            </w:r>
          </w:p>
        </w:tc>
        <w:tc>
          <w:tcPr>
            <w:tcW w:w="900" w:type="dxa"/>
            <w:vAlign w:val="bottom"/>
          </w:tcPr>
          <w:p>
            <w:pPr>
              <w:jc w:val="center"/>
              <w:spacing w:after="0" w:line="81" w:lineRule="exact"/>
              <w:rPr>
                <w:sz w:val="20"/>
                <w:szCs w:val="20"/>
                <w:color w:val="auto"/>
              </w:rPr>
            </w:pPr>
            <w:r>
              <w:rPr>
                <w:rFonts w:ascii="Arial" w:cs="Arial" w:eastAsia="Arial" w:hAnsi="Arial"/>
                <w:sz w:val="8"/>
                <w:szCs w:val="8"/>
                <w:color w:val="auto"/>
              </w:rPr>
              <w:t>542,880</w:t>
            </w:r>
          </w:p>
        </w:tc>
        <w:tc>
          <w:tcPr>
            <w:tcW w:w="1040" w:type="dxa"/>
            <w:vAlign w:val="bottom"/>
          </w:tcPr>
          <w:p>
            <w:pPr>
              <w:jc w:val="center"/>
              <w:ind w:right="93"/>
              <w:spacing w:after="0" w:line="81" w:lineRule="exact"/>
              <w:rPr>
                <w:sz w:val="20"/>
                <w:szCs w:val="20"/>
                <w:color w:val="auto"/>
              </w:rPr>
            </w:pPr>
            <w:r>
              <w:rPr>
                <w:rFonts w:ascii="Arial" w:cs="Arial" w:eastAsia="Arial" w:hAnsi="Arial"/>
                <w:sz w:val="8"/>
                <w:szCs w:val="8"/>
                <w:color w:val="auto"/>
              </w:rPr>
              <w:t>546,271</w:t>
            </w:r>
          </w:p>
        </w:tc>
        <w:tc>
          <w:tcPr>
            <w:tcW w:w="880" w:type="dxa"/>
            <w:vAlign w:val="bottom"/>
            <w:tcBorders>
              <w:right w:val="single" w:sz="8" w:color="auto"/>
            </w:tcBorders>
          </w:tcPr>
          <w:p>
            <w:pPr>
              <w:jc w:val="center"/>
              <w:ind w:right="73"/>
              <w:spacing w:after="0" w:line="81" w:lineRule="exact"/>
              <w:rPr>
                <w:sz w:val="20"/>
                <w:szCs w:val="20"/>
                <w:color w:val="auto"/>
              </w:rPr>
            </w:pPr>
            <w:r>
              <w:rPr>
                <w:rFonts w:ascii="Arial" w:cs="Arial" w:eastAsia="Arial" w:hAnsi="Arial"/>
                <w:sz w:val="8"/>
                <w:szCs w:val="8"/>
                <w:color w:val="auto"/>
              </w:rPr>
              <w:t>556,858</w:t>
            </w:r>
          </w:p>
        </w:tc>
        <w:tc>
          <w:tcPr>
            <w:tcW w:w="620" w:type="dxa"/>
            <w:vAlign w:val="bottom"/>
          </w:tcPr>
          <w:p>
            <w:pPr>
              <w:jc w:val="center"/>
              <w:spacing w:after="0" w:line="81" w:lineRule="exact"/>
              <w:rPr>
                <w:sz w:val="20"/>
                <w:szCs w:val="20"/>
                <w:color w:val="auto"/>
              </w:rPr>
            </w:pPr>
            <w:r>
              <w:rPr>
                <w:rFonts w:ascii="Arial" w:cs="Arial" w:eastAsia="Arial" w:hAnsi="Arial"/>
                <w:sz w:val="8"/>
                <w:szCs w:val="8"/>
                <w:color w:val="auto"/>
              </w:rPr>
              <w:t>1.9%</w:t>
            </w:r>
          </w:p>
        </w:tc>
        <w:tc>
          <w:tcPr>
            <w:tcW w:w="68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2.6%</w:t>
            </w:r>
          </w:p>
        </w:tc>
        <w:tc>
          <w:tcPr>
            <w:tcW w:w="640" w:type="dxa"/>
            <w:vAlign w:val="bottom"/>
          </w:tcPr>
          <w:p>
            <w:pPr>
              <w:jc w:val="center"/>
              <w:spacing w:after="0" w:line="81" w:lineRule="exact"/>
              <w:rPr>
                <w:sz w:val="20"/>
                <w:szCs w:val="20"/>
                <w:color w:val="auto"/>
              </w:rPr>
            </w:pPr>
            <w:r>
              <w:rPr>
                <w:rFonts w:ascii="Arial" w:cs="Arial" w:eastAsia="Arial" w:hAnsi="Arial"/>
                <w:sz w:val="8"/>
                <w:szCs w:val="8"/>
                <w:color w:val="auto"/>
              </w:rPr>
              <w:t>1,061,643</w:t>
            </w:r>
          </w:p>
        </w:tc>
        <w:tc>
          <w:tcPr>
            <w:tcW w:w="66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1,103,129</w:t>
            </w:r>
          </w:p>
        </w:tc>
        <w:tc>
          <w:tcPr>
            <w:tcW w:w="86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3.9%</w:t>
            </w:r>
          </w:p>
        </w:tc>
      </w:tr>
      <w:tr>
        <w:trPr>
          <w:trHeight w:val="101"/>
        </w:trPr>
        <w:tc>
          <w:tcPr>
            <w:tcW w:w="4560" w:type="dxa"/>
            <w:vAlign w:val="bottom"/>
            <w:tcBorders>
              <w:left w:val="single" w:sz="8" w:color="auto"/>
              <w:right w:val="single" w:sz="8" w:color="auto"/>
            </w:tcBorders>
          </w:tcPr>
          <w:p>
            <w:pPr>
              <w:ind w:left="40"/>
              <w:spacing w:after="0" w:line="101" w:lineRule="exact"/>
              <w:rPr>
                <w:sz w:val="20"/>
                <w:szCs w:val="20"/>
                <w:color w:val="auto"/>
              </w:rPr>
            </w:pPr>
            <w:r>
              <w:rPr>
                <w:rFonts w:ascii="Arial" w:cs="Arial" w:eastAsia="Arial" w:hAnsi="Arial"/>
                <w:sz w:val="10"/>
                <w:szCs w:val="10"/>
                <w:color w:val="auto"/>
              </w:rPr>
              <w:t>Provision for loan losses, net of recoveries</w:t>
            </w:r>
          </w:p>
        </w:tc>
        <w:tc>
          <w:tcPr>
            <w:tcW w:w="900" w:type="dxa"/>
            <w:vAlign w:val="bottom"/>
          </w:tcPr>
          <w:p>
            <w:pPr>
              <w:jc w:val="center"/>
              <w:spacing w:after="0" w:line="101" w:lineRule="exact"/>
              <w:rPr>
                <w:sz w:val="20"/>
                <w:szCs w:val="20"/>
                <w:color w:val="auto"/>
              </w:rPr>
            </w:pPr>
            <w:r>
              <w:rPr>
                <w:rFonts w:ascii="Arial" w:cs="Arial" w:eastAsia="Arial" w:hAnsi="Arial"/>
                <w:sz w:val="10"/>
                <w:szCs w:val="10"/>
                <w:color w:val="auto"/>
                <w:w w:val="98"/>
              </w:rPr>
              <w:t>(184,516)</w:t>
            </w:r>
          </w:p>
        </w:tc>
        <w:tc>
          <w:tcPr>
            <w:tcW w:w="1040" w:type="dxa"/>
            <w:vAlign w:val="bottom"/>
          </w:tcPr>
          <w:p>
            <w:pPr>
              <w:jc w:val="center"/>
              <w:ind w:right="93"/>
              <w:spacing w:after="0" w:line="101" w:lineRule="exact"/>
              <w:rPr>
                <w:sz w:val="20"/>
                <w:szCs w:val="20"/>
                <w:color w:val="auto"/>
              </w:rPr>
            </w:pPr>
            <w:r>
              <w:rPr>
                <w:rFonts w:ascii="Arial" w:cs="Arial" w:eastAsia="Arial" w:hAnsi="Arial"/>
                <w:sz w:val="10"/>
                <w:szCs w:val="10"/>
                <w:color w:val="auto"/>
                <w:w w:val="98"/>
              </w:rPr>
              <w:t>(150,725)</w:t>
            </w:r>
          </w:p>
        </w:tc>
        <w:tc>
          <w:tcPr>
            <w:tcW w:w="880" w:type="dxa"/>
            <w:vAlign w:val="bottom"/>
            <w:tcBorders>
              <w:right w:val="single" w:sz="8" w:color="auto"/>
            </w:tcBorders>
          </w:tcPr>
          <w:p>
            <w:pPr>
              <w:jc w:val="center"/>
              <w:ind w:right="73"/>
              <w:spacing w:after="0" w:line="101" w:lineRule="exact"/>
              <w:rPr>
                <w:sz w:val="20"/>
                <w:szCs w:val="20"/>
                <w:color w:val="auto"/>
              </w:rPr>
            </w:pPr>
            <w:r>
              <w:rPr>
                <w:rFonts w:ascii="Arial" w:cs="Arial" w:eastAsia="Arial" w:hAnsi="Arial"/>
                <w:sz w:val="10"/>
                <w:szCs w:val="10"/>
                <w:color w:val="auto"/>
                <w:w w:val="93"/>
              </w:rPr>
              <w:t>(242,775)</w:t>
            </w:r>
          </w:p>
        </w:tc>
        <w:tc>
          <w:tcPr>
            <w:tcW w:w="620" w:type="dxa"/>
            <w:vAlign w:val="bottom"/>
          </w:tcPr>
          <w:p>
            <w:pPr>
              <w:jc w:val="center"/>
              <w:spacing w:after="0" w:line="101" w:lineRule="exact"/>
              <w:rPr>
                <w:sz w:val="20"/>
                <w:szCs w:val="20"/>
                <w:color w:val="auto"/>
              </w:rPr>
            </w:pPr>
            <w:r>
              <w:rPr>
                <w:rFonts w:ascii="Arial" w:cs="Arial" w:eastAsia="Arial" w:hAnsi="Arial"/>
                <w:sz w:val="10"/>
                <w:szCs w:val="10"/>
                <w:color w:val="auto"/>
                <w:w w:val="98"/>
              </w:rPr>
              <w:t>61.1%</w:t>
            </w:r>
          </w:p>
        </w:tc>
        <w:tc>
          <w:tcPr>
            <w:tcW w:w="68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color w:val="auto"/>
                <w:w w:val="98"/>
              </w:rPr>
              <w:t>31.6%</w:t>
            </w:r>
          </w:p>
        </w:tc>
        <w:tc>
          <w:tcPr>
            <w:tcW w:w="640" w:type="dxa"/>
            <w:vAlign w:val="bottom"/>
          </w:tcPr>
          <w:p>
            <w:pPr>
              <w:jc w:val="center"/>
              <w:spacing w:after="0" w:line="101" w:lineRule="exact"/>
              <w:rPr>
                <w:sz w:val="20"/>
                <w:szCs w:val="20"/>
                <w:color w:val="auto"/>
              </w:rPr>
            </w:pPr>
            <w:r>
              <w:rPr>
                <w:rFonts w:ascii="Arial" w:cs="Arial" w:eastAsia="Arial" w:hAnsi="Arial"/>
                <w:sz w:val="10"/>
                <w:szCs w:val="10"/>
                <w:color w:val="auto"/>
                <w:w w:val="98"/>
              </w:rPr>
              <w:t>(411,884)</w:t>
            </w:r>
          </w:p>
        </w:tc>
        <w:tc>
          <w:tcPr>
            <w:tcW w:w="66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color w:val="auto"/>
                <w:w w:val="98"/>
              </w:rPr>
              <w:t>(393,499)</w:t>
            </w:r>
          </w:p>
        </w:tc>
        <w:tc>
          <w:tcPr>
            <w:tcW w:w="86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color w:val="auto"/>
                <w:w w:val="99"/>
              </w:rPr>
              <w:t>-4.5%</w:t>
            </w:r>
          </w:p>
        </w:tc>
      </w:tr>
      <w:tr>
        <w:trPr>
          <w:trHeight w:val="105"/>
        </w:trPr>
        <w:tc>
          <w:tcPr>
            <w:tcW w:w="4560" w:type="dxa"/>
            <w:vAlign w:val="bottom"/>
            <w:tcBorders>
              <w:left w:val="single" w:sz="8" w:color="auto"/>
              <w:right w:val="single" w:sz="8" w:color="auto"/>
            </w:tcBorders>
          </w:tcPr>
          <w:p>
            <w:pPr>
              <w:ind w:left="40"/>
              <w:spacing w:after="0" w:line="105" w:lineRule="exact"/>
              <w:rPr>
                <w:sz w:val="20"/>
                <w:szCs w:val="20"/>
                <w:color w:val="auto"/>
              </w:rPr>
            </w:pPr>
            <w:r>
              <w:rPr>
                <w:rFonts w:ascii="Arial" w:cs="Arial" w:eastAsia="Arial" w:hAnsi="Arial"/>
                <w:sz w:val="10"/>
                <w:szCs w:val="10"/>
                <w:b w:val="1"/>
                <w:bCs w:val="1"/>
                <w:color w:val="auto"/>
              </w:rPr>
              <w:t>Net interest income after provisions</w:t>
            </w:r>
          </w:p>
        </w:tc>
        <w:tc>
          <w:tcPr>
            <w:tcW w:w="900" w:type="dxa"/>
            <w:vAlign w:val="bottom"/>
          </w:tcPr>
          <w:p>
            <w:pPr>
              <w:jc w:val="center"/>
              <w:spacing w:after="0" w:line="105" w:lineRule="exact"/>
              <w:rPr>
                <w:sz w:val="20"/>
                <w:szCs w:val="20"/>
                <w:color w:val="auto"/>
              </w:rPr>
            </w:pPr>
            <w:r>
              <w:rPr>
                <w:rFonts w:ascii="Arial" w:cs="Arial" w:eastAsia="Arial" w:hAnsi="Arial"/>
                <w:sz w:val="10"/>
                <w:szCs w:val="10"/>
                <w:color w:val="auto"/>
                <w:w w:val="93"/>
              </w:rPr>
              <w:t>358,365</w:t>
            </w:r>
          </w:p>
        </w:tc>
        <w:tc>
          <w:tcPr>
            <w:tcW w:w="1040" w:type="dxa"/>
            <w:vAlign w:val="bottom"/>
          </w:tcPr>
          <w:p>
            <w:pPr>
              <w:jc w:val="center"/>
              <w:ind w:right="93"/>
              <w:spacing w:after="0" w:line="105" w:lineRule="exact"/>
              <w:rPr>
                <w:sz w:val="20"/>
                <w:szCs w:val="20"/>
                <w:color w:val="auto"/>
              </w:rPr>
            </w:pPr>
            <w:r>
              <w:rPr>
                <w:rFonts w:ascii="Arial" w:cs="Arial" w:eastAsia="Arial" w:hAnsi="Arial"/>
                <w:sz w:val="10"/>
                <w:szCs w:val="10"/>
                <w:color w:val="auto"/>
                <w:w w:val="93"/>
              </w:rPr>
              <w:t>395,546</w:t>
            </w:r>
          </w:p>
        </w:tc>
        <w:tc>
          <w:tcPr>
            <w:tcW w:w="880" w:type="dxa"/>
            <w:vAlign w:val="bottom"/>
            <w:tcBorders>
              <w:right w:val="single" w:sz="8" w:color="auto"/>
            </w:tcBorders>
          </w:tcPr>
          <w:p>
            <w:pPr>
              <w:jc w:val="center"/>
              <w:ind w:right="73"/>
              <w:spacing w:after="0" w:line="105" w:lineRule="exact"/>
              <w:rPr>
                <w:sz w:val="20"/>
                <w:szCs w:val="20"/>
                <w:color w:val="auto"/>
              </w:rPr>
            </w:pPr>
            <w:r>
              <w:rPr>
                <w:rFonts w:ascii="Arial" w:cs="Arial" w:eastAsia="Arial" w:hAnsi="Arial"/>
                <w:sz w:val="10"/>
                <w:szCs w:val="10"/>
                <w:color w:val="auto"/>
                <w:w w:val="99"/>
              </w:rPr>
              <w:t>314,083</w:t>
            </w:r>
          </w:p>
        </w:tc>
        <w:tc>
          <w:tcPr>
            <w:tcW w:w="620" w:type="dxa"/>
            <w:vAlign w:val="bottom"/>
          </w:tcPr>
          <w:p>
            <w:pPr>
              <w:jc w:val="center"/>
              <w:spacing w:after="0" w:line="105" w:lineRule="exact"/>
              <w:rPr>
                <w:sz w:val="20"/>
                <w:szCs w:val="20"/>
                <w:color w:val="auto"/>
              </w:rPr>
            </w:pPr>
            <w:r>
              <w:rPr>
                <w:rFonts w:ascii="Arial" w:cs="Arial" w:eastAsia="Arial" w:hAnsi="Arial"/>
                <w:sz w:val="10"/>
                <w:szCs w:val="10"/>
                <w:color w:val="auto"/>
                <w:w w:val="94"/>
              </w:rPr>
              <w:t>-20.6%</w:t>
            </w:r>
          </w:p>
        </w:tc>
        <w:tc>
          <w:tcPr>
            <w:tcW w:w="68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0"/>
                <w:szCs w:val="10"/>
                <w:color w:val="auto"/>
                <w:w w:val="94"/>
              </w:rPr>
              <w:t>-12.4%</w:t>
            </w:r>
          </w:p>
        </w:tc>
        <w:tc>
          <w:tcPr>
            <w:tcW w:w="640" w:type="dxa"/>
            <w:vAlign w:val="bottom"/>
          </w:tcPr>
          <w:p>
            <w:pPr>
              <w:jc w:val="center"/>
              <w:spacing w:after="0" w:line="105" w:lineRule="exact"/>
              <w:rPr>
                <w:sz w:val="20"/>
                <w:szCs w:val="20"/>
                <w:color w:val="auto"/>
              </w:rPr>
            </w:pPr>
            <w:r>
              <w:rPr>
                <w:rFonts w:ascii="Arial" w:cs="Arial" w:eastAsia="Arial" w:hAnsi="Arial"/>
                <w:sz w:val="10"/>
                <w:szCs w:val="10"/>
                <w:color w:val="auto"/>
                <w:w w:val="93"/>
              </w:rPr>
              <w:t>649,759</w:t>
            </w:r>
          </w:p>
        </w:tc>
        <w:tc>
          <w:tcPr>
            <w:tcW w:w="66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0"/>
                <w:szCs w:val="10"/>
                <w:color w:val="auto"/>
                <w:w w:val="93"/>
              </w:rPr>
              <w:t>709,630</w:t>
            </w:r>
          </w:p>
        </w:tc>
        <w:tc>
          <w:tcPr>
            <w:tcW w:w="86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0"/>
                <w:szCs w:val="10"/>
                <w:color w:val="auto"/>
                <w:w w:val="96"/>
              </w:rPr>
              <w:t>9.2%</w:t>
            </w:r>
          </w:p>
        </w:tc>
      </w:tr>
      <w:tr>
        <w:trPr>
          <w:trHeight w:val="103"/>
        </w:trPr>
        <w:tc>
          <w:tcPr>
            <w:tcW w:w="456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Non-financial income</w:t>
            </w:r>
          </w:p>
        </w:tc>
        <w:tc>
          <w:tcPr>
            <w:tcW w:w="900" w:type="dxa"/>
            <w:vAlign w:val="bottom"/>
          </w:tcPr>
          <w:p>
            <w:pPr>
              <w:jc w:val="center"/>
              <w:spacing w:after="0" w:line="103" w:lineRule="exact"/>
              <w:rPr>
                <w:sz w:val="20"/>
                <w:szCs w:val="20"/>
                <w:color w:val="auto"/>
              </w:rPr>
            </w:pPr>
            <w:r>
              <w:rPr>
                <w:rFonts w:ascii="Arial" w:cs="Arial" w:eastAsia="Arial" w:hAnsi="Arial"/>
                <w:sz w:val="10"/>
                <w:szCs w:val="10"/>
                <w:color w:val="auto"/>
                <w:w w:val="97"/>
              </w:rPr>
              <w:t>37,606</w:t>
            </w:r>
          </w:p>
        </w:tc>
        <w:tc>
          <w:tcPr>
            <w:tcW w:w="1040" w:type="dxa"/>
            <w:vAlign w:val="bottom"/>
          </w:tcPr>
          <w:p>
            <w:pPr>
              <w:jc w:val="center"/>
              <w:ind w:right="93"/>
              <w:spacing w:after="0" w:line="103" w:lineRule="exact"/>
              <w:rPr>
                <w:sz w:val="20"/>
                <w:szCs w:val="20"/>
                <w:color w:val="auto"/>
              </w:rPr>
            </w:pPr>
            <w:r>
              <w:rPr>
                <w:rFonts w:ascii="Arial" w:cs="Arial" w:eastAsia="Arial" w:hAnsi="Arial"/>
                <w:sz w:val="10"/>
                <w:szCs w:val="10"/>
                <w:color w:val="auto"/>
                <w:w w:val="97"/>
              </w:rPr>
              <w:t>39,713</w:t>
            </w:r>
          </w:p>
        </w:tc>
        <w:tc>
          <w:tcPr>
            <w:tcW w:w="880" w:type="dxa"/>
            <w:vAlign w:val="bottom"/>
            <w:tcBorders>
              <w:right w:val="single" w:sz="8" w:color="auto"/>
            </w:tcBorders>
          </w:tcPr>
          <w:p>
            <w:pPr>
              <w:jc w:val="center"/>
              <w:ind w:right="73"/>
              <w:spacing w:after="0" w:line="103" w:lineRule="exact"/>
              <w:rPr>
                <w:sz w:val="20"/>
                <w:szCs w:val="20"/>
                <w:color w:val="auto"/>
              </w:rPr>
            </w:pPr>
            <w:r>
              <w:rPr>
                <w:rFonts w:ascii="Arial" w:cs="Arial" w:eastAsia="Arial" w:hAnsi="Arial"/>
                <w:sz w:val="10"/>
                <w:szCs w:val="10"/>
                <w:color w:val="auto"/>
                <w:w w:val="91"/>
              </w:rPr>
              <w:t>26,315</w:t>
            </w:r>
          </w:p>
        </w:tc>
        <w:tc>
          <w:tcPr>
            <w:tcW w:w="620" w:type="dxa"/>
            <w:vAlign w:val="bottom"/>
          </w:tcPr>
          <w:p>
            <w:pPr>
              <w:jc w:val="center"/>
              <w:spacing w:after="0" w:line="103" w:lineRule="exact"/>
              <w:rPr>
                <w:sz w:val="20"/>
                <w:szCs w:val="20"/>
                <w:color w:val="auto"/>
              </w:rPr>
            </w:pPr>
            <w:r>
              <w:rPr>
                <w:rFonts w:ascii="Arial" w:cs="Arial" w:eastAsia="Arial" w:hAnsi="Arial"/>
                <w:sz w:val="10"/>
                <w:szCs w:val="10"/>
                <w:color w:val="auto"/>
                <w:w w:val="94"/>
              </w:rPr>
              <w:t>-33.7%</w:t>
            </w:r>
          </w:p>
        </w:tc>
        <w:tc>
          <w:tcPr>
            <w:tcW w:w="6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-30.0%</w:t>
            </w:r>
          </w:p>
        </w:tc>
        <w:tc>
          <w:tcPr>
            <w:tcW w:w="640" w:type="dxa"/>
            <w:vAlign w:val="bottom"/>
          </w:tcPr>
          <w:p>
            <w:pPr>
              <w:jc w:val="center"/>
              <w:spacing w:after="0" w:line="103" w:lineRule="exact"/>
              <w:rPr>
                <w:sz w:val="20"/>
                <w:szCs w:val="20"/>
                <w:color w:val="auto"/>
              </w:rPr>
            </w:pPr>
            <w:r>
              <w:rPr>
                <w:rFonts w:ascii="Arial" w:cs="Arial" w:eastAsia="Arial" w:hAnsi="Arial"/>
                <w:sz w:val="10"/>
                <w:szCs w:val="10"/>
                <w:color w:val="auto"/>
                <w:w w:val="97"/>
              </w:rPr>
              <w:t>73,943</w:t>
            </w:r>
          </w:p>
        </w:tc>
        <w:tc>
          <w:tcPr>
            <w:tcW w:w="6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7"/>
              </w:rPr>
              <w:t>66,028</w:t>
            </w:r>
          </w:p>
        </w:tc>
        <w:tc>
          <w:tcPr>
            <w:tcW w:w="8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-10.7%</w:t>
            </w:r>
          </w:p>
        </w:tc>
      </w:tr>
      <w:tr>
        <w:trPr>
          <w:trHeight w:val="103"/>
        </w:trPr>
        <w:tc>
          <w:tcPr>
            <w:tcW w:w="456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Total expenses</w:t>
            </w:r>
          </w:p>
        </w:tc>
        <w:tc>
          <w:tcPr>
            <w:tcW w:w="900" w:type="dxa"/>
            <w:vAlign w:val="bottom"/>
          </w:tcPr>
          <w:p>
            <w:pPr>
              <w:jc w:val="center"/>
              <w:spacing w:after="0" w:line="103" w:lineRule="exact"/>
              <w:rPr>
                <w:sz w:val="20"/>
                <w:szCs w:val="20"/>
                <w:color w:val="auto"/>
              </w:rPr>
            </w:pPr>
            <w:r>
              <w:rPr>
                <w:rFonts w:ascii="Arial" w:cs="Arial" w:eastAsia="Arial" w:hAnsi="Arial"/>
                <w:sz w:val="10"/>
                <w:szCs w:val="10"/>
                <w:color w:val="auto"/>
                <w:w w:val="98"/>
              </w:rPr>
              <w:t>(306,677)</w:t>
            </w:r>
          </w:p>
        </w:tc>
        <w:tc>
          <w:tcPr>
            <w:tcW w:w="1040" w:type="dxa"/>
            <w:vAlign w:val="bottom"/>
          </w:tcPr>
          <w:p>
            <w:pPr>
              <w:jc w:val="center"/>
              <w:ind w:right="93"/>
              <w:spacing w:after="0" w:line="103" w:lineRule="exact"/>
              <w:rPr>
                <w:sz w:val="20"/>
                <w:szCs w:val="20"/>
                <w:color w:val="auto"/>
              </w:rPr>
            </w:pPr>
            <w:r>
              <w:rPr>
                <w:rFonts w:ascii="Arial" w:cs="Arial" w:eastAsia="Arial" w:hAnsi="Arial"/>
                <w:sz w:val="10"/>
                <w:szCs w:val="10"/>
                <w:color w:val="auto"/>
                <w:w w:val="98"/>
              </w:rPr>
              <w:t>(311,728)</w:t>
            </w:r>
          </w:p>
        </w:tc>
        <w:tc>
          <w:tcPr>
            <w:tcW w:w="880" w:type="dxa"/>
            <w:vAlign w:val="bottom"/>
            <w:tcBorders>
              <w:right w:val="single" w:sz="8" w:color="auto"/>
            </w:tcBorders>
          </w:tcPr>
          <w:p>
            <w:pPr>
              <w:jc w:val="center"/>
              <w:ind w:right="73"/>
              <w:spacing w:after="0" w:line="103" w:lineRule="exact"/>
              <w:rPr>
                <w:sz w:val="20"/>
                <w:szCs w:val="20"/>
                <w:color w:val="auto"/>
              </w:rPr>
            </w:pPr>
            <w:r>
              <w:rPr>
                <w:rFonts w:ascii="Arial" w:cs="Arial" w:eastAsia="Arial" w:hAnsi="Arial"/>
                <w:sz w:val="10"/>
                <w:szCs w:val="10"/>
                <w:color w:val="auto"/>
                <w:w w:val="93"/>
              </w:rPr>
              <w:t>(301,850)</w:t>
            </w:r>
          </w:p>
        </w:tc>
        <w:tc>
          <w:tcPr>
            <w:tcW w:w="620" w:type="dxa"/>
            <w:vAlign w:val="bottom"/>
          </w:tcPr>
          <w:p>
            <w:pPr>
              <w:jc w:val="center"/>
              <w:spacing w:after="0" w:line="103" w:lineRule="exact"/>
              <w:rPr>
                <w:sz w:val="20"/>
                <w:szCs w:val="20"/>
                <w:color w:val="auto"/>
              </w:rPr>
            </w:pPr>
            <w:r>
              <w:rPr>
                <w:rFonts w:ascii="Arial" w:cs="Arial" w:eastAsia="Arial" w:hAnsi="Arial"/>
                <w:sz w:val="10"/>
                <w:szCs w:val="10"/>
                <w:color w:val="auto"/>
                <w:w w:val="99"/>
              </w:rPr>
              <w:t>-3.2%</w:t>
            </w:r>
          </w:p>
        </w:tc>
        <w:tc>
          <w:tcPr>
            <w:tcW w:w="6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1"/>
              </w:rPr>
              <w:t>-1.6%</w:t>
            </w:r>
          </w:p>
        </w:tc>
        <w:tc>
          <w:tcPr>
            <w:tcW w:w="640" w:type="dxa"/>
            <w:vAlign w:val="bottom"/>
          </w:tcPr>
          <w:p>
            <w:pPr>
              <w:jc w:val="center"/>
              <w:spacing w:after="0" w:line="103" w:lineRule="exact"/>
              <w:rPr>
                <w:sz w:val="20"/>
                <w:szCs w:val="20"/>
                <w:color w:val="auto"/>
              </w:rPr>
            </w:pPr>
            <w:r>
              <w:rPr>
                <w:rFonts w:ascii="Arial" w:cs="Arial" w:eastAsia="Arial" w:hAnsi="Arial"/>
                <w:sz w:val="10"/>
                <w:szCs w:val="10"/>
                <w:color w:val="auto"/>
                <w:w w:val="98"/>
              </w:rPr>
              <w:t>(609,658)</w:t>
            </w:r>
          </w:p>
        </w:tc>
        <w:tc>
          <w:tcPr>
            <w:tcW w:w="6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8"/>
              </w:rPr>
              <w:t>(613,579)</w:t>
            </w:r>
          </w:p>
        </w:tc>
        <w:tc>
          <w:tcPr>
            <w:tcW w:w="8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0.6%</w:t>
            </w:r>
          </w:p>
        </w:tc>
      </w:tr>
      <w:tr>
        <w:trPr>
          <w:trHeight w:val="103"/>
        </w:trPr>
        <w:tc>
          <w:tcPr>
            <w:tcW w:w="456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Translation result</w:t>
            </w:r>
          </w:p>
        </w:tc>
        <w:tc>
          <w:tcPr>
            <w:tcW w:w="900" w:type="dxa"/>
            <w:vAlign w:val="bottom"/>
          </w:tcPr>
          <w:p>
            <w:pPr>
              <w:jc w:val="right"/>
              <w:ind w:right="412"/>
              <w:spacing w:after="0" w:line="103" w:lineRule="exact"/>
              <w:rPr>
                <w:sz w:val="20"/>
                <w:szCs w:val="20"/>
                <w:color w:val="auto"/>
              </w:rPr>
            </w:pPr>
            <w:r>
              <w:rPr>
                <w:rFonts w:ascii="Arial" w:cs="Arial" w:eastAsia="Arial" w:hAnsi="Arial"/>
                <w:sz w:val="10"/>
                <w:szCs w:val="10"/>
                <w:color w:val="auto"/>
              </w:rPr>
              <w:t>-</w:t>
            </w:r>
          </w:p>
        </w:tc>
        <w:tc>
          <w:tcPr>
            <w:tcW w:w="1040" w:type="dxa"/>
            <w:vAlign w:val="bottom"/>
          </w:tcPr>
          <w:p>
            <w:pPr>
              <w:jc w:val="right"/>
              <w:ind w:right="533"/>
              <w:spacing w:after="0" w:line="103" w:lineRule="exact"/>
              <w:rPr>
                <w:sz w:val="20"/>
                <w:szCs w:val="20"/>
                <w:color w:val="auto"/>
              </w:rPr>
            </w:pPr>
            <w:r>
              <w:rPr>
                <w:rFonts w:ascii="Arial" w:cs="Arial" w:eastAsia="Arial" w:hAnsi="Arial"/>
                <w:sz w:val="10"/>
                <w:szCs w:val="10"/>
                <w:color w:val="auto"/>
              </w:rPr>
              <w:t>-</w:t>
            </w:r>
          </w:p>
        </w:tc>
        <w:tc>
          <w:tcPr>
            <w:tcW w:w="880" w:type="dxa"/>
            <w:vAlign w:val="bottom"/>
            <w:tcBorders>
              <w:right w:val="single" w:sz="8" w:color="auto"/>
            </w:tcBorders>
          </w:tcPr>
          <w:p>
            <w:pPr>
              <w:jc w:val="right"/>
              <w:ind w:right="453"/>
              <w:spacing w:after="0" w:line="103" w:lineRule="exact"/>
              <w:rPr>
                <w:sz w:val="20"/>
                <w:szCs w:val="20"/>
                <w:color w:val="auto"/>
              </w:rPr>
            </w:pPr>
            <w:r>
              <w:rPr>
                <w:rFonts w:ascii="Arial" w:cs="Arial" w:eastAsia="Arial" w:hAnsi="Arial"/>
                <w:sz w:val="10"/>
                <w:szCs w:val="10"/>
                <w:color w:val="auto"/>
              </w:rPr>
              <w:t>-</w:t>
            </w:r>
          </w:p>
        </w:tc>
        <w:tc>
          <w:tcPr>
            <w:tcW w:w="620" w:type="dxa"/>
            <w:vAlign w:val="bottom"/>
          </w:tcPr>
          <w:p>
            <w:pPr>
              <w:jc w:val="center"/>
              <w:spacing w:after="0" w:line="103" w:lineRule="exact"/>
              <w:rPr>
                <w:sz w:val="20"/>
                <w:szCs w:val="20"/>
                <w:color w:val="auto"/>
              </w:rPr>
            </w:pPr>
            <w:r>
              <w:rPr>
                <w:rFonts w:ascii="Arial" w:cs="Arial" w:eastAsia="Arial" w:hAnsi="Arial"/>
                <w:sz w:val="10"/>
                <w:szCs w:val="10"/>
                <w:color w:val="auto"/>
              </w:rPr>
              <w:t>n.a</w:t>
            </w:r>
          </w:p>
        </w:tc>
        <w:tc>
          <w:tcPr>
            <w:tcW w:w="6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85"/>
              </w:rPr>
              <w:t>n.a</w:t>
            </w:r>
          </w:p>
        </w:tc>
        <w:tc>
          <w:tcPr>
            <w:tcW w:w="640" w:type="dxa"/>
            <w:vAlign w:val="bottom"/>
          </w:tcPr>
          <w:p>
            <w:pPr>
              <w:jc w:val="right"/>
              <w:ind w:right="273"/>
              <w:spacing w:after="0" w:line="103" w:lineRule="exact"/>
              <w:rPr>
                <w:sz w:val="20"/>
                <w:szCs w:val="20"/>
                <w:color w:val="auto"/>
              </w:rPr>
            </w:pPr>
            <w:r>
              <w:rPr>
                <w:rFonts w:ascii="Arial" w:cs="Arial" w:eastAsia="Arial" w:hAnsi="Arial"/>
                <w:sz w:val="10"/>
                <w:szCs w:val="10"/>
                <w:color w:val="auto"/>
              </w:rPr>
              <w:t>-</w:t>
            </w:r>
          </w:p>
        </w:tc>
        <w:tc>
          <w:tcPr>
            <w:tcW w:w="660" w:type="dxa"/>
            <w:vAlign w:val="bottom"/>
            <w:tcBorders>
              <w:right w:val="single" w:sz="8" w:color="auto"/>
            </w:tcBorders>
          </w:tcPr>
          <w:p>
            <w:pPr>
              <w:jc w:val="right"/>
              <w:ind w:right="293"/>
              <w:spacing w:after="0" w:line="103" w:lineRule="exact"/>
              <w:rPr>
                <w:sz w:val="20"/>
                <w:szCs w:val="20"/>
                <w:color w:val="auto"/>
              </w:rPr>
            </w:pPr>
            <w:r>
              <w:rPr>
                <w:rFonts w:ascii="Arial" w:cs="Arial" w:eastAsia="Arial" w:hAnsi="Arial"/>
                <w:sz w:val="10"/>
                <w:szCs w:val="10"/>
                <w:color w:val="auto"/>
              </w:rPr>
              <w:t>-</w:t>
            </w:r>
          </w:p>
        </w:tc>
        <w:tc>
          <w:tcPr>
            <w:tcW w:w="8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rPr>
              <w:t>n.a</w:t>
            </w:r>
          </w:p>
        </w:tc>
      </w:tr>
      <w:tr>
        <w:trPr>
          <w:trHeight w:val="101"/>
        </w:trPr>
        <w:tc>
          <w:tcPr>
            <w:tcW w:w="4560" w:type="dxa"/>
            <w:vAlign w:val="bottom"/>
            <w:tcBorders>
              <w:left w:val="single" w:sz="8" w:color="auto"/>
              <w:right w:val="single" w:sz="8" w:color="auto"/>
            </w:tcBorders>
          </w:tcPr>
          <w:p>
            <w:pPr>
              <w:ind w:left="40"/>
              <w:spacing w:after="0" w:line="101" w:lineRule="exact"/>
              <w:rPr>
                <w:sz w:val="20"/>
                <w:szCs w:val="20"/>
                <w:color w:val="auto"/>
              </w:rPr>
            </w:pPr>
            <w:r>
              <w:rPr>
                <w:rFonts w:ascii="Arial" w:cs="Arial" w:eastAsia="Arial" w:hAnsi="Arial"/>
                <w:sz w:val="10"/>
                <w:szCs w:val="10"/>
                <w:color w:val="auto"/>
              </w:rPr>
              <w:t>Income taxes</w:t>
            </w:r>
          </w:p>
        </w:tc>
        <w:tc>
          <w:tcPr>
            <w:tcW w:w="900" w:type="dxa"/>
            <w:vAlign w:val="bottom"/>
          </w:tcPr>
          <w:p>
            <w:pPr>
              <w:jc w:val="center"/>
              <w:spacing w:after="0" w:line="101" w:lineRule="exact"/>
              <w:rPr>
                <w:sz w:val="20"/>
                <w:szCs w:val="20"/>
                <w:color w:val="auto"/>
              </w:rPr>
            </w:pPr>
            <w:r>
              <w:rPr>
                <w:rFonts w:ascii="Arial" w:cs="Arial" w:eastAsia="Arial" w:hAnsi="Arial"/>
                <w:sz w:val="10"/>
                <w:szCs w:val="10"/>
                <w:color w:val="auto"/>
                <w:w w:val="91"/>
              </w:rPr>
              <w:t>(22,934)</w:t>
            </w:r>
          </w:p>
        </w:tc>
        <w:tc>
          <w:tcPr>
            <w:tcW w:w="1040" w:type="dxa"/>
            <w:vAlign w:val="bottom"/>
          </w:tcPr>
          <w:p>
            <w:pPr>
              <w:jc w:val="center"/>
              <w:ind w:right="93"/>
              <w:spacing w:after="0" w:line="101" w:lineRule="exact"/>
              <w:rPr>
                <w:sz w:val="20"/>
                <w:szCs w:val="20"/>
                <w:color w:val="auto"/>
              </w:rPr>
            </w:pPr>
            <w:r>
              <w:rPr>
                <w:rFonts w:ascii="Arial" w:cs="Arial" w:eastAsia="Arial" w:hAnsi="Arial"/>
                <w:sz w:val="10"/>
                <w:szCs w:val="10"/>
                <w:color w:val="auto"/>
                <w:w w:val="91"/>
              </w:rPr>
              <w:t>(30,960)</w:t>
            </w:r>
          </w:p>
        </w:tc>
        <w:tc>
          <w:tcPr>
            <w:tcW w:w="880" w:type="dxa"/>
            <w:vAlign w:val="bottom"/>
            <w:tcBorders>
              <w:right w:val="single" w:sz="8" w:color="auto"/>
            </w:tcBorders>
          </w:tcPr>
          <w:p>
            <w:pPr>
              <w:jc w:val="center"/>
              <w:ind w:right="53"/>
              <w:spacing w:after="0" w:line="101" w:lineRule="exact"/>
              <w:rPr>
                <w:sz w:val="20"/>
                <w:szCs w:val="20"/>
                <w:color w:val="auto"/>
              </w:rPr>
            </w:pPr>
            <w:r>
              <w:rPr>
                <w:rFonts w:ascii="Arial" w:cs="Arial" w:eastAsia="Arial" w:hAnsi="Arial"/>
                <w:sz w:val="10"/>
                <w:szCs w:val="10"/>
                <w:color w:val="auto"/>
                <w:w w:val="94"/>
              </w:rPr>
              <w:t>(2,834)</w:t>
            </w:r>
          </w:p>
        </w:tc>
        <w:tc>
          <w:tcPr>
            <w:tcW w:w="620" w:type="dxa"/>
            <w:vAlign w:val="bottom"/>
          </w:tcPr>
          <w:p>
            <w:pPr>
              <w:jc w:val="center"/>
              <w:spacing w:after="0" w:line="101" w:lineRule="exact"/>
              <w:rPr>
                <w:sz w:val="20"/>
                <w:szCs w:val="20"/>
                <w:color w:val="auto"/>
              </w:rPr>
            </w:pPr>
            <w:r>
              <w:rPr>
                <w:rFonts w:ascii="Arial" w:cs="Arial" w:eastAsia="Arial" w:hAnsi="Arial"/>
                <w:sz w:val="10"/>
                <w:szCs w:val="10"/>
                <w:color w:val="auto"/>
                <w:w w:val="94"/>
              </w:rPr>
              <w:t>-90.8%</w:t>
            </w:r>
          </w:p>
        </w:tc>
        <w:tc>
          <w:tcPr>
            <w:tcW w:w="68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color w:val="auto"/>
                <w:w w:val="94"/>
              </w:rPr>
              <w:t>-87.6%</w:t>
            </w:r>
          </w:p>
        </w:tc>
        <w:tc>
          <w:tcPr>
            <w:tcW w:w="640" w:type="dxa"/>
            <w:vAlign w:val="bottom"/>
          </w:tcPr>
          <w:p>
            <w:pPr>
              <w:jc w:val="center"/>
              <w:spacing w:after="0" w:line="101" w:lineRule="exact"/>
              <w:rPr>
                <w:sz w:val="20"/>
                <w:szCs w:val="20"/>
                <w:color w:val="auto"/>
              </w:rPr>
            </w:pPr>
            <w:r>
              <w:rPr>
                <w:rFonts w:ascii="Arial" w:cs="Arial" w:eastAsia="Arial" w:hAnsi="Arial"/>
                <w:sz w:val="10"/>
                <w:szCs w:val="10"/>
                <w:color w:val="auto"/>
                <w:w w:val="91"/>
              </w:rPr>
              <w:t>(24,542)</w:t>
            </w:r>
          </w:p>
        </w:tc>
        <w:tc>
          <w:tcPr>
            <w:tcW w:w="66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color w:val="auto"/>
                <w:w w:val="96"/>
              </w:rPr>
              <w:t>(33,794)</w:t>
            </w:r>
          </w:p>
        </w:tc>
        <w:tc>
          <w:tcPr>
            <w:tcW w:w="86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color w:val="auto"/>
                <w:w w:val="98"/>
              </w:rPr>
              <w:t>37.7%</w:t>
            </w:r>
          </w:p>
        </w:tc>
      </w:tr>
      <w:tr>
        <w:trPr>
          <w:trHeight w:val="117"/>
        </w:trPr>
        <w:tc>
          <w:tcPr>
            <w:tcW w:w="4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0"/>
                <w:szCs w:val="10"/>
                <w:b w:val="1"/>
                <w:bCs w:val="1"/>
                <w:color w:val="auto"/>
              </w:rPr>
              <w:t>Net income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7"/>
              </w:rPr>
              <w:t>66,360</w:t>
            </w:r>
          </w:p>
        </w:tc>
        <w:tc>
          <w:tcPr>
            <w:tcW w:w="1040" w:type="dxa"/>
            <w:vAlign w:val="bottom"/>
            <w:tcBorders>
              <w:bottom w:val="single" w:sz="8" w:color="auto"/>
            </w:tcBorders>
          </w:tcPr>
          <w:p>
            <w:pPr>
              <w:jc w:val="center"/>
              <w:ind w:right="93"/>
              <w:spacing w:after="0"/>
              <w:rPr>
                <w:sz w:val="20"/>
                <w:szCs w:val="20"/>
                <w:color w:val="auto"/>
              </w:rPr>
            </w:pPr>
            <w:r>
              <w:rPr>
                <w:rFonts w:ascii="Arial" w:cs="Arial" w:eastAsia="Arial" w:hAnsi="Arial"/>
                <w:sz w:val="10"/>
                <w:szCs w:val="10"/>
                <w:color w:val="auto"/>
                <w:w w:val="97"/>
              </w:rPr>
              <w:t>92,571</w:t>
            </w:r>
          </w:p>
        </w:tc>
        <w:tc>
          <w:tcPr>
            <w:tcW w:w="880" w:type="dxa"/>
            <w:vAlign w:val="bottom"/>
            <w:tcBorders>
              <w:bottom w:val="single" w:sz="8" w:color="auto"/>
              <w:right w:val="single" w:sz="8" w:color="auto"/>
            </w:tcBorders>
          </w:tcPr>
          <w:p>
            <w:pPr>
              <w:jc w:val="center"/>
              <w:ind w:right="73"/>
              <w:spacing w:after="0"/>
              <w:rPr>
                <w:sz w:val="20"/>
                <w:szCs w:val="20"/>
                <w:color w:val="auto"/>
              </w:rPr>
            </w:pPr>
            <w:r>
              <w:rPr>
                <w:rFonts w:ascii="Arial" w:cs="Arial" w:eastAsia="Arial" w:hAnsi="Arial"/>
                <w:sz w:val="10"/>
                <w:szCs w:val="10"/>
                <w:color w:val="auto"/>
                <w:w w:val="91"/>
              </w:rPr>
              <w:t>35,714</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4"/>
              </w:rPr>
              <w:t>-61.4%</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4"/>
              </w:rPr>
              <w:t>-46.2%</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7"/>
              </w:rPr>
              <w:t>89,502</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3"/>
              </w:rPr>
              <w:t>128,286</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43.3%</w:t>
            </w:r>
          </w:p>
        </w:tc>
      </w:tr>
      <w:tr>
        <w:trPr>
          <w:trHeight w:val="304"/>
        </w:trPr>
        <w:tc>
          <w:tcPr>
            <w:tcW w:w="4560" w:type="dxa"/>
            <w:vAlign w:val="bottom"/>
          </w:tcPr>
          <w:p>
            <w:pPr>
              <w:spacing w:after="0"/>
              <w:rPr>
                <w:sz w:val="24"/>
                <w:szCs w:val="24"/>
                <w:color w:val="auto"/>
              </w:rPr>
            </w:pPr>
          </w:p>
        </w:tc>
        <w:tc>
          <w:tcPr>
            <w:tcW w:w="1940" w:type="dxa"/>
            <w:vAlign w:val="bottom"/>
            <w:gridSpan w:val="2"/>
          </w:tcPr>
          <w:p>
            <w:pPr>
              <w:jc w:val="right"/>
              <w:ind w:right="133"/>
              <w:spacing w:after="0"/>
              <w:rPr>
                <w:sz w:val="20"/>
                <w:szCs w:val="20"/>
                <w:color w:val="auto"/>
              </w:rPr>
            </w:pPr>
            <w:r>
              <w:rPr>
                <w:rFonts w:ascii="Arial" w:cs="Arial" w:eastAsia="Arial" w:hAnsi="Arial"/>
                <w:sz w:val="12"/>
                <w:szCs w:val="12"/>
                <w:b w:val="1"/>
                <w:bCs w:val="1"/>
                <w:color w:val="auto"/>
              </w:rPr>
              <w:t>Selected Financial Indicators</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39"/>
        </w:trPr>
        <w:tc>
          <w:tcPr>
            <w:tcW w:w="4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spacing w:after="0"/>
              <w:rPr>
                <w:sz w:val="12"/>
                <w:szCs w:val="12"/>
                <w:color w:val="auto"/>
              </w:rPr>
            </w:pPr>
          </w:p>
        </w:tc>
        <w:tc>
          <w:tcPr>
            <w:tcW w:w="1300" w:type="dxa"/>
            <w:vAlign w:val="bottom"/>
            <w:tcBorders>
              <w:bottom w:val="single" w:sz="8" w:color="auto"/>
            </w:tcBorders>
            <w:gridSpan w:val="2"/>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r>
      <w:tr>
        <w:trPr>
          <w:trHeight w:val="79"/>
        </w:trPr>
        <w:tc>
          <w:tcPr>
            <w:tcW w:w="4560" w:type="dxa"/>
            <w:vAlign w:val="bottom"/>
            <w:tcBorders>
              <w:left w:val="single" w:sz="8" w:color="auto"/>
              <w:right w:val="single" w:sz="8" w:color="auto"/>
            </w:tcBorders>
            <w:shd w:val="clear" w:color="auto" w:fill="2AD2C9"/>
          </w:tcPr>
          <w:p>
            <w:pPr>
              <w:spacing w:after="0"/>
              <w:rPr>
                <w:sz w:val="6"/>
                <w:szCs w:val="6"/>
                <w:color w:val="auto"/>
              </w:rPr>
            </w:pPr>
          </w:p>
        </w:tc>
        <w:tc>
          <w:tcPr>
            <w:tcW w:w="900" w:type="dxa"/>
            <w:vAlign w:val="bottom"/>
            <w:shd w:val="clear" w:color="auto" w:fill="2AD2C9"/>
          </w:tcPr>
          <w:p>
            <w:pPr>
              <w:spacing w:after="0"/>
              <w:rPr>
                <w:sz w:val="6"/>
                <w:szCs w:val="6"/>
                <w:color w:val="auto"/>
              </w:rPr>
            </w:pPr>
          </w:p>
        </w:tc>
        <w:tc>
          <w:tcPr>
            <w:tcW w:w="1040" w:type="dxa"/>
            <w:vAlign w:val="bottom"/>
            <w:shd w:val="clear" w:color="auto" w:fill="2AD2C9"/>
          </w:tcPr>
          <w:p>
            <w:pPr>
              <w:ind w:left="320"/>
              <w:spacing w:after="0" w:line="79" w:lineRule="exact"/>
              <w:rPr>
                <w:sz w:val="20"/>
                <w:szCs w:val="20"/>
                <w:color w:val="auto"/>
              </w:rPr>
            </w:pPr>
            <w:r>
              <w:rPr>
                <w:rFonts w:ascii="Arial" w:cs="Arial" w:eastAsia="Arial" w:hAnsi="Arial"/>
                <w:sz w:val="8"/>
                <w:szCs w:val="8"/>
                <w:b w:val="1"/>
                <w:bCs w:val="1"/>
                <w:color w:val="FFFFFF"/>
              </w:rPr>
              <w:t>Quarter</w:t>
            </w:r>
          </w:p>
        </w:tc>
        <w:tc>
          <w:tcPr>
            <w:tcW w:w="880" w:type="dxa"/>
            <w:vAlign w:val="bottom"/>
            <w:tcBorders>
              <w:right w:val="single" w:sz="8" w:color="auto"/>
            </w:tcBorders>
            <w:shd w:val="clear" w:color="auto" w:fill="2AD2C9"/>
          </w:tcPr>
          <w:p>
            <w:pPr>
              <w:spacing w:after="0"/>
              <w:rPr>
                <w:sz w:val="6"/>
                <w:szCs w:val="6"/>
                <w:color w:val="auto"/>
              </w:rPr>
            </w:pPr>
          </w:p>
        </w:tc>
        <w:tc>
          <w:tcPr>
            <w:tcW w:w="1300" w:type="dxa"/>
            <w:vAlign w:val="bottom"/>
            <w:tcBorders>
              <w:right w:val="single" w:sz="8" w:color="auto"/>
            </w:tcBorders>
            <w:gridSpan w:val="2"/>
            <w:shd w:val="clear" w:color="auto" w:fill="2AD2C9"/>
          </w:tcPr>
          <w:p>
            <w:pPr>
              <w:ind w:left="420"/>
              <w:spacing w:after="0" w:line="79" w:lineRule="exact"/>
              <w:rPr>
                <w:sz w:val="20"/>
                <w:szCs w:val="20"/>
                <w:color w:val="auto"/>
              </w:rPr>
            </w:pPr>
            <w:r>
              <w:rPr>
                <w:rFonts w:ascii="Arial" w:cs="Arial" w:eastAsia="Arial" w:hAnsi="Arial"/>
                <w:sz w:val="8"/>
                <w:szCs w:val="8"/>
                <w:b w:val="1"/>
                <w:bCs w:val="1"/>
                <w:color w:val="FFFFFF"/>
              </w:rPr>
              <w:t>% change</w:t>
            </w:r>
          </w:p>
        </w:tc>
        <w:tc>
          <w:tcPr>
            <w:tcW w:w="1300" w:type="dxa"/>
            <w:vAlign w:val="bottom"/>
            <w:tcBorders>
              <w:right w:val="single" w:sz="8" w:color="auto"/>
            </w:tcBorders>
            <w:gridSpan w:val="2"/>
            <w:shd w:val="clear" w:color="auto" w:fill="2AD2C9"/>
          </w:tcPr>
          <w:p>
            <w:pPr>
              <w:ind w:left="520"/>
              <w:spacing w:after="0" w:line="79" w:lineRule="exact"/>
              <w:rPr>
                <w:sz w:val="20"/>
                <w:szCs w:val="20"/>
                <w:color w:val="auto"/>
              </w:rPr>
            </w:pPr>
            <w:r>
              <w:rPr>
                <w:rFonts w:ascii="Arial" w:cs="Arial" w:eastAsia="Arial" w:hAnsi="Arial"/>
                <w:sz w:val="8"/>
                <w:szCs w:val="8"/>
                <w:b w:val="1"/>
                <w:bCs w:val="1"/>
                <w:color w:val="FFFFFF"/>
              </w:rPr>
              <w:t>Up to</w:t>
            </w:r>
          </w:p>
        </w:tc>
        <w:tc>
          <w:tcPr>
            <w:tcW w:w="860" w:type="dxa"/>
            <w:vAlign w:val="bottom"/>
            <w:tcBorders>
              <w:right w:val="single" w:sz="8" w:color="auto"/>
            </w:tcBorders>
            <w:shd w:val="clear" w:color="auto" w:fill="2AD2C9"/>
          </w:tcPr>
          <w:p>
            <w:pPr>
              <w:jc w:val="center"/>
              <w:spacing w:after="0" w:line="79" w:lineRule="exact"/>
              <w:rPr>
                <w:sz w:val="20"/>
                <w:szCs w:val="20"/>
                <w:color w:val="auto"/>
              </w:rPr>
            </w:pPr>
            <w:r>
              <w:rPr>
                <w:rFonts w:ascii="Arial" w:cs="Arial" w:eastAsia="Arial" w:hAnsi="Arial"/>
                <w:sz w:val="8"/>
                <w:szCs w:val="8"/>
                <w:b w:val="1"/>
                <w:bCs w:val="1"/>
                <w:color w:val="FFFFFF"/>
              </w:rPr>
              <w:t>% change</w:t>
            </w:r>
          </w:p>
        </w:tc>
      </w:tr>
      <w:tr>
        <w:trPr>
          <w:trHeight w:val="117"/>
        </w:trPr>
        <w:tc>
          <w:tcPr>
            <w:tcW w:w="4560" w:type="dxa"/>
            <w:vAlign w:val="bottom"/>
            <w:tcBorders>
              <w:left w:val="single" w:sz="8" w:color="auto"/>
              <w:bottom w:val="single" w:sz="8" w:color="auto"/>
              <w:right w:val="single" w:sz="8" w:color="auto"/>
            </w:tcBorders>
            <w:shd w:val="clear" w:color="auto" w:fill="2AD2C9"/>
          </w:tcPr>
          <w:p>
            <w:pPr>
              <w:spacing w:after="0"/>
              <w:rPr>
                <w:sz w:val="10"/>
                <w:szCs w:val="10"/>
                <w:color w:val="auto"/>
              </w:rPr>
            </w:pPr>
          </w:p>
        </w:tc>
        <w:tc>
          <w:tcPr>
            <w:tcW w:w="9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89"/>
              </w:rPr>
              <w:t>2Q23</w:t>
            </w:r>
          </w:p>
        </w:tc>
        <w:tc>
          <w:tcPr>
            <w:tcW w:w="1040" w:type="dxa"/>
            <w:vAlign w:val="bottom"/>
            <w:tcBorders>
              <w:bottom w:val="single" w:sz="8" w:color="auto"/>
            </w:tcBorders>
            <w:shd w:val="clear" w:color="auto" w:fill="2AD2C9"/>
          </w:tcPr>
          <w:p>
            <w:pPr>
              <w:jc w:val="center"/>
              <w:ind w:right="93"/>
              <w:spacing w:after="0"/>
              <w:rPr>
                <w:sz w:val="20"/>
                <w:szCs w:val="20"/>
                <w:color w:val="auto"/>
              </w:rPr>
            </w:pPr>
            <w:r>
              <w:rPr>
                <w:rFonts w:ascii="Arial" w:cs="Arial" w:eastAsia="Arial" w:hAnsi="Arial"/>
                <w:sz w:val="10"/>
                <w:szCs w:val="10"/>
                <w:b w:val="1"/>
                <w:bCs w:val="1"/>
                <w:color w:val="FFFFFF"/>
                <w:w w:val="89"/>
              </w:rPr>
              <w:t>1Q24</w:t>
            </w:r>
          </w:p>
        </w:tc>
        <w:tc>
          <w:tcPr>
            <w:tcW w:w="880" w:type="dxa"/>
            <w:vAlign w:val="bottom"/>
            <w:tcBorders>
              <w:bottom w:val="single" w:sz="8" w:color="auto"/>
              <w:right w:val="single" w:sz="8" w:color="auto"/>
            </w:tcBorders>
            <w:shd w:val="clear" w:color="auto" w:fill="2AD2C9"/>
          </w:tcPr>
          <w:p>
            <w:pPr>
              <w:jc w:val="center"/>
              <w:ind w:right="73"/>
              <w:spacing w:after="0"/>
              <w:rPr>
                <w:sz w:val="20"/>
                <w:szCs w:val="20"/>
                <w:color w:val="auto"/>
              </w:rPr>
            </w:pPr>
            <w:r>
              <w:rPr>
                <w:rFonts w:ascii="Arial" w:cs="Arial" w:eastAsia="Arial" w:hAnsi="Arial"/>
                <w:sz w:val="10"/>
                <w:szCs w:val="10"/>
                <w:b w:val="1"/>
                <w:bCs w:val="1"/>
                <w:color w:val="FFFFFF"/>
                <w:w w:val="97"/>
              </w:rPr>
              <w:t>2Q24</w:t>
            </w:r>
          </w:p>
        </w:tc>
        <w:tc>
          <w:tcPr>
            <w:tcW w:w="6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2"/>
              </w:rPr>
              <w:t>QoQ</w:t>
            </w:r>
          </w:p>
        </w:tc>
        <w:tc>
          <w:tcPr>
            <w:tcW w:w="6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2"/>
              </w:rPr>
              <w:t>YoY</w:t>
            </w:r>
          </w:p>
        </w:tc>
        <w:tc>
          <w:tcPr>
            <w:tcW w:w="6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1"/>
              </w:rPr>
              <w:t>1H23</w:t>
            </w:r>
          </w:p>
        </w:tc>
        <w:tc>
          <w:tcPr>
            <w:tcW w:w="6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1"/>
              </w:rPr>
              <w:t>1H24</w:t>
            </w:r>
          </w:p>
        </w:tc>
        <w:tc>
          <w:tcPr>
            <w:tcW w:w="8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6"/>
              </w:rPr>
              <w:t>1H24 / 1H23</w:t>
            </w:r>
          </w:p>
        </w:tc>
      </w:tr>
      <w:tr>
        <w:trPr>
          <w:trHeight w:val="81"/>
        </w:trPr>
        <w:tc>
          <w:tcPr>
            <w:tcW w:w="4560" w:type="dxa"/>
            <w:vAlign w:val="bottom"/>
            <w:tcBorders>
              <w:left w:val="single" w:sz="8" w:color="auto"/>
              <w:right w:val="single" w:sz="8" w:color="auto"/>
            </w:tcBorders>
          </w:tcPr>
          <w:p>
            <w:pPr>
              <w:ind w:left="40"/>
              <w:spacing w:after="0" w:line="81" w:lineRule="exact"/>
              <w:rPr>
                <w:sz w:val="20"/>
                <w:szCs w:val="20"/>
                <w:color w:val="auto"/>
              </w:rPr>
            </w:pPr>
            <w:r>
              <w:rPr>
                <w:rFonts w:ascii="Arial" w:cs="Arial" w:eastAsia="Arial" w:hAnsi="Arial"/>
                <w:sz w:val="8"/>
                <w:szCs w:val="8"/>
                <w:color w:val="auto"/>
              </w:rPr>
              <w:t>Efficiency ratio</w:t>
            </w:r>
          </w:p>
        </w:tc>
        <w:tc>
          <w:tcPr>
            <w:tcW w:w="900" w:type="dxa"/>
            <w:vAlign w:val="bottom"/>
          </w:tcPr>
          <w:p>
            <w:pPr>
              <w:jc w:val="center"/>
              <w:spacing w:after="0" w:line="81" w:lineRule="exact"/>
              <w:rPr>
                <w:sz w:val="20"/>
                <w:szCs w:val="20"/>
                <w:color w:val="auto"/>
              </w:rPr>
            </w:pPr>
            <w:r>
              <w:rPr>
                <w:rFonts w:ascii="Arial" w:cs="Arial" w:eastAsia="Arial" w:hAnsi="Arial"/>
                <w:sz w:val="8"/>
                <w:szCs w:val="8"/>
                <w:color w:val="auto"/>
              </w:rPr>
              <w:t>52.7%</w:t>
            </w:r>
          </w:p>
        </w:tc>
        <w:tc>
          <w:tcPr>
            <w:tcW w:w="1040" w:type="dxa"/>
            <w:vAlign w:val="bottom"/>
          </w:tcPr>
          <w:p>
            <w:pPr>
              <w:jc w:val="center"/>
              <w:ind w:right="93"/>
              <w:spacing w:after="0" w:line="81" w:lineRule="exact"/>
              <w:rPr>
                <w:sz w:val="20"/>
                <w:szCs w:val="20"/>
                <w:color w:val="auto"/>
              </w:rPr>
            </w:pPr>
            <w:r>
              <w:rPr>
                <w:rFonts w:ascii="Arial" w:cs="Arial" w:eastAsia="Arial" w:hAnsi="Arial"/>
                <w:sz w:val="8"/>
                <w:szCs w:val="8"/>
                <w:color w:val="auto"/>
              </w:rPr>
              <w:t>53.6%</w:t>
            </w:r>
          </w:p>
        </w:tc>
        <w:tc>
          <w:tcPr>
            <w:tcW w:w="880" w:type="dxa"/>
            <w:vAlign w:val="bottom"/>
            <w:tcBorders>
              <w:right w:val="single" w:sz="8" w:color="auto"/>
            </w:tcBorders>
          </w:tcPr>
          <w:p>
            <w:pPr>
              <w:jc w:val="center"/>
              <w:ind w:right="73"/>
              <w:spacing w:after="0" w:line="81" w:lineRule="exact"/>
              <w:rPr>
                <w:sz w:val="20"/>
                <w:szCs w:val="20"/>
                <w:color w:val="auto"/>
              </w:rPr>
            </w:pPr>
            <w:r>
              <w:rPr>
                <w:rFonts w:ascii="Arial" w:cs="Arial" w:eastAsia="Arial" w:hAnsi="Arial"/>
                <w:sz w:val="8"/>
                <w:szCs w:val="8"/>
                <w:color w:val="auto"/>
              </w:rPr>
              <w:t>51.3%</w:t>
            </w:r>
          </w:p>
        </w:tc>
        <w:tc>
          <w:tcPr>
            <w:tcW w:w="620" w:type="dxa"/>
            <w:vAlign w:val="bottom"/>
          </w:tcPr>
          <w:p>
            <w:pPr>
              <w:jc w:val="center"/>
              <w:spacing w:after="0" w:line="81" w:lineRule="exact"/>
              <w:rPr>
                <w:sz w:val="20"/>
                <w:szCs w:val="20"/>
                <w:color w:val="auto"/>
              </w:rPr>
            </w:pPr>
            <w:r>
              <w:rPr>
                <w:rFonts w:ascii="Arial" w:cs="Arial" w:eastAsia="Arial" w:hAnsi="Arial"/>
                <w:sz w:val="8"/>
                <w:szCs w:val="8"/>
                <w:color w:val="auto"/>
              </w:rPr>
              <w:t>-225 bps</w:t>
            </w:r>
          </w:p>
        </w:tc>
        <w:tc>
          <w:tcPr>
            <w:tcW w:w="68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-134 bps</w:t>
            </w:r>
          </w:p>
        </w:tc>
        <w:tc>
          <w:tcPr>
            <w:tcW w:w="640" w:type="dxa"/>
            <w:vAlign w:val="bottom"/>
          </w:tcPr>
          <w:p>
            <w:pPr>
              <w:jc w:val="center"/>
              <w:spacing w:after="0" w:line="81" w:lineRule="exact"/>
              <w:rPr>
                <w:sz w:val="20"/>
                <w:szCs w:val="20"/>
                <w:color w:val="auto"/>
              </w:rPr>
            </w:pPr>
            <w:r>
              <w:rPr>
                <w:rFonts w:ascii="Arial" w:cs="Arial" w:eastAsia="Arial" w:hAnsi="Arial"/>
                <w:sz w:val="8"/>
                <w:szCs w:val="8"/>
                <w:color w:val="auto"/>
              </w:rPr>
              <w:t>53.5%</w:t>
            </w:r>
          </w:p>
        </w:tc>
        <w:tc>
          <w:tcPr>
            <w:tcW w:w="66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52.4%</w:t>
            </w:r>
          </w:p>
        </w:tc>
        <w:tc>
          <w:tcPr>
            <w:tcW w:w="86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-109 bps</w:t>
            </w:r>
          </w:p>
        </w:tc>
      </w:tr>
      <w:tr>
        <w:trPr>
          <w:trHeight w:val="103"/>
        </w:trPr>
        <w:tc>
          <w:tcPr>
            <w:tcW w:w="456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ROAE</w:t>
            </w:r>
          </w:p>
        </w:tc>
        <w:tc>
          <w:tcPr>
            <w:tcW w:w="900" w:type="dxa"/>
            <w:vAlign w:val="bottom"/>
          </w:tcPr>
          <w:p>
            <w:pPr>
              <w:jc w:val="center"/>
              <w:spacing w:after="0" w:line="103" w:lineRule="exact"/>
              <w:rPr>
                <w:sz w:val="20"/>
                <w:szCs w:val="20"/>
                <w:color w:val="auto"/>
              </w:rPr>
            </w:pPr>
            <w:r>
              <w:rPr>
                <w:rFonts w:ascii="Arial" w:cs="Arial" w:eastAsia="Arial" w:hAnsi="Arial"/>
                <w:sz w:val="10"/>
                <w:szCs w:val="10"/>
                <w:color w:val="auto"/>
                <w:w w:val="96"/>
              </w:rPr>
              <w:t>9.3%</w:t>
            </w:r>
          </w:p>
        </w:tc>
        <w:tc>
          <w:tcPr>
            <w:tcW w:w="1040" w:type="dxa"/>
            <w:vAlign w:val="bottom"/>
          </w:tcPr>
          <w:p>
            <w:pPr>
              <w:jc w:val="center"/>
              <w:ind w:right="93"/>
              <w:spacing w:after="0" w:line="103" w:lineRule="exact"/>
              <w:rPr>
                <w:sz w:val="20"/>
                <w:szCs w:val="20"/>
                <w:color w:val="auto"/>
              </w:rPr>
            </w:pPr>
            <w:r>
              <w:rPr>
                <w:rFonts w:ascii="Arial" w:cs="Arial" w:eastAsia="Arial" w:hAnsi="Arial"/>
                <w:sz w:val="10"/>
                <w:szCs w:val="10"/>
                <w:color w:val="auto"/>
                <w:w w:val="91"/>
              </w:rPr>
              <w:t>13.2%</w:t>
            </w:r>
          </w:p>
        </w:tc>
        <w:tc>
          <w:tcPr>
            <w:tcW w:w="880" w:type="dxa"/>
            <w:vAlign w:val="bottom"/>
            <w:tcBorders>
              <w:right w:val="single" w:sz="8" w:color="auto"/>
            </w:tcBorders>
          </w:tcPr>
          <w:p>
            <w:pPr>
              <w:jc w:val="center"/>
              <w:ind w:right="53"/>
              <w:spacing w:after="0" w:line="103" w:lineRule="exact"/>
              <w:rPr>
                <w:sz w:val="20"/>
                <w:szCs w:val="20"/>
                <w:color w:val="auto"/>
              </w:rPr>
            </w:pPr>
            <w:r>
              <w:rPr>
                <w:rFonts w:ascii="Arial" w:cs="Arial" w:eastAsia="Arial" w:hAnsi="Arial"/>
                <w:sz w:val="10"/>
                <w:szCs w:val="10"/>
                <w:color w:val="auto"/>
                <w:w w:val="96"/>
              </w:rPr>
              <w:t>5.4%</w:t>
            </w:r>
          </w:p>
        </w:tc>
        <w:tc>
          <w:tcPr>
            <w:tcW w:w="620" w:type="dxa"/>
            <w:vAlign w:val="bottom"/>
          </w:tcPr>
          <w:p>
            <w:pPr>
              <w:jc w:val="center"/>
              <w:spacing w:after="0" w:line="103" w:lineRule="exact"/>
              <w:rPr>
                <w:sz w:val="20"/>
                <w:szCs w:val="20"/>
                <w:color w:val="auto"/>
              </w:rPr>
            </w:pPr>
            <w:r>
              <w:rPr>
                <w:rFonts w:ascii="Arial" w:cs="Arial" w:eastAsia="Arial" w:hAnsi="Arial"/>
                <w:sz w:val="10"/>
                <w:szCs w:val="10"/>
                <w:color w:val="auto"/>
                <w:w w:val="97"/>
              </w:rPr>
              <w:t>-777 bps</w:t>
            </w:r>
          </w:p>
        </w:tc>
        <w:tc>
          <w:tcPr>
            <w:tcW w:w="6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2"/>
              </w:rPr>
              <w:t>-395 bps</w:t>
            </w:r>
          </w:p>
        </w:tc>
        <w:tc>
          <w:tcPr>
            <w:tcW w:w="640" w:type="dxa"/>
            <w:vAlign w:val="bottom"/>
          </w:tcPr>
          <w:p>
            <w:pPr>
              <w:jc w:val="center"/>
              <w:spacing w:after="0" w:line="103" w:lineRule="exact"/>
              <w:rPr>
                <w:sz w:val="20"/>
                <w:szCs w:val="20"/>
                <w:color w:val="auto"/>
              </w:rPr>
            </w:pPr>
            <w:r>
              <w:rPr>
                <w:rFonts w:ascii="Arial" w:cs="Arial" w:eastAsia="Arial" w:hAnsi="Arial"/>
                <w:sz w:val="10"/>
                <w:szCs w:val="10"/>
                <w:color w:val="auto"/>
                <w:w w:val="96"/>
              </w:rPr>
              <w:t>6.3%</w:t>
            </w:r>
          </w:p>
        </w:tc>
        <w:tc>
          <w:tcPr>
            <w:tcW w:w="6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9.0%</w:t>
            </w:r>
          </w:p>
        </w:tc>
        <w:tc>
          <w:tcPr>
            <w:tcW w:w="8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5"/>
              </w:rPr>
              <w:t>273 bps</w:t>
            </w:r>
          </w:p>
        </w:tc>
      </w:tr>
      <w:tr>
        <w:trPr>
          <w:trHeight w:val="106"/>
        </w:trPr>
        <w:tc>
          <w:tcPr>
            <w:tcW w:w="456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ROAE incl. Goowdill</w:t>
            </w:r>
          </w:p>
        </w:tc>
        <w:tc>
          <w:tcPr>
            <w:tcW w:w="900" w:type="dxa"/>
            <w:vAlign w:val="bottom"/>
          </w:tcPr>
          <w:p>
            <w:pPr>
              <w:jc w:val="center"/>
              <w:spacing w:after="0" w:line="103" w:lineRule="exact"/>
              <w:rPr>
                <w:sz w:val="20"/>
                <w:szCs w:val="20"/>
                <w:color w:val="auto"/>
              </w:rPr>
            </w:pPr>
            <w:r>
              <w:rPr>
                <w:rFonts w:ascii="Arial" w:cs="Arial" w:eastAsia="Arial" w:hAnsi="Arial"/>
                <w:sz w:val="10"/>
                <w:szCs w:val="10"/>
                <w:color w:val="auto"/>
                <w:w w:val="96"/>
              </w:rPr>
              <w:t>9.1%</w:t>
            </w:r>
          </w:p>
        </w:tc>
        <w:tc>
          <w:tcPr>
            <w:tcW w:w="1040" w:type="dxa"/>
            <w:vAlign w:val="bottom"/>
          </w:tcPr>
          <w:p>
            <w:pPr>
              <w:jc w:val="center"/>
              <w:ind w:right="93"/>
              <w:spacing w:after="0" w:line="103" w:lineRule="exact"/>
              <w:rPr>
                <w:sz w:val="20"/>
                <w:szCs w:val="20"/>
                <w:color w:val="auto"/>
              </w:rPr>
            </w:pPr>
            <w:r>
              <w:rPr>
                <w:rFonts w:ascii="Arial" w:cs="Arial" w:eastAsia="Arial" w:hAnsi="Arial"/>
                <w:sz w:val="10"/>
                <w:szCs w:val="10"/>
                <w:color w:val="auto"/>
                <w:w w:val="91"/>
              </w:rPr>
              <w:t>12.6%</w:t>
            </w:r>
          </w:p>
        </w:tc>
        <w:tc>
          <w:tcPr>
            <w:tcW w:w="880" w:type="dxa"/>
            <w:vAlign w:val="bottom"/>
            <w:tcBorders>
              <w:right w:val="single" w:sz="8" w:color="auto"/>
            </w:tcBorders>
          </w:tcPr>
          <w:p>
            <w:pPr>
              <w:jc w:val="center"/>
              <w:ind w:right="53"/>
              <w:spacing w:after="0" w:line="103" w:lineRule="exact"/>
              <w:rPr>
                <w:sz w:val="20"/>
                <w:szCs w:val="20"/>
                <w:color w:val="auto"/>
              </w:rPr>
            </w:pPr>
            <w:r>
              <w:rPr>
                <w:rFonts w:ascii="Arial" w:cs="Arial" w:eastAsia="Arial" w:hAnsi="Arial"/>
                <w:sz w:val="10"/>
                <w:szCs w:val="10"/>
                <w:color w:val="auto"/>
                <w:w w:val="96"/>
              </w:rPr>
              <w:t>5.2%</w:t>
            </w:r>
          </w:p>
        </w:tc>
        <w:tc>
          <w:tcPr>
            <w:tcW w:w="620" w:type="dxa"/>
            <w:vAlign w:val="bottom"/>
          </w:tcPr>
          <w:p>
            <w:pPr>
              <w:jc w:val="center"/>
              <w:spacing w:after="0" w:line="103" w:lineRule="exact"/>
              <w:rPr>
                <w:sz w:val="20"/>
                <w:szCs w:val="20"/>
                <w:color w:val="auto"/>
              </w:rPr>
            </w:pPr>
            <w:r>
              <w:rPr>
                <w:rFonts w:ascii="Arial" w:cs="Arial" w:eastAsia="Arial" w:hAnsi="Arial"/>
                <w:sz w:val="10"/>
                <w:szCs w:val="10"/>
                <w:color w:val="auto"/>
                <w:w w:val="97"/>
              </w:rPr>
              <w:t>-741 bps</w:t>
            </w:r>
          </w:p>
        </w:tc>
        <w:tc>
          <w:tcPr>
            <w:tcW w:w="6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2"/>
              </w:rPr>
              <w:t>-391 bps</w:t>
            </w:r>
          </w:p>
        </w:tc>
        <w:tc>
          <w:tcPr>
            <w:tcW w:w="640" w:type="dxa"/>
            <w:vAlign w:val="bottom"/>
            <w:tcBorders>
              <w:bottom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6.2%</w:t>
            </w:r>
          </w:p>
        </w:tc>
        <w:tc>
          <w:tcPr>
            <w:tcW w:w="660" w:type="dxa"/>
            <w:vAlign w:val="bottom"/>
            <w:tcBorders>
              <w:bottom w:val="single" w:sz="8" w:color="auto"/>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8.7%</w:t>
            </w:r>
          </w:p>
        </w:tc>
        <w:tc>
          <w:tcPr>
            <w:tcW w:w="860" w:type="dxa"/>
            <w:vAlign w:val="bottom"/>
            <w:tcBorders>
              <w:bottom w:val="single" w:sz="8" w:color="auto"/>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5"/>
              </w:rPr>
              <w:t>250 bps</w:t>
            </w:r>
          </w:p>
        </w:tc>
      </w:tr>
      <w:tr>
        <w:trPr>
          <w:trHeight w:val="90"/>
        </w:trPr>
        <w:tc>
          <w:tcPr>
            <w:tcW w:w="4560" w:type="dxa"/>
            <w:vAlign w:val="bottom"/>
            <w:tcBorders>
              <w:left w:val="single" w:sz="8" w:color="auto"/>
              <w:right w:val="single" w:sz="8" w:color="auto"/>
            </w:tcBorders>
          </w:tcPr>
          <w:p>
            <w:pPr>
              <w:ind w:left="40"/>
              <w:spacing w:after="0" w:line="91" w:lineRule="exact"/>
              <w:rPr>
                <w:sz w:val="20"/>
                <w:szCs w:val="20"/>
                <w:color w:val="auto"/>
              </w:rPr>
            </w:pPr>
            <w:r>
              <w:rPr>
                <w:rFonts w:ascii="Arial" w:cs="Arial" w:eastAsia="Arial" w:hAnsi="Arial"/>
                <w:sz w:val="10"/>
                <w:szCs w:val="10"/>
                <w:color w:val="auto"/>
              </w:rPr>
              <w:t>L/D ratio</w:t>
            </w:r>
          </w:p>
        </w:tc>
        <w:tc>
          <w:tcPr>
            <w:tcW w:w="900" w:type="dxa"/>
            <w:vAlign w:val="bottom"/>
          </w:tcPr>
          <w:p>
            <w:pPr>
              <w:jc w:val="center"/>
              <w:spacing w:after="0" w:line="91" w:lineRule="exact"/>
              <w:rPr>
                <w:sz w:val="20"/>
                <w:szCs w:val="20"/>
                <w:color w:val="auto"/>
              </w:rPr>
            </w:pPr>
            <w:r>
              <w:rPr>
                <w:rFonts w:ascii="Arial" w:cs="Arial" w:eastAsia="Arial" w:hAnsi="Arial"/>
                <w:sz w:val="10"/>
                <w:szCs w:val="10"/>
                <w:color w:val="auto"/>
              </w:rPr>
              <w:t>144.0%</w:t>
            </w:r>
          </w:p>
        </w:tc>
        <w:tc>
          <w:tcPr>
            <w:tcW w:w="1040" w:type="dxa"/>
            <w:vAlign w:val="bottom"/>
          </w:tcPr>
          <w:p>
            <w:pPr>
              <w:jc w:val="center"/>
              <w:ind w:right="93"/>
              <w:spacing w:after="0" w:line="91" w:lineRule="exact"/>
              <w:rPr>
                <w:sz w:val="20"/>
                <w:szCs w:val="20"/>
                <w:color w:val="auto"/>
              </w:rPr>
            </w:pPr>
            <w:r>
              <w:rPr>
                <w:rFonts w:ascii="Arial" w:cs="Arial" w:eastAsia="Arial" w:hAnsi="Arial"/>
                <w:sz w:val="10"/>
                <w:szCs w:val="10"/>
                <w:color w:val="auto"/>
              </w:rPr>
              <w:t>129.3%</w:t>
            </w:r>
          </w:p>
        </w:tc>
        <w:tc>
          <w:tcPr>
            <w:tcW w:w="880" w:type="dxa"/>
            <w:vAlign w:val="bottom"/>
            <w:tcBorders>
              <w:right w:val="single" w:sz="8" w:color="auto"/>
            </w:tcBorders>
          </w:tcPr>
          <w:p>
            <w:pPr>
              <w:jc w:val="center"/>
              <w:ind w:right="73"/>
              <w:spacing w:after="0" w:line="91" w:lineRule="exact"/>
              <w:rPr>
                <w:sz w:val="20"/>
                <w:szCs w:val="20"/>
                <w:color w:val="auto"/>
              </w:rPr>
            </w:pPr>
            <w:r>
              <w:rPr>
                <w:rFonts w:ascii="Arial" w:cs="Arial" w:eastAsia="Arial" w:hAnsi="Arial"/>
                <w:sz w:val="10"/>
                <w:szCs w:val="10"/>
                <w:color w:val="auto"/>
                <w:w w:val="94"/>
              </w:rPr>
              <w:t>120.6%</w:t>
            </w:r>
          </w:p>
        </w:tc>
        <w:tc>
          <w:tcPr>
            <w:tcW w:w="620" w:type="dxa"/>
            <w:vAlign w:val="bottom"/>
          </w:tcPr>
          <w:p>
            <w:pPr>
              <w:jc w:val="center"/>
              <w:spacing w:after="0" w:line="91" w:lineRule="exact"/>
              <w:rPr>
                <w:sz w:val="20"/>
                <w:szCs w:val="20"/>
                <w:color w:val="auto"/>
              </w:rPr>
            </w:pPr>
            <w:r>
              <w:rPr>
                <w:rFonts w:ascii="Arial" w:cs="Arial" w:eastAsia="Arial" w:hAnsi="Arial"/>
                <w:sz w:val="10"/>
                <w:szCs w:val="10"/>
                <w:color w:val="auto"/>
                <w:w w:val="97"/>
              </w:rPr>
              <w:t>-863 bps</w:t>
            </w:r>
          </w:p>
        </w:tc>
        <w:tc>
          <w:tcPr>
            <w:tcW w:w="680" w:type="dxa"/>
            <w:vAlign w:val="bottom"/>
            <w:tcBorders>
              <w:right w:val="single" w:sz="8" w:color="auto"/>
            </w:tcBorders>
          </w:tcPr>
          <w:p>
            <w:pPr>
              <w:jc w:val="center"/>
              <w:spacing w:after="0" w:line="91" w:lineRule="exact"/>
              <w:rPr>
                <w:sz w:val="20"/>
                <w:szCs w:val="20"/>
                <w:color w:val="auto"/>
              </w:rPr>
            </w:pPr>
            <w:r>
              <w:rPr>
                <w:rFonts w:ascii="Arial" w:cs="Arial" w:eastAsia="Arial" w:hAnsi="Arial"/>
                <w:sz w:val="10"/>
                <w:szCs w:val="10"/>
                <w:color w:val="auto"/>
                <w:w w:val="98"/>
              </w:rPr>
              <w:t>-2338 bps</w:t>
            </w:r>
          </w:p>
        </w:tc>
        <w:tc>
          <w:tcPr>
            <w:tcW w:w="6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r>
      <w:tr>
        <w:trPr>
          <w:trHeight w:val="103"/>
        </w:trPr>
        <w:tc>
          <w:tcPr>
            <w:tcW w:w="456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IOL ratio</w:t>
            </w:r>
          </w:p>
        </w:tc>
        <w:tc>
          <w:tcPr>
            <w:tcW w:w="900" w:type="dxa"/>
            <w:vAlign w:val="bottom"/>
          </w:tcPr>
          <w:p>
            <w:pPr>
              <w:jc w:val="center"/>
              <w:spacing w:after="0" w:line="103" w:lineRule="exact"/>
              <w:rPr>
                <w:sz w:val="20"/>
                <w:szCs w:val="20"/>
                <w:color w:val="auto"/>
              </w:rPr>
            </w:pPr>
            <w:r>
              <w:rPr>
                <w:rFonts w:ascii="Arial" w:cs="Arial" w:eastAsia="Arial" w:hAnsi="Arial"/>
                <w:sz w:val="10"/>
                <w:szCs w:val="10"/>
                <w:color w:val="auto"/>
                <w:w w:val="96"/>
              </w:rPr>
              <w:t>6.3%</w:t>
            </w:r>
          </w:p>
        </w:tc>
        <w:tc>
          <w:tcPr>
            <w:tcW w:w="1040" w:type="dxa"/>
            <w:vAlign w:val="bottom"/>
          </w:tcPr>
          <w:p>
            <w:pPr>
              <w:jc w:val="center"/>
              <w:ind w:right="93"/>
              <w:spacing w:after="0" w:line="103" w:lineRule="exact"/>
              <w:rPr>
                <w:sz w:val="20"/>
                <w:szCs w:val="20"/>
                <w:color w:val="auto"/>
              </w:rPr>
            </w:pPr>
            <w:r>
              <w:rPr>
                <w:rFonts w:ascii="Arial" w:cs="Arial" w:eastAsia="Arial" w:hAnsi="Arial"/>
                <w:sz w:val="10"/>
                <w:szCs w:val="10"/>
                <w:color w:val="auto"/>
                <w:w w:val="96"/>
              </w:rPr>
              <w:t>6.7%</w:t>
            </w:r>
          </w:p>
        </w:tc>
        <w:tc>
          <w:tcPr>
            <w:tcW w:w="880" w:type="dxa"/>
            <w:vAlign w:val="bottom"/>
            <w:tcBorders>
              <w:right w:val="single" w:sz="8" w:color="auto"/>
            </w:tcBorders>
          </w:tcPr>
          <w:p>
            <w:pPr>
              <w:jc w:val="center"/>
              <w:ind w:right="53"/>
              <w:spacing w:after="0" w:line="103" w:lineRule="exact"/>
              <w:rPr>
                <w:sz w:val="20"/>
                <w:szCs w:val="20"/>
                <w:color w:val="auto"/>
              </w:rPr>
            </w:pPr>
            <w:r>
              <w:rPr>
                <w:rFonts w:ascii="Arial" w:cs="Arial" w:eastAsia="Arial" w:hAnsi="Arial"/>
                <w:sz w:val="10"/>
                <w:szCs w:val="10"/>
                <w:color w:val="auto"/>
                <w:w w:val="96"/>
              </w:rPr>
              <w:t>7.4%</w:t>
            </w:r>
          </w:p>
        </w:tc>
        <w:tc>
          <w:tcPr>
            <w:tcW w:w="620" w:type="dxa"/>
            <w:vAlign w:val="bottom"/>
          </w:tcPr>
          <w:p>
            <w:pPr>
              <w:jc w:val="center"/>
              <w:spacing w:after="0" w:line="103" w:lineRule="exact"/>
              <w:rPr>
                <w:sz w:val="20"/>
                <w:szCs w:val="20"/>
                <w:color w:val="auto"/>
              </w:rPr>
            </w:pPr>
            <w:r>
              <w:rPr>
                <w:rFonts w:ascii="Arial" w:cs="Arial" w:eastAsia="Arial" w:hAnsi="Arial"/>
                <w:sz w:val="10"/>
                <w:szCs w:val="10"/>
                <w:color w:val="auto"/>
                <w:w w:val="93"/>
              </w:rPr>
              <w:t>70 bps</w:t>
            </w:r>
          </w:p>
        </w:tc>
        <w:tc>
          <w:tcPr>
            <w:tcW w:w="6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89"/>
              </w:rPr>
              <w:t>110 bps</w:t>
            </w: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103"/>
        </w:trPr>
        <w:tc>
          <w:tcPr>
            <w:tcW w:w="456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NPL ratio</w:t>
            </w:r>
          </w:p>
        </w:tc>
        <w:tc>
          <w:tcPr>
            <w:tcW w:w="900" w:type="dxa"/>
            <w:vAlign w:val="bottom"/>
          </w:tcPr>
          <w:p>
            <w:pPr>
              <w:jc w:val="center"/>
              <w:spacing w:after="0" w:line="103" w:lineRule="exact"/>
              <w:rPr>
                <w:sz w:val="20"/>
                <w:szCs w:val="20"/>
                <w:color w:val="auto"/>
              </w:rPr>
            </w:pPr>
            <w:r>
              <w:rPr>
                <w:rFonts w:ascii="Arial" w:cs="Arial" w:eastAsia="Arial" w:hAnsi="Arial"/>
                <w:sz w:val="10"/>
                <w:szCs w:val="10"/>
                <w:color w:val="auto"/>
                <w:w w:val="96"/>
              </w:rPr>
              <w:t>6.9%</w:t>
            </w:r>
          </w:p>
        </w:tc>
        <w:tc>
          <w:tcPr>
            <w:tcW w:w="1040" w:type="dxa"/>
            <w:vAlign w:val="bottom"/>
          </w:tcPr>
          <w:p>
            <w:pPr>
              <w:jc w:val="center"/>
              <w:ind w:right="93"/>
              <w:spacing w:after="0" w:line="103" w:lineRule="exact"/>
              <w:rPr>
                <w:sz w:val="20"/>
                <w:szCs w:val="20"/>
                <w:color w:val="auto"/>
              </w:rPr>
            </w:pPr>
            <w:r>
              <w:rPr>
                <w:rFonts w:ascii="Arial" w:cs="Arial" w:eastAsia="Arial" w:hAnsi="Arial"/>
                <w:sz w:val="10"/>
                <w:szCs w:val="10"/>
                <w:color w:val="auto"/>
                <w:w w:val="96"/>
              </w:rPr>
              <w:t>7.4%</w:t>
            </w:r>
          </w:p>
        </w:tc>
        <w:tc>
          <w:tcPr>
            <w:tcW w:w="880" w:type="dxa"/>
            <w:vAlign w:val="bottom"/>
            <w:tcBorders>
              <w:right w:val="single" w:sz="8" w:color="auto"/>
            </w:tcBorders>
          </w:tcPr>
          <w:p>
            <w:pPr>
              <w:jc w:val="center"/>
              <w:ind w:right="53"/>
              <w:spacing w:after="0" w:line="103" w:lineRule="exact"/>
              <w:rPr>
                <w:sz w:val="20"/>
                <w:szCs w:val="20"/>
                <w:color w:val="auto"/>
              </w:rPr>
            </w:pPr>
            <w:r>
              <w:rPr>
                <w:rFonts w:ascii="Arial" w:cs="Arial" w:eastAsia="Arial" w:hAnsi="Arial"/>
                <w:sz w:val="10"/>
                <w:szCs w:val="10"/>
                <w:color w:val="auto"/>
                <w:w w:val="96"/>
              </w:rPr>
              <w:t>8.1%</w:t>
            </w:r>
          </w:p>
        </w:tc>
        <w:tc>
          <w:tcPr>
            <w:tcW w:w="620" w:type="dxa"/>
            <w:vAlign w:val="bottom"/>
          </w:tcPr>
          <w:p>
            <w:pPr>
              <w:jc w:val="center"/>
              <w:spacing w:after="0" w:line="103" w:lineRule="exact"/>
              <w:rPr>
                <w:sz w:val="20"/>
                <w:szCs w:val="20"/>
                <w:color w:val="auto"/>
              </w:rPr>
            </w:pPr>
            <w:r>
              <w:rPr>
                <w:rFonts w:ascii="Arial" w:cs="Arial" w:eastAsia="Arial" w:hAnsi="Arial"/>
                <w:sz w:val="10"/>
                <w:szCs w:val="10"/>
                <w:color w:val="auto"/>
                <w:w w:val="93"/>
              </w:rPr>
              <w:t>69 bps</w:t>
            </w:r>
          </w:p>
        </w:tc>
        <w:tc>
          <w:tcPr>
            <w:tcW w:w="6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5"/>
              </w:rPr>
              <w:t>124 bps</w:t>
            </w: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103"/>
        </w:trPr>
        <w:tc>
          <w:tcPr>
            <w:tcW w:w="456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Coverage of IOLs</w:t>
            </w:r>
          </w:p>
        </w:tc>
        <w:tc>
          <w:tcPr>
            <w:tcW w:w="900" w:type="dxa"/>
            <w:vAlign w:val="bottom"/>
          </w:tcPr>
          <w:p>
            <w:pPr>
              <w:jc w:val="center"/>
              <w:spacing w:after="0" w:line="103" w:lineRule="exact"/>
              <w:rPr>
                <w:sz w:val="20"/>
                <w:szCs w:val="20"/>
                <w:color w:val="auto"/>
              </w:rPr>
            </w:pPr>
            <w:r>
              <w:rPr>
                <w:rFonts w:ascii="Arial" w:cs="Arial" w:eastAsia="Arial" w:hAnsi="Arial"/>
                <w:sz w:val="10"/>
                <w:szCs w:val="10"/>
                <w:color w:val="auto"/>
              </w:rPr>
              <w:t>122.8%</w:t>
            </w:r>
          </w:p>
        </w:tc>
        <w:tc>
          <w:tcPr>
            <w:tcW w:w="1040" w:type="dxa"/>
            <w:vAlign w:val="bottom"/>
          </w:tcPr>
          <w:p>
            <w:pPr>
              <w:jc w:val="center"/>
              <w:ind w:right="93"/>
              <w:spacing w:after="0" w:line="103" w:lineRule="exact"/>
              <w:rPr>
                <w:sz w:val="20"/>
                <w:szCs w:val="20"/>
                <w:color w:val="auto"/>
              </w:rPr>
            </w:pPr>
            <w:r>
              <w:rPr>
                <w:rFonts w:ascii="Arial" w:cs="Arial" w:eastAsia="Arial" w:hAnsi="Arial"/>
                <w:sz w:val="10"/>
                <w:szCs w:val="10"/>
                <w:color w:val="auto"/>
                <w:w w:val="88"/>
              </w:rPr>
              <w:t>111.2%</w:t>
            </w:r>
          </w:p>
        </w:tc>
        <w:tc>
          <w:tcPr>
            <w:tcW w:w="880" w:type="dxa"/>
            <w:vAlign w:val="bottom"/>
            <w:tcBorders>
              <w:right w:val="single" w:sz="8" w:color="auto"/>
            </w:tcBorders>
          </w:tcPr>
          <w:p>
            <w:pPr>
              <w:jc w:val="center"/>
              <w:ind w:right="73"/>
              <w:spacing w:after="0" w:line="103" w:lineRule="exact"/>
              <w:rPr>
                <w:sz w:val="20"/>
                <w:szCs w:val="20"/>
                <w:color w:val="auto"/>
              </w:rPr>
            </w:pPr>
            <w:r>
              <w:rPr>
                <w:rFonts w:ascii="Arial" w:cs="Arial" w:eastAsia="Arial" w:hAnsi="Arial"/>
                <w:sz w:val="10"/>
                <w:szCs w:val="10"/>
                <w:color w:val="auto"/>
                <w:w w:val="94"/>
              </w:rPr>
              <w:t>105.3%</w:t>
            </w:r>
          </w:p>
        </w:tc>
        <w:tc>
          <w:tcPr>
            <w:tcW w:w="620" w:type="dxa"/>
            <w:vAlign w:val="bottom"/>
          </w:tcPr>
          <w:p>
            <w:pPr>
              <w:jc w:val="center"/>
              <w:spacing w:after="0" w:line="103" w:lineRule="exact"/>
              <w:rPr>
                <w:sz w:val="20"/>
                <w:szCs w:val="20"/>
                <w:color w:val="auto"/>
              </w:rPr>
            </w:pPr>
            <w:r>
              <w:rPr>
                <w:rFonts w:ascii="Arial" w:cs="Arial" w:eastAsia="Arial" w:hAnsi="Arial"/>
                <w:sz w:val="10"/>
                <w:szCs w:val="10"/>
                <w:color w:val="auto"/>
                <w:w w:val="97"/>
              </w:rPr>
              <w:t>-585 bps</w:t>
            </w:r>
          </w:p>
        </w:tc>
        <w:tc>
          <w:tcPr>
            <w:tcW w:w="6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8"/>
              </w:rPr>
              <w:t>-1749 bps</w:t>
            </w: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103"/>
        </w:trPr>
        <w:tc>
          <w:tcPr>
            <w:tcW w:w="456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Coverage of NPLs</w:t>
            </w:r>
          </w:p>
        </w:tc>
        <w:tc>
          <w:tcPr>
            <w:tcW w:w="900" w:type="dxa"/>
            <w:vAlign w:val="bottom"/>
          </w:tcPr>
          <w:p>
            <w:pPr>
              <w:jc w:val="center"/>
              <w:spacing w:after="0" w:line="103" w:lineRule="exact"/>
              <w:rPr>
                <w:sz w:val="20"/>
                <w:szCs w:val="20"/>
                <w:color w:val="auto"/>
              </w:rPr>
            </w:pPr>
            <w:r>
              <w:rPr>
                <w:rFonts w:ascii="Arial" w:cs="Arial" w:eastAsia="Arial" w:hAnsi="Arial"/>
                <w:sz w:val="10"/>
                <w:szCs w:val="10"/>
                <w:color w:val="auto"/>
                <w:w w:val="88"/>
              </w:rPr>
              <w:t>111.5%</w:t>
            </w:r>
          </w:p>
        </w:tc>
        <w:tc>
          <w:tcPr>
            <w:tcW w:w="1040" w:type="dxa"/>
            <w:vAlign w:val="bottom"/>
          </w:tcPr>
          <w:p>
            <w:pPr>
              <w:jc w:val="center"/>
              <w:ind w:right="93"/>
              <w:spacing w:after="0" w:line="103" w:lineRule="exact"/>
              <w:rPr>
                <w:sz w:val="20"/>
                <w:szCs w:val="20"/>
                <w:color w:val="auto"/>
              </w:rPr>
            </w:pPr>
            <w:r>
              <w:rPr>
                <w:rFonts w:ascii="Arial" w:cs="Arial" w:eastAsia="Arial" w:hAnsi="Arial"/>
                <w:sz w:val="10"/>
                <w:szCs w:val="10"/>
                <w:color w:val="auto"/>
                <w:w w:val="91"/>
              </w:rPr>
              <w:t>99.5%</w:t>
            </w:r>
          </w:p>
        </w:tc>
        <w:tc>
          <w:tcPr>
            <w:tcW w:w="880" w:type="dxa"/>
            <w:vAlign w:val="bottom"/>
            <w:tcBorders>
              <w:right w:val="single" w:sz="8" w:color="auto"/>
            </w:tcBorders>
          </w:tcPr>
          <w:p>
            <w:pPr>
              <w:jc w:val="center"/>
              <w:ind w:right="73"/>
              <w:spacing w:after="0" w:line="103" w:lineRule="exact"/>
              <w:rPr>
                <w:sz w:val="20"/>
                <w:szCs w:val="20"/>
                <w:color w:val="auto"/>
              </w:rPr>
            </w:pPr>
            <w:r>
              <w:rPr>
                <w:rFonts w:ascii="Arial" w:cs="Arial" w:eastAsia="Arial" w:hAnsi="Arial"/>
                <w:sz w:val="10"/>
                <w:szCs w:val="10"/>
                <w:color w:val="auto"/>
                <w:w w:val="98"/>
              </w:rPr>
              <w:t>95.3%</w:t>
            </w:r>
          </w:p>
        </w:tc>
        <w:tc>
          <w:tcPr>
            <w:tcW w:w="620" w:type="dxa"/>
            <w:vAlign w:val="bottom"/>
          </w:tcPr>
          <w:p>
            <w:pPr>
              <w:jc w:val="center"/>
              <w:spacing w:after="0" w:line="103" w:lineRule="exact"/>
              <w:rPr>
                <w:sz w:val="20"/>
                <w:szCs w:val="20"/>
                <w:color w:val="auto"/>
              </w:rPr>
            </w:pPr>
            <w:r>
              <w:rPr>
                <w:rFonts w:ascii="Arial" w:cs="Arial" w:eastAsia="Arial" w:hAnsi="Arial"/>
                <w:sz w:val="10"/>
                <w:szCs w:val="10"/>
                <w:color w:val="auto"/>
                <w:w w:val="97"/>
              </w:rPr>
              <w:t>-416 bps</w:t>
            </w:r>
          </w:p>
        </w:tc>
        <w:tc>
          <w:tcPr>
            <w:tcW w:w="6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8"/>
              </w:rPr>
              <w:t>-1617 bps</w:t>
            </w: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103"/>
        </w:trPr>
        <w:tc>
          <w:tcPr>
            <w:tcW w:w="456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Branches (1)</w:t>
            </w:r>
          </w:p>
        </w:tc>
        <w:tc>
          <w:tcPr>
            <w:tcW w:w="900" w:type="dxa"/>
            <w:vAlign w:val="bottom"/>
          </w:tcPr>
          <w:p>
            <w:pPr>
              <w:jc w:val="center"/>
              <w:ind w:right="12"/>
              <w:spacing w:after="0" w:line="103" w:lineRule="exact"/>
              <w:rPr>
                <w:sz w:val="20"/>
                <w:szCs w:val="20"/>
                <w:color w:val="auto"/>
              </w:rPr>
            </w:pPr>
            <w:r>
              <w:rPr>
                <w:rFonts w:ascii="Arial" w:cs="Arial" w:eastAsia="Arial" w:hAnsi="Arial"/>
                <w:sz w:val="10"/>
                <w:szCs w:val="10"/>
                <w:color w:val="auto"/>
                <w:w w:val="95"/>
              </w:rPr>
              <w:t>292</w:t>
            </w:r>
          </w:p>
        </w:tc>
        <w:tc>
          <w:tcPr>
            <w:tcW w:w="1040" w:type="dxa"/>
            <w:vAlign w:val="bottom"/>
          </w:tcPr>
          <w:p>
            <w:pPr>
              <w:jc w:val="center"/>
              <w:ind w:right="73"/>
              <w:spacing w:after="0" w:line="103" w:lineRule="exact"/>
              <w:rPr>
                <w:sz w:val="20"/>
                <w:szCs w:val="20"/>
                <w:color w:val="auto"/>
              </w:rPr>
            </w:pPr>
            <w:r>
              <w:rPr>
                <w:rFonts w:ascii="Arial" w:cs="Arial" w:eastAsia="Arial" w:hAnsi="Arial"/>
                <w:sz w:val="10"/>
                <w:szCs w:val="10"/>
                <w:color w:val="auto"/>
                <w:w w:val="95"/>
              </w:rPr>
              <w:t>290</w:t>
            </w:r>
          </w:p>
        </w:tc>
        <w:tc>
          <w:tcPr>
            <w:tcW w:w="880" w:type="dxa"/>
            <w:vAlign w:val="bottom"/>
            <w:tcBorders>
              <w:right w:val="single" w:sz="8" w:color="auto"/>
            </w:tcBorders>
          </w:tcPr>
          <w:p>
            <w:pPr>
              <w:jc w:val="center"/>
              <w:ind w:right="73"/>
              <w:spacing w:after="0" w:line="103" w:lineRule="exact"/>
              <w:rPr>
                <w:sz w:val="20"/>
                <w:szCs w:val="20"/>
                <w:color w:val="auto"/>
              </w:rPr>
            </w:pPr>
            <w:r>
              <w:rPr>
                <w:rFonts w:ascii="Arial" w:cs="Arial" w:eastAsia="Arial" w:hAnsi="Arial"/>
                <w:sz w:val="10"/>
                <w:szCs w:val="10"/>
                <w:color w:val="auto"/>
                <w:w w:val="95"/>
              </w:rPr>
              <w:t>285</w:t>
            </w:r>
          </w:p>
        </w:tc>
        <w:tc>
          <w:tcPr>
            <w:tcW w:w="620" w:type="dxa"/>
            <w:vAlign w:val="bottom"/>
          </w:tcPr>
          <w:p>
            <w:pPr>
              <w:jc w:val="center"/>
              <w:spacing w:after="0" w:line="103" w:lineRule="exact"/>
              <w:rPr>
                <w:sz w:val="20"/>
                <w:szCs w:val="20"/>
                <w:color w:val="auto"/>
              </w:rPr>
            </w:pPr>
            <w:r>
              <w:rPr>
                <w:rFonts w:ascii="Arial" w:cs="Arial" w:eastAsia="Arial" w:hAnsi="Arial"/>
                <w:sz w:val="10"/>
                <w:szCs w:val="10"/>
                <w:color w:val="auto"/>
                <w:w w:val="97"/>
              </w:rPr>
              <w:t>(5)</w:t>
            </w:r>
          </w:p>
        </w:tc>
        <w:tc>
          <w:tcPr>
            <w:tcW w:w="6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7"/>
              </w:rPr>
              <w:t>(7)</w:t>
            </w: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Pr>
          <w:p>
            <w:pPr>
              <w:spacing w:after="0"/>
              <w:rPr>
                <w:sz w:val="8"/>
                <w:szCs w:val="8"/>
                <w:color w:val="auto"/>
              </w:rPr>
            </w:pPr>
          </w:p>
        </w:tc>
      </w:tr>
      <w:tr>
        <w:trPr>
          <w:trHeight w:val="115"/>
        </w:trPr>
        <w:tc>
          <w:tcPr>
            <w:tcW w:w="45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Employees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7"/>
              </w:rPr>
              <w:t>10,094</w:t>
            </w:r>
          </w:p>
        </w:tc>
        <w:tc>
          <w:tcPr>
            <w:tcW w:w="1040" w:type="dxa"/>
            <w:vAlign w:val="bottom"/>
            <w:tcBorders>
              <w:bottom w:val="single" w:sz="8" w:color="auto"/>
            </w:tcBorders>
          </w:tcPr>
          <w:p>
            <w:pPr>
              <w:jc w:val="center"/>
              <w:ind w:right="73"/>
              <w:spacing w:after="0"/>
              <w:rPr>
                <w:sz w:val="20"/>
                <w:szCs w:val="20"/>
                <w:color w:val="auto"/>
              </w:rPr>
            </w:pPr>
            <w:r>
              <w:rPr>
                <w:rFonts w:ascii="Arial" w:cs="Arial" w:eastAsia="Arial" w:hAnsi="Arial"/>
                <w:sz w:val="10"/>
                <w:szCs w:val="10"/>
                <w:color w:val="auto"/>
                <w:w w:val="95"/>
              </w:rPr>
              <w:t>9,485</w:t>
            </w:r>
          </w:p>
        </w:tc>
        <w:tc>
          <w:tcPr>
            <w:tcW w:w="880" w:type="dxa"/>
            <w:vAlign w:val="bottom"/>
            <w:tcBorders>
              <w:bottom w:val="single" w:sz="8" w:color="auto"/>
              <w:right w:val="single" w:sz="8" w:color="auto"/>
            </w:tcBorders>
          </w:tcPr>
          <w:p>
            <w:pPr>
              <w:jc w:val="center"/>
              <w:ind w:right="73"/>
              <w:spacing w:after="0"/>
              <w:rPr>
                <w:sz w:val="20"/>
                <w:szCs w:val="20"/>
                <w:color w:val="auto"/>
              </w:rPr>
            </w:pPr>
            <w:r>
              <w:rPr>
                <w:rFonts w:ascii="Arial" w:cs="Arial" w:eastAsia="Arial" w:hAnsi="Arial"/>
                <w:sz w:val="10"/>
                <w:szCs w:val="10"/>
                <w:color w:val="auto"/>
                <w:w w:val="91"/>
              </w:rPr>
              <w:t>10,107</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622</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rPr>
              <w:t>13</w:t>
            </w: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Pr>
          <w:p>
            <w:pPr>
              <w:spacing w:after="0"/>
              <w:rPr>
                <w:sz w:val="10"/>
                <w:szCs w:val="10"/>
                <w:color w:val="auto"/>
              </w:rPr>
            </w:pPr>
          </w:p>
        </w:tc>
      </w:tr>
    </w:tbl>
    <w:p>
      <w:pPr>
        <w:spacing w:after="0" w:line="1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(1) Includes Banco de la Nacion branches, which in June 23 were 36, in March 24 were 36 and in June 24 were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627380</wp:posOffset>
            </wp:positionV>
            <wp:extent cx="7164705" cy="133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-86995</wp:posOffset>
            </wp:positionH>
            <wp:positionV relativeFrom="paragraph">
              <wp:posOffset>98425</wp:posOffset>
            </wp:positionV>
            <wp:extent cx="1502410" cy="4438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222250</wp:posOffset>
            </wp:positionV>
            <wp:extent cx="1750695" cy="3200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750695" cy="320040"/>
                    </a:xfrm>
                    <a:prstGeom prst="rect">
                      <a:avLst/>
                    </a:prstGeom>
                    <a:noFill/>
                  </pic:spPr>
                </pic:pic>
              </a:graphicData>
            </a:graphic>
          </wp:anchor>
        </w:drawing>
      </w:r>
    </w:p>
    <w:p>
      <w:pPr>
        <w:sectPr>
          <w:pgSz w:w="11900" w:h="16838" w:orient="portrait"/>
          <w:cols w:equalWidth="0" w:num="1">
            <w:col w:w="10840"/>
          </w:cols>
          <w:pgMar w:left="440" w:top="300" w:right="619" w:bottom="1440" w:gutter="0" w:footer="0" w:header="0"/>
        </w:sectPr>
      </w:pPr>
    </w:p>
    <w:bookmarkStart w:id="67" w:name="page68"/>
    <w:bookmarkEnd w:id="67"/>
    <w:p>
      <w:pPr>
        <w:jc w:val="both"/>
        <w:ind w:left="2720"/>
        <w:spacing w:after="0"/>
        <w:tabs>
          <w:tab w:leader="none" w:pos="2920" w:val="left"/>
          <w:tab w:leader="none" w:pos="7920"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102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64705" cy="581025"/>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40" w:type="dxa"/>
            <w:vAlign w:val="bottom"/>
            <w:shd w:val="clear" w:color="auto" w:fill="E93BAB"/>
          </w:tcPr>
          <w:p>
            <w:pPr>
              <w:spacing w:after="0"/>
              <w:rPr>
                <w:sz w:val="24"/>
                <w:szCs w:val="24"/>
                <w:color w:val="auto"/>
              </w:rPr>
            </w:pPr>
          </w:p>
        </w:tc>
        <w:tc>
          <w:tcPr>
            <w:tcW w:w="2780" w:type="dxa"/>
            <w:vAlign w:val="bottom"/>
            <w:shd w:val="clear" w:color="auto" w:fill="E93BAB"/>
          </w:tcPr>
          <w:p>
            <w:pPr>
              <w:ind w:left="100"/>
              <w:spacing w:after="0"/>
              <w:rPr>
                <w:sz w:val="20"/>
                <w:szCs w:val="20"/>
                <w:color w:val="auto"/>
              </w:rPr>
            </w:pPr>
            <w:r>
              <w:rPr>
                <w:rFonts w:ascii="Arial" w:cs="Arial" w:eastAsia="Arial" w:hAnsi="Arial"/>
                <w:sz w:val="16"/>
                <w:szCs w:val="16"/>
                <w:b w:val="1"/>
                <w:bCs w:val="1"/>
                <w:color w:val="FFFFFF"/>
              </w:rPr>
              <w:t>12. Appendix</w:t>
            </w:r>
          </w:p>
        </w:tc>
        <w:tc>
          <w:tcPr>
            <w:tcW w:w="3640" w:type="dxa"/>
            <w:vAlign w:val="bottom"/>
            <w:shd w:val="clear" w:color="auto" w:fill="E93BAB"/>
          </w:tcPr>
          <w:p>
            <w:pPr>
              <w:spacing w:after="0"/>
              <w:rPr>
                <w:sz w:val="24"/>
                <w:szCs w:val="24"/>
                <w:color w:val="auto"/>
              </w:rPr>
            </w:pPr>
          </w:p>
        </w:tc>
        <w:tc>
          <w:tcPr>
            <w:tcW w:w="1020" w:type="dxa"/>
            <w:vAlign w:val="bottom"/>
            <w:shd w:val="clear" w:color="auto" w:fill="E93BAB"/>
          </w:tcPr>
          <w:p>
            <w:pPr>
              <w:spacing w:after="0"/>
              <w:rPr>
                <w:sz w:val="24"/>
                <w:szCs w:val="24"/>
                <w:color w:val="auto"/>
              </w:rPr>
            </w:pPr>
          </w:p>
        </w:tc>
        <w:tc>
          <w:tcPr>
            <w:tcW w:w="920" w:type="dxa"/>
            <w:vAlign w:val="bottom"/>
            <w:shd w:val="clear" w:color="auto" w:fill="E93BAB"/>
          </w:tcPr>
          <w:p>
            <w:pPr>
              <w:spacing w:after="0"/>
              <w:rPr>
                <w:sz w:val="24"/>
                <w:szCs w:val="24"/>
                <w:color w:val="auto"/>
              </w:rPr>
            </w:pPr>
          </w:p>
        </w:tc>
        <w:tc>
          <w:tcPr>
            <w:tcW w:w="640" w:type="dxa"/>
            <w:vAlign w:val="bottom"/>
            <w:shd w:val="clear" w:color="auto" w:fill="E93BAB"/>
          </w:tcPr>
          <w:p>
            <w:pPr>
              <w:spacing w:after="0"/>
              <w:rPr>
                <w:sz w:val="24"/>
                <w:szCs w:val="24"/>
                <w:color w:val="auto"/>
              </w:rPr>
            </w:pPr>
          </w:p>
        </w:tc>
        <w:tc>
          <w:tcPr>
            <w:tcW w:w="680" w:type="dxa"/>
            <w:vAlign w:val="bottom"/>
            <w:shd w:val="clear" w:color="auto" w:fill="E93BAB"/>
          </w:tcPr>
          <w:p>
            <w:pPr>
              <w:spacing w:after="0"/>
              <w:rPr>
                <w:sz w:val="24"/>
                <w:szCs w:val="24"/>
                <w:color w:val="auto"/>
              </w:rPr>
            </w:pPr>
          </w:p>
        </w:tc>
        <w:tc>
          <w:tcPr>
            <w:tcW w:w="20" w:type="dxa"/>
            <w:vAlign w:val="bottom"/>
            <w:shd w:val="clear" w:color="auto" w:fill="E93BAB"/>
          </w:tcPr>
          <w:p>
            <w:pPr>
              <w:spacing w:after="0"/>
              <w:rPr>
                <w:sz w:val="24"/>
                <w:szCs w:val="24"/>
                <w:color w:val="auto"/>
              </w:rPr>
            </w:pPr>
          </w:p>
        </w:tc>
        <w:tc>
          <w:tcPr>
            <w:tcW w:w="1440" w:type="dxa"/>
            <w:vAlign w:val="bottom"/>
            <w:shd w:val="clear" w:color="auto" w:fill="E93BAB"/>
          </w:tcPr>
          <w:p>
            <w:pPr>
              <w:spacing w:after="0"/>
              <w:rPr>
                <w:sz w:val="24"/>
                <w:szCs w:val="24"/>
                <w:color w:val="auto"/>
              </w:rPr>
            </w:pPr>
          </w:p>
        </w:tc>
      </w:tr>
      <w:tr>
        <w:trPr>
          <w:trHeight w:val="63"/>
        </w:trPr>
        <w:tc>
          <w:tcPr>
            <w:tcW w:w="140" w:type="dxa"/>
            <w:vAlign w:val="bottom"/>
            <w:shd w:val="clear" w:color="auto" w:fill="E93BAB"/>
          </w:tcPr>
          <w:p>
            <w:pPr>
              <w:spacing w:after="0"/>
              <w:rPr>
                <w:sz w:val="5"/>
                <w:szCs w:val="5"/>
                <w:color w:val="auto"/>
              </w:rPr>
            </w:pPr>
          </w:p>
        </w:tc>
        <w:tc>
          <w:tcPr>
            <w:tcW w:w="2780" w:type="dxa"/>
            <w:vAlign w:val="bottom"/>
            <w:shd w:val="clear" w:color="auto" w:fill="E93BAB"/>
          </w:tcPr>
          <w:p>
            <w:pPr>
              <w:spacing w:after="0"/>
              <w:rPr>
                <w:sz w:val="5"/>
                <w:szCs w:val="5"/>
                <w:color w:val="auto"/>
              </w:rPr>
            </w:pPr>
          </w:p>
        </w:tc>
        <w:tc>
          <w:tcPr>
            <w:tcW w:w="3640" w:type="dxa"/>
            <w:vAlign w:val="bottom"/>
            <w:shd w:val="clear" w:color="auto" w:fill="E93BAB"/>
          </w:tcPr>
          <w:p>
            <w:pPr>
              <w:spacing w:after="0"/>
              <w:rPr>
                <w:sz w:val="5"/>
                <w:szCs w:val="5"/>
                <w:color w:val="auto"/>
              </w:rPr>
            </w:pPr>
          </w:p>
        </w:tc>
        <w:tc>
          <w:tcPr>
            <w:tcW w:w="1020" w:type="dxa"/>
            <w:vAlign w:val="bottom"/>
            <w:shd w:val="clear" w:color="auto" w:fill="E93BAB"/>
          </w:tcPr>
          <w:p>
            <w:pPr>
              <w:spacing w:after="0"/>
              <w:rPr>
                <w:sz w:val="5"/>
                <w:szCs w:val="5"/>
                <w:color w:val="auto"/>
              </w:rPr>
            </w:pPr>
          </w:p>
        </w:tc>
        <w:tc>
          <w:tcPr>
            <w:tcW w:w="920" w:type="dxa"/>
            <w:vAlign w:val="bottom"/>
            <w:shd w:val="clear" w:color="auto" w:fill="E93BAB"/>
          </w:tcPr>
          <w:p>
            <w:pPr>
              <w:spacing w:after="0"/>
              <w:rPr>
                <w:sz w:val="5"/>
                <w:szCs w:val="5"/>
                <w:color w:val="auto"/>
              </w:rPr>
            </w:pPr>
          </w:p>
        </w:tc>
        <w:tc>
          <w:tcPr>
            <w:tcW w:w="640" w:type="dxa"/>
            <w:vAlign w:val="bottom"/>
            <w:shd w:val="clear" w:color="auto" w:fill="E93BAB"/>
          </w:tcPr>
          <w:p>
            <w:pPr>
              <w:spacing w:after="0"/>
              <w:rPr>
                <w:sz w:val="5"/>
                <w:szCs w:val="5"/>
                <w:color w:val="auto"/>
              </w:rPr>
            </w:pPr>
          </w:p>
        </w:tc>
        <w:tc>
          <w:tcPr>
            <w:tcW w:w="680" w:type="dxa"/>
            <w:vAlign w:val="bottom"/>
            <w:shd w:val="clear" w:color="auto" w:fill="E93BAB"/>
          </w:tcPr>
          <w:p>
            <w:pPr>
              <w:spacing w:after="0"/>
              <w:rPr>
                <w:sz w:val="5"/>
                <w:szCs w:val="5"/>
                <w:color w:val="auto"/>
              </w:rPr>
            </w:pPr>
          </w:p>
        </w:tc>
        <w:tc>
          <w:tcPr>
            <w:tcW w:w="20" w:type="dxa"/>
            <w:vAlign w:val="bottom"/>
            <w:shd w:val="clear" w:color="auto" w:fill="E93BAB"/>
          </w:tcPr>
          <w:p>
            <w:pPr>
              <w:spacing w:after="0"/>
              <w:rPr>
                <w:sz w:val="5"/>
                <w:szCs w:val="5"/>
                <w:color w:val="auto"/>
              </w:rPr>
            </w:pPr>
          </w:p>
        </w:tc>
        <w:tc>
          <w:tcPr>
            <w:tcW w:w="1440" w:type="dxa"/>
            <w:vAlign w:val="bottom"/>
            <w:shd w:val="clear" w:color="auto" w:fill="E93BAB"/>
          </w:tcPr>
          <w:p>
            <w:pPr>
              <w:spacing w:after="0"/>
              <w:rPr>
                <w:sz w:val="5"/>
                <w:szCs w:val="5"/>
                <w:color w:val="auto"/>
              </w:rPr>
            </w:pPr>
          </w:p>
        </w:tc>
      </w:tr>
      <w:tr>
        <w:trPr>
          <w:trHeight w:val="338"/>
        </w:trPr>
        <w:tc>
          <w:tcPr>
            <w:tcW w:w="140" w:type="dxa"/>
            <w:vAlign w:val="bottom"/>
          </w:tcPr>
          <w:p>
            <w:pPr>
              <w:spacing w:after="0"/>
              <w:rPr>
                <w:sz w:val="24"/>
                <w:szCs w:val="24"/>
                <w:color w:val="auto"/>
              </w:rPr>
            </w:pPr>
          </w:p>
        </w:tc>
        <w:tc>
          <w:tcPr>
            <w:tcW w:w="2780" w:type="dxa"/>
            <w:vAlign w:val="bottom"/>
          </w:tcPr>
          <w:p>
            <w:pPr>
              <w:spacing w:after="0"/>
              <w:rPr>
                <w:sz w:val="20"/>
                <w:szCs w:val="20"/>
                <w:color w:val="auto"/>
              </w:rPr>
            </w:pPr>
            <w:r>
              <w:rPr>
                <w:rFonts w:ascii="Arial" w:cs="Arial" w:eastAsia="Arial" w:hAnsi="Arial"/>
                <w:sz w:val="14"/>
                <w:szCs w:val="14"/>
                <w:b w:val="1"/>
                <w:bCs w:val="1"/>
                <w:color w:val="auto"/>
              </w:rPr>
              <w:t>12.6.7. Prima AFP</w:t>
            </w:r>
          </w:p>
        </w:tc>
        <w:tc>
          <w:tcPr>
            <w:tcW w:w="3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9"/>
        </w:trPr>
        <w:tc>
          <w:tcPr>
            <w:tcW w:w="1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660" w:type="dxa"/>
            <w:vAlign w:val="bottom"/>
            <w:gridSpan w:val="2"/>
          </w:tcPr>
          <w:p>
            <w:pPr>
              <w:jc w:val="right"/>
              <w:ind w:right="734"/>
              <w:spacing w:after="0"/>
              <w:rPr>
                <w:sz w:val="20"/>
                <w:szCs w:val="20"/>
                <w:color w:val="auto"/>
              </w:rPr>
            </w:pPr>
            <w:r>
              <w:rPr>
                <w:rFonts w:ascii="Arial" w:cs="Arial" w:eastAsia="Arial" w:hAnsi="Arial"/>
                <w:sz w:val="14"/>
                <w:szCs w:val="14"/>
                <w:b w:val="1"/>
                <w:bCs w:val="1"/>
                <w:color w:val="auto"/>
              </w:rPr>
              <w:t>Key Indicators of Financial Position</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0"/>
        </w:trPr>
        <w:tc>
          <w:tcPr>
            <w:tcW w:w="1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640" w:type="dxa"/>
            <w:vAlign w:val="bottom"/>
          </w:tcPr>
          <w:p>
            <w:pPr>
              <w:jc w:val="right"/>
              <w:ind w:right="247"/>
              <w:spacing w:after="0"/>
              <w:rPr>
                <w:sz w:val="20"/>
                <w:szCs w:val="20"/>
                <w:color w:val="auto"/>
              </w:rPr>
            </w:pPr>
            <w:r>
              <w:rPr>
                <w:rFonts w:ascii="Arial" w:cs="Arial" w:eastAsia="Arial" w:hAnsi="Arial"/>
                <w:sz w:val="12"/>
                <w:szCs w:val="12"/>
                <w:b w:val="1"/>
                <w:bCs w:val="1"/>
                <w:color w:val="auto"/>
              </w:rPr>
              <w:t>(S/ Thousands, IFRS)</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49"/>
        </w:trPr>
        <w:tc>
          <w:tcPr>
            <w:tcW w:w="140" w:type="dxa"/>
            <w:vAlign w:val="bottom"/>
          </w:tcPr>
          <w:p>
            <w:pPr>
              <w:spacing w:after="0"/>
              <w:rPr>
                <w:sz w:val="12"/>
                <w:szCs w:val="12"/>
                <w:color w:val="auto"/>
              </w:rPr>
            </w:pPr>
          </w:p>
        </w:tc>
        <w:tc>
          <w:tcPr>
            <w:tcW w:w="2780" w:type="dxa"/>
            <w:vAlign w:val="bottom"/>
            <w:tcBorders>
              <w:bottom w:val="single" w:sz="8" w:color="auto"/>
            </w:tcBorders>
          </w:tcPr>
          <w:p>
            <w:pPr>
              <w:spacing w:after="0"/>
              <w:rPr>
                <w:sz w:val="12"/>
                <w:szCs w:val="12"/>
                <w:color w:val="auto"/>
              </w:rPr>
            </w:pPr>
          </w:p>
        </w:tc>
        <w:tc>
          <w:tcPr>
            <w:tcW w:w="36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40" w:type="dxa"/>
            <w:vAlign w:val="bottom"/>
          </w:tcPr>
          <w:p>
            <w:pPr>
              <w:spacing w:after="0"/>
              <w:rPr>
                <w:sz w:val="12"/>
                <w:szCs w:val="12"/>
                <w:color w:val="auto"/>
              </w:rPr>
            </w:pPr>
          </w:p>
        </w:tc>
      </w:tr>
      <w:tr>
        <w:trPr>
          <w:trHeight w:val="79"/>
        </w:trPr>
        <w:tc>
          <w:tcPr>
            <w:tcW w:w="140" w:type="dxa"/>
            <w:vAlign w:val="bottom"/>
          </w:tcPr>
          <w:p>
            <w:pPr>
              <w:spacing w:after="0"/>
              <w:rPr>
                <w:sz w:val="6"/>
                <w:szCs w:val="6"/>
                <w:color w:val="auto"/>
              </w:rPr>
            </w:pPr>
          </w:p>
        </w:tc>
        <w:tc>
          <w:tcPr>
            <w:tcW w:w="2780" w:type="dxa"/>
            <w:vAlign w:val="bottom"/>
            <w:shd w:val="clear" w:color="auto" w:fill="2AD2C9"/>
          </w:tcPr>
          <w:p>
            <w:pPr>
              <w:spacing w:after="0"/>
              <w:rPr>
                <w:sz w:val="6"/>
                <w:szCs w:val="6"/>
                <w:color w:val="auto"/>
              </w:rPr>
            </w:pPr>
          </w:p>
        </w:tc>
        <w:tc>
          <w:tcPr>
            <w:tcW w:w="3640" w:type="dxa"/>
            <w:vAlign w:val="bottom"/>
            <w:shd w:val="clear" w:color="auto" w:fill="2AD2C9"/>
          </w:tcPr>
          <w:p>
            <w:pPr>
              <w:spacing w:after="0"/>
              <w:rPr>
                <w:sz w:val="6"/>
                <w:szCs w:val="6"/>
                <w:color w:val="auto"/>
              </w:rPr>
            </w:pPr>
          </w:p>
        </w:tc>
        <w:tc>
          <w:tcPr>
            <w:tcW w:w="1020" w:type="dxa"/>
            <w:vAlign w:val="bottom"/>
            <w:shd w:val="clear" w:color="auto" w:fill="2AD2C9"/>
          </w:tcPr>
          <w:p>
            <w:pPr>
              <w:jc w:val="right"/>
              <w:ind w:right="454"/>
              <w:spacing w:after="0" w:line="79" w:lineRule="exact"/>
              <w:rPr>
                <w:sz w:val="20"/>
                <w:szCs w:val="20"/>
                <w:color w:val="auto"/>
              </w:rPr>
            </w:pPr>
            <w:r>
              <w:rPr>
                <w:rFonts w:ascii="Arial" w:cs="Arial" w:eastAsia="Arial" w:hAnsi="Arial"/>
                <w:sz w:val="8"/>
                <w:szCs w:val="8"/>
                <w:b w:val="1"/>
                <w:bCs w:val="1"/>
                <w:color w:val="FFFFFF"/>
              </w:rPr>
              <w:t>Quarter</w:t>
            </w:r>
          </w:p>
        </w:tc>
        <w:tc>
          <w:tcPr>
            <w:tcW w:w="920" w:type="dxa"/>
            <w:vAlign w:val="bottom"/>
            <w:shd w:val="clear" w:color="auto" w:fill="2AD2C9"/>
          </w:tcPr>
          <w:p>
            <w:pPr>
              <w:spacing w:after="0"/>
              <w:rPr>
                <w:sz w:val="6"/>
                <w:szCs w:val="6"/>
                <w:color w:val="auto"/>
              </w:rPr>
            </w:pPr>
          </w:p>
        </w:tc>
        <w:tc>
          <w:tcPr>
            <w:tcW w:w="1320" w:type="dxa"/>
            <w:vAlign w:val="bottom"/>
            <w:gridSpan w:val="2"/>
            <w:shd w:val="clear" w:color="auto" w:fill="2AD2C9"/>
          </w:tcPr>
          <w:p>
            <w:pPr>
              <w:ind w:left="420"/>
              <w:spacing w:after="0" w:line="79" w:lineRule="exact"/>
              <w:rPr>
                <w:sz w:val="20"/>
                <w:szCs w:val="20"/>
                <w:color w:val="auto"/>
              </w:rPr>
            </w:pPr>
            <w:r>
              <w:rPr>
                <w:rFonts w:ascii="Arial" w:cs="Arial" w:eastAsia="Arial" w:hAnsi="Arial"/>
                <w:sz w:val="8"/>
                <w:szCs w:val="8"/>
                <w:b w:val="1"/>
                <w:bCs w:val="1"/>
                <w:color w:val="FFFFFF"/>
              </w:rPr>
              <w:t>% change</w:t>
            </w:r>
          </w:p>
        </w:tc>
        <w:tc>
          <w:tcPr>
            <w:tcW w:w="20" w:type="dxa"/>
            <w:vAlign w:val="bottom"/>
          </w:tcPr>
          <w:p>
            <w:pPr>
              <w:spacing w:after="0"/>
              <w:rPr>
                <w:sz w:val="6"/>
                <w:szCs w:val="6"/>
                <w:color w:val="auto"/>
              </w:rPr>
            </w:pPr>
          </w:p>
        </w:tc>
        <w:tc>
          <w:tcPr>
            <w:tcW w:w="1440" w:type="dxa"/>
            <w:vAlign w:val="bottom"/>
          </w:tcPr>
          <w:p>
            <w:pPr>
              <w:spacing w:after="0"/>
              <w:rPr>
                <w:sz w:val="6"/>
                <w:szCs w:val="6"/>
                <w:color w:val="auto"/>
              </w:rPr>
            </w:pPr>
          </w:p>
        </w:tc>
      </w:tr>
      <w:tr>
        <w:trPr>
          <w:trHeight w:val="117"/>
        </w:trPr>
        <w:tc>
          <w:tcPr>
            <w:tcW w:w="140" w:type="dxa"/>
            <w:vAlign w:val="bottom"/>
          </w:tcPr>
          <w:p>
            <w:pPr>
              <w:spacing w:after="0"/>
              <w:rPr>
                <w:sz w:val="10"/>
                <w:szCs w:val="10"/>
                <w:color w:val="auto"/>
              </w:rPr>
            </w:pPr>
          </w:p>
        </w:tc>
        <w:tc>
          <w:tcPr>
            <w:tcW w:w="2780" w:type="dxa"/>
            <w:vAlign w:val="bottom"/>
            <w:tcBorders>
              <w:bottom w:val="single" w:sz="8" w:color="auto"/>
            </w:tcBorders>
            <w:shd w:val="clear" w:color="auto" w:fill="2AD2C9"/>
          </w:tcPr>
          <w:p>
            <w:pPr>
              <w:spacing w:after="0"/>
              <w:rPr>
                <w:sz w:val="10"/>
                <w:szCs w:val="10"/>
                <w:color w:val="auto"/>
              </w:rPr>
            </w:pPr>
          </w:p>
        </w:tc>
        <w:tc>
          <w:tcPr>
            <w:tcW w:w="3640" w:type="dxa"/>
            <w:vAlign w:val="bottom"/>
            <w:tcBorders>
              <w:bottom w:val="single" w:sz="8" w:color="auto"/>
            </w:tcBorders>
            <w:shd w:val="clear" w:color="auto" w:fill="2AD2C9"/>
          </w:tcPr>
          <w:p>
            <w:pPr>
              <w:jc w:val="right"/>
              <w:ind w:right="447"/>
              <w:spacing w:after="0"/>
              <w:rPr>
                <w:sz w:val="20"/>
                <w:szCs w:val="20"/>
                <w:color w:val="auto"/>
              </w:rPr>
            </w:pPr>
            <w:r>
              <w:rPr>
                <w:rFonts w:ascii="Arial" w:cs="Arial" w:eastAsia="Arial" w:hAnsi="Arial"/>
                <w:sz w:val="10"/>
                <w:szCs w:val="10"/>
                <w:b w:val="1"/>
                <w:bCs w:val="1"/>
                <w:color w:val="FFFFFF"/>
              </w:rPr>
              <w:t>Jun 23</w:t>
            </w:r>
          </w:p>
        </w:tc>
        <w:tc>
          <w:tcPr>
            <w:tcW w:w="1020" w:type="dxa"/>
            <w:vAlign w:val="bottom"/>
            <w:tcBorders>
              <w:bottom w:val="single" w:sz="8" w:color="auto"/>
            </w:tcBorders>
            <w:shd w:val="clear" w:color="auto" w:fill="2AD2C9"/>
          </w:tcPr>
          <w:p>
            <w:pPr>
              <w:jc w:val="right"/>
              <w:ind w:right="474"/>
              <w:spacing w:after="0"/>
              <w:rPr>
                <w:sz w:val="20"/>
                <w:szCs w:val="20"/>
                <w:color w:val="auto"/>
              </w:rPr>
            </w:pPr>
            <w:r>
              <w:rPr>
                <w:rFonts w:ascii="Arial" w:cs="Arial" w:eastAsia="Arial" w:hAnsi="Arial"/>
                <w:sz w:val="10"/>
                <w:szCs w:val="10"/>
                <w:b w:val="1"/>
                <w:bCs w:val="1"/>
                <w:color w:val="FFFFFF"/>
              </w:rPr>
              <w:t>Mar 24</w:t>
            </w:r>
          </w:p>
        </w:tc>
        <w:tc>
          <w:tcPr>
            <w:tcW w:w="920" w:type="dxa"/>
            <w:vAlign w:val="bottom"/>
            <w:tcBorders>
              <w:bottom w:val="single" w:sz="8" w:color="auto"/>
            </w:tcBorders>
            <w:shd w:val="clear" w:color="auto" w:fill="2AD2C9"/>
          </w:tcPr>
          <w:p>
            <w:pPr>
              <w:jc w:val="right"/>
              <w:ind w:right="394"/>
              <w:spacing w:after="0"/>
              <w:rPr>
                <w:sz w:val="20"/>
                <w:szCs w:val="20"/>
                <w:color w:val="auto"/>
              </w:rPr>
            </w:pPr>
            <w:r>
              <w:rPr>
                <w:rFonts w:ascii="Arial" w:cs="Arial" w:eastAsia="Arial" w:hAnsi="Arial"/>
                <w:sz w:val="10"/>
                <w:szCs w:val="10"/>
                <w:b w:val="1"/>
                <w:bCs w:val="1"/>
                <w:color w:val="FFFFFF"/>
              </w:rPr>
              <w:t>Jun 24</w:t>
            </w:r>
          </w:p>
        </w:tc>
        <w:tc>
          <w:tcPr>
            <w:tcW w:w="640" w:type="dxa"/>
            <w:vAlign w:val="bottom"/>
            <w:tcBorders>
              <w:bottom w:val="single" w:sz="8" w:color="auto"/>
            </w:tcBorders>
            <w:shd w:val="clear" w:color="auto" w:fill="2AD2C9"/>
          </w:tcPr>
          <w:p>
            <w:pPr>
              <w:ind w:left="180"/>
              <w:spacing w:after="0"/>
              <w:rPr>
                <w:sz w:val="20"/>
                <w:szCs w:val="20"/>
                <w:color w:val="auto"/>
              </w:rPr>
            </w:pPr>
            <w:r>
              <w:rPr>
                <w:rFonts w:ascii="Arial" w:cs="Arial" w:eastAsia="Arial" w:hAnsi="Arial"/>
                <w:sz w:val="10"/>
                <w:szCs w:val="10"/>
                <w:b w:val="1"/>
                <w:bCs w:val="1"/>
                <w:color w:val="FFFFFF"/>
              </w:rPr>
              <w:t>QoQ</w:t>
            </w:r>
          </w:p>
        </w:tc>
        <w:tc>
          <w:tcPr>
            <w:tcW w:w="680" w:type="dxa"/>
            <w:vAlign w:val="bottom"/>
            <w:tcBorders>
              <w:bottom w:val="single" w:sz="8" w:color="auto"/>
            </w:tcBorders>
            <w:shd w:val="clear" w:color="auto" w:fill="2AD2C9"/>
          </w:tcPr>
          <w:p>
            <w:pPr>
              <w:ind w:left="240"/>
              <w:spacing w:after="0"/>
              <w:rPr>
                <w:sz w:val="20"/>
                <w:szCs w:val="20"/>
                <w:color w:val="auto"/>
              </w:rPr>
            </w:pPr>
            <w:r>
              <w:rPr>
                <w:rFonts w:ascii="Arial" w:cs="Arial" w:eastAsia="Arial" w:hAnsi="Arial"/>
                <w:sz w:val="10"/>
                <w:szCs w:val="10"/>
                <w:b w:val="1"/>
                <w:bCs w:val="1"/>
                <w:color w:val="FFFFFF"/>
              </w:rPr>
              <w:t>YoY</w:t>
            </w:r>
          </w:p>
        </w:tc>
        <w:tc>
          <w:tcPr>
            <w:tcW w:w="20" w:type="dxa"/>
            <w:vAlign w:val="bottom"/>
            <w:tcBorders>
              <w:bottom w:val="single" w:sz="8" w:color="auto"/>
            </w:tcBorders>
          </w:tcPr>
          <w:p>
            <w:pPr>
              <w:spacing w:after="0"/>
              <w:rPr>
                <w:sz w:val="10"/>
                <w:szCs w:val="10"/>
                <w:color w:val="auto"/>
              </w:rPr>
            </w:pPr>
          </w:p>
        </w:tc>
        <w:tc>
          <w:tcPr>
            <w:tcW w:w="1440" w:type="dxa"/>
            <w:vAlign w:val="bottom"/>
          </w:tcPr>
          <w:p>
            <w:pPr>
              <w:spacing w:after="0"/>
              <w:rPr>
                <w:sz w:val="10"/>
                <w:szCs w:val="10"/>
                <w:color w:val="auto"/>
              </w:rPr>
            </w:pPr>
          </w:p>
        </w:tc>
      </w:tr>
      <w:tr>
        <w:trPr>
          <w:trHeight w:val="81"/>
        </w:trPr>
        <w:tc>
          <w:tcPr>
            <w:tcW w:w="140" w:type="dxa"/>
            <w:vAlign w:val="bottom"/>
          </w:tcPr>
          <w:p>
            <w:pPr>
              <w:spacing w:after="0"/>
              <w:rPr>
                <w:sz w:val="7"/>
                <w:szCs w:val="7"/>
                <w:color w:val="auto"/>
              </w:rPr>
            </w:pPr>
          </w:p>
        </w:tc>
        <w:tc>
          <w:tcPr>
            <w:tcW w:w="2780" w:type="dxa"/>
            <w:vAlign w:val="bottom"/>
          </w:tcPr>
          <w:p>
            <w:pPr>
              <w:ind w:left="40"/>
              <w:spacing w:after="0" w:line="81" w:lineRule="exact"/>
              <w:rPr>
                <w:sz w:val="20"/>
                <w:szCs w:val="20"/>
                <w:color w:val="auto"/>
              </w:rPr>
            </w:pPr>
            <w:r>
              <w:rPr>
                <w:rFonts w:ascii="Arial" w:cs="Arial" w:eastAsia="Arial" w:hAnsi="Arial"/>
                <w:sz w:val="8"/>
                <w:szCs w:val="8"/>
                <w:color w:val="auto"/>
              </w:rPr>
              <w:t>Total assets</w:t>
            </w:r>
          </w:p>
        </w:tc>
        <w:tc>
          <w:tcPr>
            <w:tcW w:w="3640" w:type="dxa"/>
            <w:vAlign w:val="bottom"/>
          </w:tcPr>
          <w:p>
            <w:pPr>
              <w:jc w:val="right"/>
              <w:ind w:right="127"/>
              <w:spacing w:after="0" w:line="81" w:lineRule="exact"/>
              <w:rPr>
                <w:sz w:val="20"/>
                <w:szCs w:val="20"/>
                <w:color w:val="auto"/>
              </w:rPr>
            </w:pPr>
            <w:r>
              <w:rPr>
                <w:rFonts w:ascii="Arial" w:cs="Arial" w:eastAsia="Arial" w:hAnsi="Arial"/>
                <w:sz w:val="8"/>
                <w:szCs w:val="8"/>
                <w:color w:val="auto"/>
              </w:rPr>
              <w:t>633,654</w:t>
            </w:r>
          </w:p>
        </w:tc>
        <w:tc>
          <w:tcPr>
            <w:tcW w:w="1020" w:type="dxa"/>
            <w:vAlign w:val="bottom"/>
          </w:tcPr>
          <w:p>
            <w:pPr>
              <w:jc w:val="right"/>
              <w:ind w:right="154"/>
              <w:spacing w:after="0" w:line="81" w:lineRule="exact"/>
              <w:rPr>
                <w:sz w:val="20"/>
                <w:szCs w:val="20"/>
                <w:color w:val="auto"/>
              </w:rPr>
            </w:pPr>
            <w:r>
              <w:rPr>
                <w:rFonts w:ascii="Arial" w:cs="Arial" w:eastAsia="Arial" w:hAnsi="Arial"/>
                <w:sz w:val="8"/>
                <w:szCs w:val="8"/>
                <w:color w:val="auto"/>
              </w:rPr>
              <w:t>782,372</w:t>
            </w:r>
          </w:p>
        </w:tc>
        <w:tc>
          <w:tcPr>
            <w:tcW w:w="920" w:type="dxa"/>
            <w:vAlign w:val="bottom"/>
          </w:tcPr>
          <w:p>
            <w:pPr>
              <w:jc w:val="right"/>
              <w:ind w:right="54"/>
              <w:spacing w:after="0" w:line="81" w:lineRule="exact"/>
              <w:rPr>
                <w:sz w:val="20"/>
                <w:szCs w:val="20"/>
                <w:color w:val="auto"/>
              </w:rPr>
            </w:pPr>
            <w:r>
              <w:rPr>
                <w:rFonts w:ascii="Arial" w:cs="Arial" w:eastAsia="Arial" w:hAnsi="Arial"/>
                <w:sz w:val="8"/>
                <w:szCs w:val="8"/>
                <w:color w:val="auto"/>
              </w:rPr>
              <w:t>690,377</w:t>
            </w:r>
          </w:p>
        </w:tc>
        <w:tc>
          <w:tcPr>
            <w:tcW w:w="640" w:type="dxa"/>
            <w:vAlign w:val="bottom"/>
          </w:tcPr>
          <w:p>
            <w:pPr>
              <w:jc w:val="center"/>
              <w:ind w:right="54"/>
              <w:spacing w:after="0" w:line="81" w:lineRule="exact"/>
              <w:rPr>
                <w:sz w:val="20"/>
                <w:szCs w:val="20"/>
                <w:color w:val="auto"/>
              </w:rPr>
            </w:pPr>
            <w:r>
              <w:rPr>
                <w:rFonts w:ascii="Arial" w:cs="Arial" w:eastAsia="Arial" w:hAnsi="Arial"/>
                <w:sz w:val="8"/>
                <w:szCs w:val="8"/>
                <w:color w:val="auto"/>
              </w:rPr>
              <w:t>-11.8%</w:t>
            </w:r>
          </w:p>
        </w:tc>
        <w:tc>
          <w:tcPr>
            <w:tcW w:w="680" w:type="dxa"/>
            <w:vAlign w:val="bottom"/>
          </w:tcPr>
          <w:p>
            <w:pPr>
              <w:jc w:val="center"/>
              <w:spacing w:after="0" w:line="81" w:lineRule="exact"/>
              <w:rPr>
                <w:sz w:val="20"/>
                <w:szCs w:val="20"/>
                <w:color w:val="auto"/>
              </w:rPr>
            </w:pPr>
            <w:r>
              <w:rPr>
                <w:rFonts w:ascii="Arial" w:cs="Arial" w:eastAsia="Arial" w:hAnsi="Arial"/>
                <w:sz w:val="8"/>
                <w:szCs w:val="8"/>
                <w:color w:val="auto"/>
              </w:rPr>
              <w:t>9.0%</w:t>
            </w:r>
          </w:p>
        </w:tc>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r>
      <w:tr>
        <w:trPr>
          <w:trHeight w:val="103"/>
        </w:trPr>
        <w:tc>
          <w:tcPr>
            <w:tcW w:w="140" w:type="dxa"/>
            <w:vAlign w:val="bottom"/>
          </w:tcPr>
          <w:p>
            <w:pPr>
              <w:spacing w:after="0"/>
              <w:rPr>
                <w:sz w:val="8"/>
                <w:szCs w:val="8"/>
                <w:color w:val="auto"/>
              </w:rPr>
            </w:pPr>
          </w:p>
        </w:tc>
        <w:tc>
          <w:tcPr>
            <w:tcW w:w="2780" w:type="dxa"/>
            <w:vAlign w:val="bottom"/>
          </w:tcPr>
          <w:p>
            <w:pPr>
              <w:ind w:left="40"/>
              <w:spacing w:after="0" w:line="103" w:lineRule="exact"/>
              <w:rPr>
                <w:sz w:val="20"/>
                <w:szCs w:val="20"/>
                <w:color w:val="auto"/>
              </w:rPr>
            </w:pPr>
            <w:r>
              <w:rPr>
                <w:rFonts w:ascii="Arial" w:cs="Arial" w:eastAsia="Arial" w:hAnsi="Arial"/>
                <w:sz w:val="10"/>
                <w:szCs w:val="10"/>
                <w:color w:val="auto"/>
              </w:rPr>
              <w:t>Total liabilities</w:t>
            </w:r>
          </w:p>
        </w:tc>
        <w:tc>
          <w:tcPr>
            <w:tcW w:w="3640" w:type="dxa"/>
            <w:vAlign w:val="bottom"/>
          </w:tcPr>
          <w:p>
            <w:pPr>
              <w:jc w:val="right"/>
              <w:ind w:right="127"/>
              <w:spacing w:after="0" w:line="103" w:lineRule="exact"/>
              <w:rPr>
                <w:sz w:val="20"/>
                <w:szCs w:val="20"/>
                <w:color w:val="auto"/>
              </w:rPr>
            </w:pPr>
            <w:r>
              <w:rPr>
                <w:rFonts w:ascii="Arial" w:cs="Arial" w:eastAsia="Arial" w:hAnsi="Arial"/>
                <w:sz w:val="10"/>
                <w:szCs w:val="10"/>
                <w:color w:val="auto"/>
              </w:rPr>
              <w:t>205,962</w:t>
            </w:r>
          </w:p>
        </w:tc>
        <w:tc>
          <w:tcPr>
            <w:tcW w:w="1020" w:type="dxa"/>
            <w:vAlign w:val="bottom"/>
          </w:tcPr>
          <w:p>
            <w:pPr>
              <w:jc w:val="right"/>
              <w:ind w:right="154"/>
              <w:spacing w:after="0" w:line="103" w:lineRule="exact"/>
              <w:rPr>
                <w:sz w:val="20"/>
                <w:szCs w:val="20"/>
                <w:color w:val="auto"/>
              </w:rPr>
            </w:pPr>
            <w:r>
              <w:rPr>
                <w:rFonts w:ascii="Arial" w:cs="Arial" w:eastAsia="Arial" w:hAnsi="Arial"/>
                <w:sz w:val="10"/>
                <w:szCs w:val="10"/>
                <w:color w:val="auto"/>
              </w:rPr>
              <w:t>339,806</w:t>
            </w:r>
          </w:p>
        </w:tc>
        <w:tc>
          <w:tcPr>
            <w:tcW w:w="920" w:type="dxa"/>
            <w:vAlign w:val="bottom"/>
          </w:tcPr>
          <w:p>
            <w:pPr>
              <w:jc w:val="right"/>
              <w:ind w:right="54"/>
              <w:spacing w:after="0" w:line="103" w:lineRule="exact"/>
              <w:rPr>
                <w:sz w:val="20"/>
                <w:szCs w:val="20"/>
                <w:color w:val="auto"/>
              </w:rPr>
            </w:pPr>
            <w:r>
              <w:rPr>
                <w:rFonts w:ascii="Arial" w:cs="Arial" w:eastAsia="Arial" w:hAnsi="Arial"/>
                <w:sz w:val="10"/>
                <w:szCs w:val="10"/>
                <w:color w:val="auto"/>
              </w:rPr>
              <w:t>210,872</w:t>
            </w:r>
          </w:p>
        </w:tc>
        <w:tc>
          <w:tcPr>
            <w:tcW w:w="640" w:type="dxa"/>
            <w:vAlign w:val="bottom"/>
          </w:tcPr>
          <w:p>
            <w:pPr>
              <w:jc w:val="center"/>
              <w:ind w:right="54"/>
              <w:spacing w:after="0" w:line="103" w:lineRule="exact"/>
              <w:rPr>
                <w:sz w:val="20"/>
                <w:szCs w:val="20"/>
                <w:color w:val="auto"/>
              </w:rPr>
            </w:pPr>
            <w:r>
              <w:rPr>
                <w:rFonts w:ascii="Arial" w:cs="Arial" w:eastAsia="Arial" w:hAnsi="Arial"/>
                <w:sz w:val="10"/>
                <w:szCs w:val="10"/>
                <w:color w:val="auto"/>
                <w:w w:val="94"/>
              </w:rPr>
              <w:t>-37.9%</w:t>
            </w:r>
          </w:p>
        </w:tc>
        <w:tc>
          <w:tcPr>
            <w:tcW w:w="680" w:type="dxa"/>
            <w:vAlign w:val="bottom"/>
          </w:tcPr>
          <w:p>
            <w:pPr>
              <w:jc w:val="center"/>
              <w:spacing w:after="0" w:line="103" w:lineRule="exact"/>
              <w:rPr>
                <w:sz w:val="20"/>
                <w:szCs w:val="20"/>
                <w:color w:val="auto"/>
              </w:rPr>
            </w:pPr>
            <w:r>
              <w:rPr>
                <w:rFonts w:ascii="Arial" w:cs="Arial" w:eastAsia="Arial" w:hAnsi="Arial"/>
                <w:sz w:val="10"/>
                <w:szCs w:val="10"/>
                <w:color w:val="auto"/>
                <w:w w:val="96"/>
              </w:rPr>
              <w:t>2.4%</w:t>
            </w:r>
          </w:p>
        </w:tc>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121"/>
        </w:trPr>
        <w:tc>
          <w:tcPr>
            <w:tcW w:w="140" w:type="dxa"/>
            <w:vAlign w:val="bottom"/>
          </w:tcPr>
          <w:p>
            <w:pPr>
              <w:spacing w:after="0"/>
              <w:rPr>
                <w:sz w:val="10"/>
                <w:szCs w:val="10"/>
                <w:color w:val="auto"/>
              </w:rPr>
            </w:pPr>
          </w:p>
        </w:tc>
        <w:tc>
          <w:tcPr>
            <w:tcW w:w="2780" w:type="dxa"/>
            <w:vAlign w:val="bottom"/>
          </w:tcPr>
          <w:p>
            <w:pPr>
              <w:ind w:left="40"/>
              <w:spacing w:after="0"/>
              <w:rPr>
                <w:sz w:val="20"/>
                <w:szCs w:val="20"/>
                <w:color w:val="auto"/>
              </w:rPr>
            </w:pPr>
            <w:r>
              <w:rPr>
                <w:rFonts w:ascii="Arial" w:cs="Arial" w:eastAsia="Arial" w:hAnsi="Arial"/>
                <w:sz w:val="10"/>
                <w:szCs w:val="10"/>
                <w:color w:val="auto"/>
              </w:rPr>
              <w:t>Net shareholders’ equity (1)</w:t>
            </w:r>
          </w:p>
        </w:tc>
        <w:tc>
          <w:tcPr>
            <w:tcW w:w="3640" w:type="dxa"/>
            <w:vAlign w:val="bottom"/>
          </w:tcPr>
          <w:p>
            <w:pPr>
              <w:jc w:val="right"/>
              <w:ind w:right="127"/>
              <w:spacing w:after="0"/>
              <w:rPr>
                <w:sz w:val="20"/>
                <w:szCs w:val="20"/>
                <w:color w:val="auto"/>
              </w:rPr>
            </w:pPr>
            <w:r>
              <w:rPr>
                <w:rFonts w:ascii="Arial" w:cs="Arial" w:eastAsia="Arial" w:hAnsi="Arial"/>
                <w:sz w:val="10"/>
                <w:szCs w:val="10"/>
                <w:color w:val="auto"/>
              </w:rPr>
              <w:t>427,692</w:t>
            </w:r>
          </w:p>
        </w:tc>
        <w:tc>
          <w:tcPr>
            <w:tcW w:w="1020" w:type="dxa"/>
            <w:vAlign w:val="bottom"/>
          </w:tcPr>
          <w:p>
            <w:pPr>
              <w:jc w:val="right"/>
              <w:ind w:right="154"/>
              <w:spacing w:after="0"/>
              <w:rPr>
                <w:sz w:val="20"/>
                <w:szCs w:val="20"/>
                <w:color w:val="auto"/>
              </w:rPr>
            </w:pPr>
            <w:r>
              <w:rPr>
                <w:rFonts w:ascii="Arial" w:cs="Arial" w:eastAsia="Arial" w:hAnsi="Arial"/>
                <w:sz w:val="10"/>
                <w:szCs w:val="10"/>
                <w:color w:val="auto"/>
              </w:rPr>
              <w:t>442,566</w:t>
            </w:r>
          </w:p>
        </w:tc>
        <w:tc>
          <w:tcPr>
            <w:tcW w:w="920" w:type="dxa"/>
            <w:vAlign w:val="bottom"/>
          </w:tcPr>
          <w:p>
            <w:pPr>
              <w:jc w:val="right"/>
              <w:ind w:right="54"/>
              <w:spacing w:after="0"/>
              <w:rPr>
                <w:sz w:val="20"/>
                <w:szCs w:val="20"/>
                <w:color w:val="auto"/>
              </w:rPr>
            </w:pPr>
            <w:r>
              <w:rPr>
                <w:rFonts w:ascii="Arial" w:cs="Arial" w:eastAsia="Arial" w:hAnsi="Arial"/>
                <w:sz w:val="10"/>
                <w:szCs w:val="10"/>
                <w:color w:val="auto"/>
              </w:rPr>
              <w:t>479,505</w:t>
            </w:r>
          </w:p>
        </w:tc>
        <w:tc>
          <w:tcPr>
            <w:tcW w:w="640" w:type="dxa"/>
            <w:vAlign w:val="bottom"/>
          </w:tcPr>
          <w:p>
            <w:pPr>
              <w:jc w:val="center"/>
              <w:ind w:right="54"/>
              <w:spacing w:after="0"/>
              <w:rPr>
                <w:sz w:val="20"/>
                <w:szCs w:val="20"/>
                <w:color w:val="auto"/>
              </w:rPr>
            </w:pPr>
            <w:r>
              <w:rPr>
                <w:rFonts w:ascii="Arial" w:cs="Arial" w:eastAsia="Arial" w:hAnsi="Arial"/>
                <w:sz w:val="10"/>
                <w:szCs w:val="10"/>
                <w:color w:val="auto"/>
                <w:w w:val="96"/>
              </w:rPr>
              <w:t>8.3%</w:t>
            </w:r>
          </w:p>
        </w:tc>
        <w:tc>
          <w:tcPr>
            <w:tcW w:w="680" w:type="dxa"/>
            <w:vAlign w:val="bottom"/>
          </w:tcPr>
          <w:p>
            <w:pPr>
              <w:jc w:val="center"/>
              <w:spacing w:after="0"/>
              <w:rPr>
                <w:sz w:val="20"/>
                <w:szCs w:val="20"/>
                <w:color w:val="auto"/>
              </w:rPr>
            </w:pPr>
            <w:r>
              <w:rPr>
                <w:rFonts w:ascii="Arial" w:cs="Arial" w:eastAsia="Arial" w:hAnsi="Arial"/>
                <w:sz w:val="10"/>
                <w:szCs w:val="10"/>
                <w:color w:val="auto"/>
                <w:w w:val="91"/>
              </w:rPr>
              <w:t>12.1%</w:t>
            </w:r>
          </w:p>
        </w:tc>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-342900</wp:posOffset>
            </wp:positionV>
            <wp:extent cx="6158865" cy="3460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158865" cy="346075"/>
                    </a:xfrm>
                    <a:prstGeom prst="rect">
                      <a:avLst/>
                    </a:prstGeom>
                    <a:noFill/>
                  </pic:spPr>
                </pic:pic>
              </a:graphicData>
            </a:graphic>
          </wp:anchor>
        </w:drawing>
      </w:r>
    </w:p>
    <w:p>
      <w:pPr>
        <w:ind w:left="260" w:hanging="121"/>
        <w:spacing w:after="0" w:line="214" w:lineRule="auto"/>
        <w:tabs>
          <w:tab w:leader="none" w:pos="260" w:val="left"/>
        </w:tabs>
        <w:numPr>
          <w:ilvl w:val="0"/>
          <w:numId w:val="59"/>
        </w:numPr>
        <w:rPr>
          <w:rFonts w:ascii="Arial" w:cs="Arial" w:eastAsia="Arial" w:hAnsi="Arial"/>
          <w:sz w:val="10"/>
          <w:szCs w:val="10"/>
          <w:color w:val="auto"/>
        </w:rPr>
      </w:pPr>
      <w:r>
        <w:rPr>
          <w:rFonts w:ascii="Arial" w:cs="Arial" w:eastAsia="Arial" w:hAnsi="Arial"/>
          <w:sz w:val="10"/>
          <w:szCs w:val="10"/>
          <w:color w:val="auto"/>
        </w:rPr>
        <w:t>The net profitability of lace and mutual funds is being presented net of taxes, for which the retroactive change was made (it was presented gross before)</w:t>
      </w:r>
    </w:p>
    <w:p>
      <w:pPr>
        <w:ind w:left="140"/>
        <w:spacing w:after="0"/>
        <w:rPr>
          <w:rFonts w:ascii="Arial" w:cs="Arial" w:eastAsia="Arial" w:hAnsi="Arial"/>
          <w:sz w:val="10"/>
          <w:szCs w:val="10"/>
          <w:color w:val="auto"/>
        </w:rPr>
      </w:pPr>
      <w:r>
        <w:rPr>
          <w:rFonts w:ascii="Arial" w:cs="Arial" w:eastAsia="Arial" w:hAnsi="Arial"/>
          <w:sz w:val="10"/>
          <w:szCs w:val="10"/>
          <w:color w:val="auto"/>
        </w:rPr>
        <w:t>(1) Net shareholders’ equity includes unrealized gains from Prima’s investment portfolio.</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 Thousands, IFRS)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100965</wp:posOffset>
            </wp:positionV>
            <wp:extent cx="6877685" cy="7315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77685" cy="731520"/>
                    </a:xfrm>
                    <a:prstGeom prst="rect">
                      <a:avLst/>
                    </a:prstGeom>
                    <a:noFill/>
                  </pic:spPr>
                </pic:pic>
              </a:graphicData>
            </a:graphic>
          </wp:anchor>
        </w:drawing>
      </w:r>
    </w:p>
    <w:p>
      <w:pPr>
        <w:spacing w:after="0" w:line="119" w:lineRule="exact"/>
        <w:rPr>
          <w:sz w:val="20"/>
          <w:szCs w:val="20"/>
          <w:color w:val="auto"/>
        </w:rPr>
      </w:pPr>
    </w:p>
    <w:tbl>
      <w:tblPr>
        <w:tblLayout w:type="fixed"/>
        <w:tblInd w:w="140" w:type="dxa"/>
        <w:tblCellMar>
          <w:top w:w="0" w:type="dxa"/>
          <w:left w:w="0" w:type="dxa"/>
          <w:bottom w:w="0" w:type="dxa"/>
          <w:right w:w="0" w:type="dxa"/>
        </w:tblCellMar>
      </w:tblPr>
      <w:tr>
        <w:trPr>
          <w:trHeight w:val="92"/>
        </w:trPr>
        <w:tc>
          <w:tcPr>
            <w:tcW w:w="4500" w:type="dxa"/>
            <w:vAlign w:val="bottom"/>
            <w:tcBorders>
              <w:top w:val="single" w:sz="8" w:color="auto"/>
            </w:tcBorders>
            <w:shd w:val="clear" w:color="auto" w:fill="2AD2C9"/>
          </w:tcPr>
          <w:p>
            <w:pPr>
              <w:spacing w:after="0"/>
              <w:rPr>
                <w:sz w:val="8"/>
                <w:szCs w:val="8"/>
                <w:color w:val="auto"/>
              </w:rPr>
            </w:pPr>
          </w:p>
        </w:tc>
        <w:tc>
          <w:tcPr>
            <w:tcW w:w="560" w:type="dxa"/>
            <w:vAlign w:val="bottom"/>
            <w:tcBorders>
              <w:top w:val="single" w:sz="8" w:color="auto"/>
            </w:tcBorders>
            <w:shd w:val="clear" w:color="auto" w:fill="2AD2C9"/>
          </w:tcPr>
          <w:p>
            <w:pPr>
              <w:spacing w:after="0"/>
              <w:rPr>
                <w:sz w:val="8"/>
                <w:szCs w:val="8"/>
                <w:color w:val="auto"/>
              </w:rPr>
            </w:pPr>
          </w:p>
        </w:tc>
        <w:tc>
          <w:tcPr>
            <w:tcW w:w="480" w:type="dxa"/>
            <w:vAlign w:val="bottom"/>
            <w:tcBorders>
              <w:top w:val="single" w:sz="8" w:color="auto"/>
            </w:tcBorders>
            <w:shd w:val="clear" w:color="auto" w:fill="2AD2C9"/>
          </w:tcPr>
          <w:p>
            <w:pPr>
              <w:spacing w:after="0"/>
              <w:rPr>
                <w:sz w:val="8"/>
                <w:szCs w:val="8"/>
                <w:color w:val="auto"/>
              </w:rPr>
            </w:pPr>
          </w:p>
        </w:tc>
        <w:tc>
          <w:tcPr>
            <w:tcW w:w="920" w:type="dxa"/>
            <w:vAlign w:val="bottom"/>
            <w:tcBorders>
              <w:top w:val="single" w:sz="8" w:color="auto"/>
            </w:tcBorders>
            <w:shd w:val="clear" w:color="auto" w:fill="2AD2C9"/>
          </w:tcPr>
          <w:p>
            <w:pPr>
              <w:jc w:val="right"/>
              <w:ind w:right="419"/>
              <w:spacing w:after="0"/>
              <w:rPr>
                <w:sz w:val="20"/>
                <w:szCs w:val="20"/>
                <w:color w:val="auto"/>
              </w:rPr>
            </w:pPr>
            <w:r>
              <w:rPr>
                <w:rFonts w:ascii="Arial" w:cs="Arial" w:eastAsia="Arial" w:hAnsi="Arial"/>
                <w:sz w:val="8"/>
                <w:szCs w:val="8"/>
                <w:b w:val="1"/>
                <w:bCs w:val="1"/>
                <w:color w:val="FFFFFF"/>
              </w:rPr>
              <w:t>Quarter</w:t>
            </w:r>
          </w:p>
        </w:tc>
        <w:tc>
          <w:tcPr>
            <w:tcW w:w="840" w:type="dxa"/>
            <w:vAlign w:val="bottom"/>
            <w:tcBorders>
              <w:top w:val="single" w:sz="8" w:color="auto"/>
            </w:tcBorders>
            <w:shd w:val="clear" w:color="auto" w:fill="2AD2C9"/>
          </w:tcPr>
          <w:p>
            <w:pPr>
              <w:spacing w:after="0"/>
              <w:rPr>
                <w:sz w:val="8"/>
                <w:szCs w:val="8"/>
                <w:color w:val="auto"/>
              </w:rPr>
            </w:pPr>
          </w:p>
        </w:tc>
        <w:tc>
          <w:tcPr>
            <w:tcW w:w="380" w:type="dxa"/>
            <w:vAlign w:val="bottom"/>
            <w:tcBorders>
              <w:top w:val="single" w:sz="8" w:color="auto"/>
            </w:tcBorders>
            <w:shd w:val="clear" w:color="auto" w:fill="2AD2C9"/>
          </w:tcPr>
          <w:p>
            <w:pPr>
              <w:spacing w:after="0"/>
              <w:rPr>
                <w:sz w:val="8"/>
                <w:szCs w:val="8"/>
                <w:color w:val="auto"/>
              </w:rPr>
            </w:pPr>
          </w:p>
        </w:tc>
        <w:tc>
          <w:tcPr>
            <w:tcW w:w="900" w:type="dxa"/>
            <w:vAlign w:val="bottom"/>
            <w:tcBorders>
              <w:top w:val="single" w:sz="8" w:color="auto"/>
            </w:tcBorders>
            <w:shd w:val="clear" w:color="auto" w:fill="2AD2C9"/>
          </w:tcPr>
          <w:p>
            <w:pPr>
              <w:ind w:left="20"/>
              <w:spacing w:after="0"/>
              <w:rPr>
                <w:sz w:val="20"/>
                <w:szCs w:val="20"/>
                <w:color w:val="auto"/>
              </w:rPr>
            </w:pPr>
            <w:r>
              <w:rPr>
                <w:rFonts w:ascii="Arial" w:cs="Arial" w:eastAsia="Arial" w:hAnsi="Arial"/>
                <w:sz w:val="8"/>
                <w:szCs w:val="8"/>
                <w:b w:val="1"/>
                <w:bCs w:val="1"/>
                <w:color w:val="FFFFFF"/>
              </w:rPr>
              <w:t>% change</w:t>
            </w:r>
          </w:p>
        </w:tc>
        <w:tc>
          <w:tcPr>
            <w:tcW w:w="820" w:type="dxa"/>
            <w:vAlign w:val="bottom"/>
            <w:tcBorders>
              <w:top w:val="single" w:sz="8" w:color="auto"/>
            </w:tcBorders>
            <w:shd w:val="clear" w:color="auto" w:fill="2AD2C9"/>
          </w:tcPr>
          <w:p>
            <w:pPr>
              <w:jc w:val="right"/>
              <w:ind w:right="19"/>
              <w:spacing w:after="0"/>
              <w:rPr>
                <w:sz w:val="20"/>
                <w:szCs w:val="20"/>
                <w:color w:val="auto"/>
              </w:rPr>
            </w:pPr>
            <w:r>
              <w:rPr>
                <w:rFonts w:ascii="Arial" w:cs="Arial" w:eastAsia="Arial" w:hAnsi="Arial"/>
                <w:sz w:val="8"/>
                <w:szCs w:val="8"/>
                <w:b w:val="1"/>
                <w:bCs w:val="1"/>
                <w:color w:val="FFFFFF"/>
              </w:rPr>
              <w:t>Up to</w:t>
            </w:r>
          </w:p>
        </w:tc>
        <w:tc>
          <w:tcPr>
            <w:tcW w:w="620" w:type="dxa"/>
            <w:vAlign w:val="bottom"/>
            <w:tcBorders>
              <w:top w:val="single" w:sz="8" w:color="auto"/>
            </w:tcBorders>
            <w:shd w:val="clear" w:color="auto" w:fill="2AD2C9"/>
          </w:tcPr>
          <w:p>
            <w:pPr>
              <w:spacing w:after="0"/>
              <w:rPr>
                <w:sz w:val="8"/>
                <w:szCs w:val="8"/>
                <w:color w:val="auto"/>
              </w:rPr>
            </w:pPr>
          </w:p>
        </w:tc>
        <w:tc>
          <w:tcPr>
            <w:tcW w:w="800" w:type="dxa"/>
            <w:vAlign w:val="bottom"/>
            <w:tcBorders>
              <w:top w:val="single" w:sz="8" w:color="auto"/>
            </w:tcBorders>
            <w:shd w:val="clear" w:color="auto" w:fill="2AD2C9"/>
          </w:tcPr>
          <w:p>
            <w:pPr>
              <w:jc w:val="center"/>
              <w:ind w:right="59"/>
              <w:spacing w:after="0"/>
              <w:rPr>
                <w:sz w:val="20"/>
                <w:szCs w:val="20"/>
                <w:color w:val="auto"/>
              </w:rPr>
            </w:pPr>
            <w:r>
              <w:rPr>
                <w:rFonts w:ascii="Arial" w:cs="Arial" w:eastAsia="Arial" w:hAnsi="Arial"/>
                <w:sz w:val="8"/>
                <w:szCs w:val="8"/>
                <w:b w:val="1"/>
                <w:bCs w:val="1"/>
                <w:color w:val="FFFFFF"/>
              </w:rPr>
              <w:t>% change</w:t>
            </w:r>
          </w:p>
        </w:tc>
      </w:tr>
      <w:tr>
        <w:trPr>
          <w:trHeight w:val="103"/>
        </w:trPr>
        <w:tc>
          <w:tcPr>
            <w:tcW w:w="4500" w:type="dxa"/>
            <w:vAlign w:val="bottom"/>
            <w:tcBorders>
              <w:bottom w:val="single" w:sz="8" w:color="auto"/>
            </w:tcBorders>
            <w:shd w:val="clear" w:color="auto" w:fill="2AD2C9"/>
          </w:tcPr>
          <w:p>
            <w:pPr>
              <w:spacing w:after="0"/>
              <w:rPr>
                <w:sz w:val="8"/>
                <w:szCs w:val="8"/>
                <w:color w:val="auto"/>
              </w:rPr>
            </w:pPr>
          </w:p>
        </w:tc>
        <w:tc>
          <w:tcPr>
            <w:tcW w:w="560" w:type="dxa"/>
            <w:vAlign w:val="bottom"/>
            <w:tcBorders>
              <w:bottom w:val="single" w:sz="8" w:color="auto"/>
            </w:tcBorders>
            <w:shd w:val="clear" w:color="auto" w:fill="2AD2C9"/>
          </w:tcPr>
          <w:p>
            <w:pPr>
              <w:ind w:left="360"/>
              <w:spacing w:after="0"/>
              <w:rPr>
                <w:sz w:val="20"/>
                <w:szCs w:val="20"/>
                <w:color w:val="auto"/>
              </w:rPr>
            </w:pPr>
            <w:r>
              <w:rPr>
                <w:rFonts w:ascii="Arial" w:cs="Arial" w:eastAsia="Arial" w:hAnsi="Arial"/>
                <w:sz w:val="8"/>
                <w:szCs w:val="8"/>
                <w:b w:val="1"/>
                <w:bCs w:val="1"/>
                <w:color w:val="FFFFFF"/>
                <w:w w:val="91"/>
              </w:rPr>
              <w:t>2Q23</w:t>
            </w:r>
          </w:p>
        </w:tc>
        <w:tc>
          <w:tcPr>
            <w:tcW w:w="480" w:type="dxa"/>
            <w:vAlign w:val="bottom"/>
            <w:tcBorders>
              <w:bottom w:val="single" w:sz="8" w:color="auto"/>
            </w:tcBorders>
            <w:shd w:val="clear" w:color="auto" w:fill="2AD2C9"/>
          </w:tcPr>
          <w:p>
            <w:pPr>
              <w:spacing w:after="0"/>
              <w:rPr>
                <w:sz w:val="8"/>
                <w:szCs w:val="8"/>
                <w:color w:val="auto"/>
              </w:rPr>
            </w:pPr>
          </w:p>
        </w:tc>
        <w:tc>
          <w:tcPr>
            <w:tcW w:w="920" w:type="dxa"/>
            <w:vAlign w:val="bottom"/>
            <w:tcBorders>
              <w:bottom w:val="single" w:sz="8" w:color="auto"/>
            </w:tcBorders>
            <w:shd w:val="clear" w:color="auto" w:fill="2AD2C9"/>
          </w:tcPr>
          <w:p>
            <w:pPr>
              <w:jc w:val="right"/>
              <w:ind w:right="479"/>
              <w:spacing w:after="0"/>
              <w:rPr>
                <w:sz w:val="20"/>
                <w:szCs w:val="20"/>
                <w:color w:val="auto"/>
              </w:rPr>
            </w:pPr>
            <w:r>
              <w:rPr>
                <w:rFonts w:ascii="Arial" w:cs="Arial" w:eastAsia="Arial" w:hAnsi="Arial"/>
                <w:sz w:val="8"/>
                <w:szCs w:val="8"/>
                <w:b w:val="1"/>
                <w:bCs w:val="1"/>
                <w:color w:val="FFFFFF"/>
              </w:rPr>
              <w:t>1Q24</w:t>
            </w:r>
          </w:p>
        </w:tc>
        <w:tc>
          <w:tcPr>
            <w:tcW w:w="840" w:type="dxa"/>
            <w:vAlign w:val="bottom"/>
            <w:tcBorders>
              <w:bottom w:val="single" w:sz="8" w:color="auto"/>
            </w:tcBorders>
            <w:shd w:val="clear" w:color="auto" w:fill="2AD2C9"/>
          </w:tcPr>
          <w:p>
            <w:pPr>
              <w:jc w:val="right"/>
              <w:ind w:right="419"/>
              <w:spacing w:after="0"/>
              <w:rPr>
                <w:sz w:val="20"/>
                <w:szCs w:val="20"/>
                <w:color w:val="auto"/>
              </w:rPr>
            </w:pPr>
            <w:r>
              <w:rPr>
                <w:rFonts w:ascii="Arial" w:cs="Arial" w:eastAsia="Arial" w:hAnsi="Arial"/>
                <w:sz w:val="8"/>
                <w:szCs w:val="8"/>
                <w:b w:val="1"/>
                <w:bCs w:val="1"/>
                <w:color w:val="FFFFFF"/>
              </w:rPr>
              <w:t>2Q24</w:t>
            </w:r>
          </w:p>
        </w:tc>
        <w:tc>
          <w:tcPr>
            <w:tcW w:w="380" w:type="dxa"/>
            <w:vAlign w:val="bottom"/>
            <w:tcBorders>
              <w:bottom w:val="single" w:sz="8" w:color="auto"/>
            </w:tcBorders>
            <w:shd w:val="clear" w:color="auto" w:fill="2AD2C9"/>
          </w:tcPr>
          <w:p>
            <w:pPr>
              <w:jc w:val="center"/>
              <w:ind w:left="79"/>
              <w:spacing w:after="0"/>
              <w:rPr>
                <w:sz w:val="20"/>
                <w:szCs w:val="20"/>
                <w:color w:val="auto"/>
              </w:rPr>
            </w:pPr>
            <w:r>
              <w:rPr>
                <w:rFonts w:ascii="Arial" w:cs="Arial" w:eastAsia="Arial" w:hAnsi="Arial"/>
                <w:sz w:val="8"/>
                <w:szCs w:val="8"/>
                <w:b w:val="1"/>
                <w:bCs w:val="1"/>
                <w:color w:val="FFFFFF"/>
              </w:rPr>
              <w:t>QoQ</w:t>
            </w:r>
          </w:p>
        </w:tc>
        <w:tc>
          <w:tcPr>
            <w:tcW w:w="900" w:type="dxa"/>
            <w:vAlign w:val="bottom"/>
            <w:tcBorders>
              <w:bottom w:val="single" w:sz="8" w:color="auto"/>
            </w:tcBorders>
            <w:shd w:val="clear" w:color="auto" w:fill="2AD2C9"/>
          </w:tcPr>
          <w:p>
            <w:pPr>
              <w:jc w:val="center"/>
              <w:ind w:left="139"/>
              <w:spacing w:after="0"/>
              <w:rPr>
                <w:sz w:val="20"/>
                <w:szCs w:val="20"/>
                <w:color w:val="auto"/>
              </w:rPr>
            </w:pPr>
            <w:r>
              <w:rPr>
                <w:rFonts w:ascii="Arial" w:cs="Arial" w:eastAsia="Arial" w:hAnsi="Arial"/>
                <w:sz w:val="8"/>
                <w:szCs w:val="8"/>
                <w:b w:val="1"/>
                <w:bCs w:val="1"/>
                <w:color w:val="FFFFFF"/>
              </w:rPr>
              <w:t>YoY</w:t>
            </w:r>
          </w:p>
        </w:tc>
        <w:tc>
          <w:tcPr>
            <w:tcW w:w="820" w:type="dxa"/>
            <w:vAlign w:val="bottom"/>
            <w:tcBorders>
              <w:bottom w:val="single" w:sz="8" w:color="auto"/>
            </w:tcBorders>
            <w:shd w:val="clear" w:color="auto" w:fill="2AD2C9"/>
          </w:tcPr>
          <w:p>
            <w:pPr>
              <w:jc w:val="center"/>
              <w:ind w:right="139"/>
              <w:spacing w:after="0"/>
              <w:rPr>
                <w:sz w:val="20"/>
                <w:szCs w:val="20"/>
                <w:color w:val="auto"/>
              </w:rPr>
            </w:pPr>
            <w:r>
              <w:rPr>
                <w:rFonts w:ascii="Arial" w:cs="Arial" w:eastAsia="Arial" w:hAnsi="Arial"/>
                <w:sz w:val="8"/>
                <w:szCs w:val="8"/>
                <w:b w:val="1"/>
                <w:bCs w:val="1"/>
                <w:color w:val="FFFFFF"/>
              </w:rPr>
              <w:t>1H23</w:t>
            </w:r>
          </w:p>
        </w:tc>
        <w:tc>
          <w:tcPr>
            <w:tcW w:w="620" w:type="dxa"/>
            <w:vAlign w:val="bottom"/>
            <w:tcBorders>
              <w:bottom w:val="single" w:sz="8" w:color="auto"/>
            </w:tcBorders>
            <w:shd w:val="clear" w:color="auto" w:fill="2AD2C9"/>
          </w:tcPr>
          <w:p>
            <w:pPr>
              <w:jc w:val="center"/>
              <w:ind w:right="219"/>
              <w:spacing w:after="0"/>
              <w:rPr>
                <w:sz w:val="20"/>
                <w:szCs w:val="20"/>
                <w:color w:val="auto"/>
              </w:rPr>
            </w:pPr>
            <w:r>
              <w:rPr>
                <w:rFonts w:ascii="Arial" w:cs="Arial" w:eastAsia="Arial" w:hAnsi="Arial"/>
                <w:sz w:val="8"/>
                <w:szCs w:val="8"/>
                <w:b w:val="1"/>
                <w:bCs w:val="1"/>
                <w:color w:val="FFFFFF"/>
              </w:rPr>
              <w:t>1H24</w:t>
            </w:r>
          </w:p>
        </w:tc>
        <w:tc>
          <w:tcPr>
            <w:tcW w:w="800" w:type="dxa"/>
            <w:vAlign w:val="bottom"/>
            <w:tcBorders>
              <w:bottom w:val="single" w:sz="8" w:color="auto"/>
            </w:tcBorders>
            <w:shd w:val="clear" w:color="auto" w:fill="2AD2C9"/>
          </w:tcPr>
          <w:p>
            <w:pPr>
              <w:jc w:val="center"/>
              <w:ind w:right="59"/>
              <w:spacing w:after="0"/>
              <w:rPr>
                <w:sz w:val="20"/>
                <w:szCs w:val="20"/>
                <w:color w:val="auto"/>
              </w:rPr>
            </w:pPr>
            <w:r>
              <w:rPr>
                <w:rFonts w:ascii="Arial" w:cs="Arial" w:eastAsia="Arial" w:hAnsi="Arial"/>
                <w:sz w:val="8"/>
                <w:szCs w:val="8"/>
                <w:b w:val="1"/>
                <w:bCs w:val="1"/>
                <w:color w:val="FFFFFF"/>
              </w:rPr>
              <w:t>1H24 / 1H23</w:t>
            </w:r>
          </w:p>
        </w:tc>
      </w:tr>
      <w:tr>
        <w:trPr>
          <w:trHeight w:val="72"/>
        </w:trPr>
        <w:tc>
          <w:tcPr>
            <w:tcW w:w="4500" w:type="dxa"/>
            <w:vAlign w:val="bottom"/>
          </w:tcPr>
          <w:p>
            <w:pPr>
              <w:ind w:left="40"/>
              <w:spacing w:after="0" w:line="73" w:lineRule="exact"/>
              <w:rPr>
                <w:sz w:val="20"/>
                <w:szCs w:val="20"/>
                <w:color w:val="auto"/>
              </w:rPr>
            </w:pPr>
            <w:r>
              <w:rPr>
                <w:rFonts w:ascii="Arial" w:cs="Arial" w:eastAsia="Arial" w:hAnsi="Arial"/>
                <w:sz w:val="8"/>
                <w:szCs w:val="8"/>
                <w:color w:val="auto"/>
              </w:rPr>
              <w:t>Income from commissions</w:t>
            </w:r>
          </w:p>
        </w:tc>
        <w:tc>
          <w:tcPr>
            <w:tcW w:w="560" w:type="dxa"/>
            <w:vAlign w:val="bottom"/>
          </w:tcPr>
          <w:p>
            <w:pPr>
              <w:spacing w:after="0"/>
              <w:rPr>
                <w:sz w:val="6"/>
                <w:szCs w:val="6"/>
                <w:color w:val="auto"/>
              </w:rPr>
            </w:pPr>
          </w:p>
        </w:tc>
        <w:tc>
          <w:tcPr>
            <w:tcW w:w="480" w:type="dxa"/>
            <w:vAlign w:val="bottom"/>
          </w:tcPr>
          <w:p>
            <w:pPr>
              <w:jc w:val="right"/>
              <w:ind w:right="159"/>
              <w:spacing w:after="0" w:line="73" w:lineRule="exact"/>
              <w:rPr>
                <w:sz w:val="20"/>
                <w:szCs w:val="20"/>
                <w:color w:val="auto"/>
              </w:rPr>
            </w:pPr>
            <w:r>
              <w:rPr>
                <w:rFonts w:ascii="Arial" w:cs="Arial" w:eastAsia="Arial" w:hAnsi="Arial"/>
                <w:sz w:val="8"/>
                <w:szCs w:val="8"/>
                <w:color w:val="auto"/>
              </w:rPr>
              <w:t>88,459</w:t>
            </w:r>
          </w:p>
        </w:tc>
        <w:tc>
          <w:tcPr>
            <w:tcW w:w="920" w:type="dxa"/>
            <w:vAlign w:val="bottom"/>
          </w:tcPr>
          <w:p>
            <w:pPr>
              <w:jc w:val="right"/>
              <w:ind w:right="179"/>
              <w:spacing w:after="0" w:line="73" w:lineRule="exact"/>
              <w:rPr>
                <w:sz w:val="20"/>
                <w:szCs w:val="20"/>
                <w:color w:val="auto"/>
              </w:rPr>
            </w:pPr>
            <w:r>
              <w:rPr>
                <w:rFonts w:ascii="Arial" w:cs="Arial" w:eastAsia="Arial" w:hAnsi="Arial"/>
                <w:sz w:val="8"/>
                <w:szCs w:val="8"/>
                <w:color w:val="auto"/>
              </w:rPr>
              <w:t>94,613</w:t>
            </w:r>
          </w:p>
        </w:tc>
        <w:tc>
          <w:tcPr>
            <w:tcW w:w="840" w:type="dxa"/>
            <w:vAlign w:val="bottom"/>
          </w:tcPr>
          <w:p>
            <w:pPr>
              <w:jc w:val="right"/>
              <w:ind w:right="119"/>
              <w:spacing w:after="0" w:line="73" w:lineRule="exact"/>
              <w:rPr>
                <w:sz w:val="20"/>
                <w:szCs w:val="20"/>
                <w:color w:val="auto"/>
              </w:rPr>
            </w:pPr>
            <w:r>
              <w:rPr>
                <w:rFonts w:ascii="Arial" w:cs="Arial" w:eastAsia="Arial" w:hAnsi="Arial"/>
                <w:sz w:val="8"/>
                <w:szCs w:val="8"/>
                <w:color w:val="auto"/>
              </w:rPr>
              <w:t>99,138</w:t>
            </w:r>
          </w:p>
        </w:tc>
        <w:tc>
          <w:tcPr>
            <w:tcW w:w="380" w:type="dxa"/>
            <w:vAlign w:val="bottom"/>
          </w:tcPr>
          <w:p>
            <w:pPr>
              <w:jc w:val="center"/>
              <w:ind w:left="79"/>
              <w:spacing w:after="0" w:line="73" w:lineRule="exact"/>
              <w:rPr>
                <w:sz w:val="20"/>
                <w:szCs w:val="20"/>
                <w:color w:val="auto"/>
              </w:rPr>
            </w:pPr>
            <w:r>
              <w:rPr>
                <w:rFonts w:ascii="Arial" w:cs="Arial" w:eastAsia="Arial" w:hAnsi="Arial"/>
                <w:sz w:val="8"/>
                <w:szCs w:val="8"/>
                <w:color w:val="auto"/>
                <w:w w:val="98"/>
              </w:rPr>
              <w:t>4.8%</w:t>
            </w:r>
          </w:p>
        </w:tc>
        <w:tc>
          <w:tcPr>
            <w:tcW w:w="900" w:type="dxa"/>
            <w:vAlign w:val="bottom"/>
          </w:tcPr>
          <w:p>
            <w:pPr>
              <w:jc w:val="center"/>
              <w:ind w:left="139"/>
              <w:spacing w:after="0" w:line="73" w:lineRule="exact"/>
              <w:rPr>
                <w:sz w:val="20"/>
                <w:szCs w:val="20"/>
                <w:color w:val="auto"/>
              </w:rPr>
            </w:pPr>
            <w:r>
              <w:rPr>
                <w:rFonts w:ascii="Arial" w:cs="Arial" w:eastAsia="Arial" w:hAnsi="Arial"/>
                <w:sz w:val="8"/>
                <w:szCs w:val="8"/>
                <w:color w:val="auto"/>
              </w:rPr>
              <w:t>12.1%</w:t>
            </w:r>
          </w:p>
        </w:tc>
        <w:tc>
          <w:tcPr>
            <w:tcW w:w="820" w:type="dxa"/>
            <w:vAlign w:val="bottom"/>
          </w:tcPr>
          <w:p>
            <w:pPr>
              <w:jc w:val="right"/>
              <w:ind w:right="159"/>
              <w:spacing w:after="0" w:line="73" w:lineRule="exact"/>
              <w:rPr>
                <w:sz w:val="20"/>
                <w:szCs w:val="20"/>
                <w:color w:val="auto"/>
              </w:rPr>
            </w:pPr>
            <w:r>
              <w:rPr>
                <w:rFonts w:ascii="Arial" w:cs="Arial" w:eastAsia="Arial" w:hAnsi="Arial"/>
                <w:sz w:val="8"/>
                <w:szCs w:val="8"/>
                <w:color w:val="auto"/>
              </w:rPr>
              <w:t>177,991</w:t>
            </w:r>
          </w:p>
        </w:tc>
        <w:tc>
          <w:tcPr>
            <w:tcW w:w="620" w:type="dxa"/>
            <w:vAlign w:val="bottom"/>
          </w:tcPr>
          <w:p>
            <w:pPr>
              <w:jc w:val="right"/>
              <w:ind w:right="99"/>
              <w:spacing w:after="0" w:line="73" w:lineRule="exact"/>
              <w:rPr>
                <w:sz w:val="20"/>
                <w:szCs w:val="20"/>
                <w:color w:val="auto"/>
              </w:rPr>
            </w:pPr>
            <w:r>
              <w:rPr>
                <w:rFonts w:ascii="Arial" w:cs="Arial" w:eastAsia="Arial" w:hAnsi="Arial"/>
                <w:sz w:val="8"/>
                <w:szCs w:val="8"/>
                <w:color w:val="auto"/>
              </w:rPr>
              <w:t>193,751</w:t>
            </w:r>
          </w:p>
        </w:tc>
        <w:tc>
          <w:tcPr>
            <w:tcW w:w="800" w:type="dxa"/>
            <w:vAlign w:val="bottom"/>
          </w:tcPr>
          <w:p>
            <w:pPr>
              <w:jc w:val="center"/>
              <w:ind w:right="59"/>
              <w:spacing w:after="0" w:line="73" w:lineRule="exact"/>
              <w:rPr>
                <w:sz w:val="20"/>
                <w:szCs w:val="20"/>
                <w:color w:val="auto"/>
              </w:rPr>
            </w:pPr>
            <w:r>
              <w:rPr>
                <w:rFonts w:ascii="Arial" w:cs="Arial" w:eastAsia="Arial" w:hAnsi="Arial"/>
                <w:sz w:val="8"/>
                <w:szCs w:val="8"/>
                <w:color w:val="auto"/>
                <w:w w:val="98"/>
              </w:rPr>
              <w:t>8.9%</w:t>
            </w:r>
          </w:p>
        </w:tc>
      </w:tr>
      <w:tr>
        <w:trPr>
          <w:trHeight w:val="93"/>
        </w:trPr>
        <w:tc>
          <w:tcPr>
            <w:tcW w:w="5060" w:type="dxa"/>
            <w:vAlign w:val="bottom"/>
            <w:gridSpan w:val="2"/>
          </w:tcPr>
          <w:p>
            <w:pPr>
              <w:ind w:left="40"/>
              <w:spacing w:after="0"/>
              <w:rPr>
                <w:sz w:val="20"/>
                <w:szCs w:val="20"/>
                <w:color w:val="auto"/>
              </w:rPr>
            </w:pPr>
            <w:r>
              <w:rPr>
                <w:rFonts w:ascii="Arial" w:cs="Arial" w:eastAsia="Arial" w:hAnsi="Arial"/>
                <w:sz w:val="8"/>
                <w:szCs w:val="8"/>
                <w:color w:val="auto"/>
              </w:rPr>
              <w:t>Administrative and sale expenses</w:t>
            </w:r>
          </w:p>
        </w:tc>
        <w:tc>
          <w:tcPr>
            <w:tcW w:w="480" w:type="dxa"/>
            <w:vAlign w:val="bottom"/>
          </w:tcPr>
          <w:p>
            <w:pPr>
              <w:jc w:val="right"/>
              <w:ind w:right="119"/>
              <w:spacing w:after="0"/>
              <w:rPr>
                <w:sz w:val="20"/>
                <w:szCs w:val="20"/>
                <w:color w:val="auto"/>
              </w:rPr>
            </w:pPr>
            <w:r>
              <w:rPr>
                <w:rFonts w:ascii="Arial" w:cs="Arial" w:eastAsia="Arial" w:hAnsi="Arial"/>
                <w:sz w:val="8"/>
                <w:szCs w:val="8"/>
                <w:color w:val="auto"/>
              </w:rPr>
              <w:t>(38,279)</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(41,498)</w:t>
            </w:r>
          </w:p>
        </w:tc>
        <w:tc>
          <w:tcPr>
            <w:tcW w:w="840" w:type="dxa"/>
            <w:vAlign w:val="bottom"/>
          </w:tcPr>
          <w:p>
            <w:pPr>
              <w:jc w:val="right"/>
              <w:ind w:right="79"/>
              <w:spacing w:after="0"/>
              <w:rPr>
                <w:sz w:val="20"/>
                <w:szCs w:val="20"/>
                <w:color w:val="auto"/>
              </w:rPr>
            </w:pPr>
            <w:r>
              <w:rPr>
                <w:rFonts w:ascii="Arial" w:cs="Arial" w:eastAsia="Arial" w:hAnsi="Arial"/>
                <w:sz w:val="8"/>
                <w:szCs w:val="8"/>
                <w:color w:val="auto"/>
              </w:rPr>
              <w:t>(44,957)</w:t>
            </w:r>
          </w:p>
        </w:tc>
        <w:tc>
          <w:tcPr>
            <w:tcW w:w="380" w:type="dxa"/>
            <w:vAlign w:val="bottom"/>
          </w:tcPr>
          <w:p>
            <w:pPr>
              <w:jc w:val="center"/>
              <w:ind w:left="79"/>
              <w:spacing w:after="0"/>
              <w:rPr>
                <w:sz w:val="20"/>
                <w:szCs w:val="20"/>
                <w:color w:val="auto"/>
              </w:rPr>
            </w:pPr>
            <w:r>
              <w:rPr>
                <w:rFonts w:ascii="Arial" w:cs="Arial" w:eastAsia="Arial" w:hAnsi="Arial"/>
                <w:sz w:val="8"/>
                <w:szCs w:val="8"/>
                <w:color w:val="auto"/>
                <w:w w:val="98"/>
              </w:rPr>
              <w:t>8.3%</w:t>
            </w:r>
          </w:p>
        </w:tc>
        <w:tc>
          <w:tcPr>
            <w:tcW w:w="900" w:type="dxa"/>
            <w:vAlign w:val="bottom"/>
          </w:tcPr>
          <w:p>
            <w:pPr>
              <w:jc w:val="center"/>
              <w:ind w:left="139"/>
              <w:spacing w:after="0"/>
              <w:rPr>
                <w:sz w:val="20"/>
                <w:szCs w:val="20"/>
                <w:color w:val="auto"/>
              </w:rPr>
            </w:pPr>
            <w:r>
              <w:rPr>
                <w:rFonts w:ascii="Arial" w:cs="Arial" w:eastAsia="Arial" w:hAnsi="Arial"/>
                <w:sz w:val="8"/>
                <w:szCs w:val="8"/>
                <w:color w:val="auto"/>
              </w:rPr>
              <w:t>17.4%</w:t>
            </w:r>
          </w:p>
        </w:tc>
        <w:tc>
          <w:tcPr>
            <w:tcW w:w="820" w:type="dxa"/>
            <w:vAlign w:val="bottom"/>
          </w:tcPr>
          <w:p>
            <w:pPr>
              <w:jc w:val="right"/>
              <w:ind w:right="159"/>
              <w:spacing w:after="0"/>
              <w:rPr>
                <w:sz w:val="20"/>
                <w:szCs w:val="20"/>
                <w:color w:val="auto"/>
              </w:rPr>
            </w:pPr>
            <w:r>
              <w:rPr>
                <w:rFonts w:ascii="Arial" w:cs="Arial" w:eastAsia="Arial" w:hAnsi="Arial"/>
                <w:sz w:val="8"/>
                <w:szCs w:val="8"/>
                <w:color w:val="auto"/>
              </w:rPr>
              <w:t>- 77,265</w:t>
            </w:r>
          </w:p>
        </w:tc>
        <w:tc>
          <w:tcPr>
            <w:tcW w:w="620" w:type="dxa"/>
            <w:vAlign w:val="bottom"/>
          </w:tcPr>
          <w:p>
            <w:pPr>
              <w:jc w:val="right"/>
              <w:ind w:right="99"/>
              <w:spacing w:after="0"/>
              <w:rPr>
                <w:sz w:val="20"/>
                <w:szCs w:val="20"/>
                <w:color w:val="auto"/>
              </w:rPr>
            </w:pPr>
            <w:r>
              <w:rPr>
                <w:rFonts w:ascii="Arial" w:cs="Arial" w:eastAsia="Arial" w:hAnsi="Arial"/>
                <w:sz w:val="8"/>
                <w:szCs w:val="8"/>
                <w:color w:val="auto"/>
              </w:rPr>
              <w:t>- 86,455</w:t>
            </w:r>
          </w:p>
        </w:tc>
        <w:tc>
          <w:tcPr>
            <w:tcW w:w="800" w:type="dxa"/>
            <w:vAlign w:val="bottom"/>
          </w:tcPr>
          <w:p>
            <w:pPr>
              <w:jc w:val="center"/>
              <w:ind w:right="59"/>
              <w:spacing w:after="0"/>
              <w:rPr>
                <w:sz w:val="20"/>
                <w:szCs w:val="20"/>
                <w:color w:val="auto"/>
              </w:rPr>
            </w:pPr>
            <w:r>
              <w:rPr>
                <w:rFonts w:ascii="Arial" w:cs="Arial" w:eastAsia="Arial" w:hAnsi="Arial"/>
                <w:sz w:val="8"/>
                <w:szCs w:val="8"/>
                <w:color w:val="auto"/>
                <w:w w:val="96"/>
              </w:rPr>
              <w:t>11.9%</w:t>
            </w:r>
          </w:p>
        </w:tc>
      </w:tr>
      <w:tr>
        <w:trPr>
          <w:trHeight w:val="93"/>
        </w:trPr>
        <w:tc>
          <w:tcPr>
            <w:tcW w:w="5060" w:type="dxa"/>
            <w:vAlign w:val="bottom"/>
            <w:gridSpan w:val="2"/>
          </w:tcPr>
          <w:p>
            <w:pPr>
              <w:ind w:left="40"/>
              <w:spacing w:after="0"/>
              <w:rPr>
                <w:sz w:val="20"/>
                <w:szCs w:val="20"/>
                <w:color w:val="auto"/>
              </w:rPr>
            </w:pPr>
            <w:r>
              <w:rPr>
                <w:rFonts w:ascii="Arial" w:cs="Arial" w:eastAsia="Arial" w:hAnsi="Arial"/>
                <w:sz w:val="8"/>
                <w:szCs w:val="8"/>
                <w:color w:val="auto"/>
              </w:rPr>
              <w:t>Depreciation and amortization</w:t>
            </w:r>
          </w:p>
        </w:tc>
        <w:tc>
          <w:tcPr>
            <w:tcW w:w="480" w:type="dxa"/>
            <w:vAlign w:val="bottom"/>
          </w:tcPr>
          <w:p>
            <w:pPr>
              <w:jc w:val="right"/>
              <w:ind w:right="119"/>
              <w:spacing w:after="0"/>
              <w:rPr>
                <w:sz w:val="20"/>
                <w:szCs w:val="20"/>
                <w:color w:val="auto"/>
              </w:rPr>
            </w:pPr>
            <w:r>
              <w:rPr>
                <w:rFonts w:ascii="Arial" w:cs="Arial" w:eastAsia="Arial" w:hAnsi="Arial"/>
                <w:sz w:val="8"/>
                <w:szCs w:val="8"/>
                <w:color w:val="auto"/>
              </w:rPr>
              <w:t>(6,262)</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(6,606)</w:t>
            </w:r>
          </w:p>
        </w:tc>
        <w:tc>
          <w:tcPr>
            <w:tcW w:w="840" w:type="dxa"/>
            <w:vAlign w:val="bottom"/>
          </w:tcPr>
          <w:p>
            <w:pPr>
              <w:jc w:val="right"/>
              <w:ind w:right="79"/>
              <w:spacing w:after="0"/>
              <w:rPr>
                <w:sz w:val="20"/>
                <w:szCs w:val="20"/>
                <w:color w:val="auto"/>
              </w:rPr>
            </w:pPr>
            <w:r>
              <w:rPr>
                <w:rFonts w:ascii="Arial" w:cs="Arial" w:eastAsia="Arial" w:hAnsi="Arial"/>
                <w:sz w:val="8"/>
                <w:szCs w:val="8"/>
                <w:color w:val="auto"/>
              </w:rPr>
              <w:t>(6,560)</w:t>
            </w:r>
          </w:p>
        </w:tc>
        <w:tc>
          <w:tcPr>
            <w:tcW w:w="380" w:type="dxa"/>
            <w:vAlign w:val="bottom"/>
          </w:tcPr>
          <w:p>
            <w:pPr>
              <w:jc w:val="center"/>
              <w:ind w:left="79"/>
              <w:spacing w:after="0"/>
              <w:rPr>
                <w:sz w:val="20"/>
                <w:szCs w:val="20"/>
                <w:color w:val="auto"/>
              </w:rPr>
            </w:pPr>
            <w:r>
              <w:rPr>
                <w:rFonts w:ascii="Arial" w:cs="Arial" w:eastAsia="Arial" w:hAnsi="Arial"/>
                <w:sz w:val="8"/>
                <w:szCs w:val="8"/>
                <w:color w:val="auto"/>
              </w:rPr>
              <w:t>-0.7%</w:t>
            </w:r>
          </w:p>
        </w:tc>
        <w:tc>
          <w:tcPr>
            <w:tcW w:w="900" w:type="dxa"/>
            <w:vAlign w:val="bottom"/>
          </w:tcPr>
          <w:p>
            <w:pPr>
              <w:jc w:val="center"/>
              <w:ind w:left="139"/>
              <w:spacing w:after="0"/>
              <w:rPr>
                <w:sz w:val="20"/>
                <w:szCs w:val="20"/>
                <w:color w:val="auto"/>
              </w:rPr>
            </w:pPr>
            <w:r>
              <w:rPr>
                <w:rFonts w:ascii="Arial" w:cs="Arial" w:eastAsia="Arial" w:hAnsi="Arial"/>
                <w:sz w:val="8"/>
                <w:szCs w:val="8"/>
                <w:color w:val="auto"/>
              </w:rPr>
              <w:t>4.8%</w:t>
            </w:r>
          </w:p>
        </w:tc>
        <w:tc>
          <w:tcPr>
            <w:tcW w:w="820" w:type="dxa"/>
            <w:vAlign w:val="bottom"/>
          </w:tcPr>
          <w:p>
            <w:pPr>
              <w:jc w:val="right"/>
              <w:ind w:right="159"/>
              <w:spacing w:after="0"/>
              <w:rPr>
                <w:sz w:val="20"/>
                <w:szCs w:val="20"/>
                <w:color w:val="auto"/>
              </w:rPr>
            </w:pPr>
            <w:r>
              <w:rPr>
                <w:rFonts w:ascii="Arial" w:cs="Arial" w:eastAsia="Arial" w:hAnsi="Arial"/>
                <w:sz w:val="8"/>
                <w:szCs w:val="8"/>
                <w:color w:val="auto"/>
              </w:rPr>
              <w:t>- 12,455</w:t>
            </w:r>
          </w:p>
        </w:tc>
        <w:tc>
          <w:tcPr>
            <w:tcW w:w="620" w:type="dxa"/>
            <w:vAlign w:val="bottom"/>
          </w:tcPr>
          <w:p>
            <w:pPr>
              <w:jc w:val="right"/>
              <w:ind w:right="99"/>
              <w:spacing w:after="0"/>
              <w:rPr>
                <w:sz w:val="20"/>
                <w:szCs w:val="20"/>
                <w:color w:val="auto"/>
              </w:rPr>
            </w:pPr>
            <w:r>
              <w:rPr>
                <w:rFonts w:ascii="Arial" w:cs="Arial" w:eastAsia="Arial" w:hAnsi="Arial"/>
                <w:sz w:val="8"/>
                <w:szCs w:val="8"/>
                <w:color w:val="auto"/>
              </w:rPr>
              <w:t>- 13,166</w:t>
            </w:r>
          </w:p>
        </w:tc>
        <w:tc>
          <w:tcPr>
            <w:tcW w:w="800" w:type="dxa"/>
            <w:vAlign w:val="bottom"/>
          </w:tcPr>
          <w:p>
            <w:pPr>
              <w:jc w:val="center"/>
              <w:ind w:right="59"/>
              <w:spacing w:after="0"/>
              <w:rPr>
                <w:sz w:val="20"/>
                <w:szCs w:val="20"/>
                <w:color w:val="auto"/>
              </w:rPr>
            </w:pPr>
            <w:r>
              <w:rPr>
                <w:rFonts w:ascii="Arial" w:cs="Arial" w:eastAsia="Arial" w:hAnsi="Arial"/>
                <w:sz w:val="8"/>
                <w:szCs w:val="8"/>
                <w:color w:val="auto"/>
                <w:w w:val="98"/>
              </w:rPr>
              <w:t>5.7%</w:t>
            </w:r>
          </w:p>
        </w:tc>
      </w:tr>
      <w:tr>
        <w:trPr>
          <w:trHeight w:val="93"/>
        </w:trPr>
        <w:tc>
          <w:tcPr>
            <w:tcW w:w="5060" w:type="dxa"/>
            <w:vAlign w:val="bottom"/>
            <w:gridSpan w:val="2"/>
          </w:tcPr>
          <w:p>
            <w:pPr>
              <w:ind w:left="40"/>
              <w:spacing w:after="0"/>
              <w:rPr>
                <w:sz w:val="20"/>
                <w:szCs w:val="20"/>
                <w:color w:val="auto"/>
              </w:rPr>
            </w:pPr>
            <w:r>
              <w:rPr>
                <w:rFonts w:ascii="Arial" w:cs="Arial" w:eastAsia="Arial" w:hAnsi="Arial"/>
                <w:sz w:val="8"/>
                <w:szCs w:val="8"/>
                <w:b w:val="1"/>
                <w:bCs w:val="1"/>
                <w:color w:val="auto"/>
              </w:rPr>
              <w:t>Operating income</w:t>
            </w:r>
          </w:p>
        </w:tc>
        <w:tc>
          <w:tcPr>
            <w:tcW w:w="480" w:type="dxa"/>
            <w:vAlign w:val="bottom"/>
          </w:tcPr>
          <w:p>
            <w:pPr>
              <w:jc w:val="right"/>
              <w:ind w:right="159"/>
              <w:spacing w:after="0"/>
              <w:rPr>
                <w:sz w:val="20"/>
                <w:szCs w:val="20"/>
                <w:color w:val="auto"/>
              </w:rPr>
            </w:pPr>
            <w:r>
              <w:rPr>
                <w:rFonts w:ascii="Arial" w:cs="Arial" w:eastAsia="Arial" w:hAnsi="Arial"/>
                <w:sz w:val="8"/>
                <w:szCs w:val="8"/>
                <w:b w:val="1"/>
                <w:bCs w:val="1"/>
                <w:color w:val="auto"/>
              </w:rPr>
              <w:t>43,918</w:t>
            </w:r>
          </w:p>
        </w:tc>
        <w:tc>
          <w:tcPr>
            <w:tcW w:w="920" w:type="dxa"/>
            <w:vAlign w:val="bottom"/>
          </w:tcPr>
          <w:p>
            <w:pPr>
              <w:jc w:val="right"/>
              <w:ind w:right="179"/>
              <w:spacing w:after="0"/>
              <w:rPr>
                <w:sz w:val="20"/>
                <w:szCs w:val="20"/>
                <w:color w:val="auto"/>
              </w:rPr>
            </w:pPr>
            <w:r>
              <w:rPr>
                <w:rFonts w:ascii="Arial" w:cs="Arial" w:eastAsia="Arial" w:hAnsi="Arial"/>
                <w:sz w:val="8"/>
                <w:szCs w:val="8"/>
                <w:b w:val="1"/>
                <w:bCs w:val="1"/>
                <w:color w:val="auto"/>
              </w:rPr>
              <w:t>46,509</w:t>
            </w:r>
          </w:p>
        </w:tc>
        <w:tc>
          <w:tcPr>
            <w:tcW w:w="840" w:type="dxa"/>
            <w:vAlign w:val="bottom"/>
          </w:tcPr>
          <w:p>
            <w:pPr>
              <w:jc w:val="right"/>
              <w:ind w:right="119"/>
              <w:spacing w:after="0"/>
              <w:rPr>
                <w:sz w:val="20"/>
                <w:szCs w:val="20"/>
                <w:color w:val="auto"/>
              </w:rPr>
            </w:pPr>
            <w:r>
              <w:rPr>
                <w:rFonts w:ascii="Arial" w:cs="Arial" w:eastAsia="Arial" w:hAnsi="Arial"/>
                <w:sz w:val="8"/>
                <w:szCs w:val="8"/>
                <w:b w:val="1"/>
                <w:bCs w:val="1"/>
                <w:color w:val="auto"/>
              </w:rPr>
              <w:t>47,620</w:t>
            </w:r>
          </w:p>
        </w:tc>
        <w:tc>
          <w:tcPr>
            <w:tcW w:w="380" w:type="dxa"/>
            <w:vAlign w:val="bottom"/>
          </w:tcPr>
          <w:p>
            <w:pPr>
              <w:jc w:val="center"/>
              <w:ind w:left="79"/>
              <w:spacing w:after="0"/>
              <w:rPr>
                <w:sz w:val="20"/>
                <w:szCs w:val="20"/>
                <w:color w:val="auto"/>
              </w:rPr>
            </w:pPr>
            <w:r>
              <w:rPr>
                <w:rFonts w:ascii="Arial" w:cs="Arial" w:eastAsia="Arial" w:hAnsi="Arial"/>
                <w:sz w:val="8"/>
                <w:szCs w:val="8"/>
                <w:b w:val="1"/>
                <w:bCs w:val="1"/>
                <w:color w:val="auto"/>
                <w:w w:val="98"/>
              </w:rPr>
              <w:t>2.4%</w:t>
            </w:r>
          </w:p>
        </w:tc>
        <w:tc>
          <w:tcPr>
            <w:tcW w:w="900" w:type="dxa"/>
            <w:vAlign w:val="bottom"/>
          </w:tcPr>
          <w:p>
            <w:pPr>
              <w:jc w:val="center"/>
              <w:ind w:left="139"/>
              <w:spacing w:after="0"/>
              <w:rPr>
                <w:sz w:val="20"/>
                <w:szCs w:val="20"/>
                <w:color w:val="auto"/>
              </w:rPr>
            </w:pPr>
            <w:r>
              <w:rPr>
                <w:rFonts w:ascii="Arial" w:cs="Arial" w:eastAsia="Arial" w:hAnsi="Arial"/>
                <w:sz w:val="8"/>
                <w:szCs w:val="8"/>
                <w:b w:val="1"/>
                <w:bCs w:val="1"/>
                <w:color w:val="auto"/>
              </w:rPr>
              <w:t>8.4%</w:t>
            </w:r>
          </w:p>
        </w:tc>
        <w:tc>
          <w:tcPr>
            <w:tcW w:w="820" w:type="dxa"/>
            <w:vAlign w:val="bottom"/>
          </w:tcPr>
          <w:p>
            <w:pPr>
              <w:jc w:val="right"/>
              <w:ind w:right="159"/>
              <w:spacing w:after="0"/>
              <w:rPr>
                <w:sz w:val="20"/>
                <w:szCs w:val="20"/>
                <w:color w:val="auto"/>
              </w:rPr>
            </w:pPr>
            <w:r>
              <w:rPr>
                <w:rFonts w:ascii="Arial" w:cs="Arial" w:eastAsia="Arial" w:hAnsi="Arial"/>
                <w:sz w:val="8"/>
                <w:szCs w:val="8"/>
                <w:b w:val="1"/>
                <w:bCs w:val="1"/>
                <w:color w:val="auto"/>
              </w:rPr>
              <w:t>88,270</w:t>
            </w:r>
          </w:p>
        </w:tc>
        <w:tc>
          <w:tcPr>
            <w:tcW w:w="620" w:type="dxa"/>
            <w:vAlign w:val="bottom"/>
          </w:tcPr>
          <w:p>
            <w:pPr>
              <w:jc w:val="right"/>
              <w:ind w:right="99"/>
              <w:spacing w:after="0"/>
              <w:rPr>
                <w:sz w:val="20"/>
                <w:szCs w:val="20"/>
                <w:color w:val="auto"/>
              </w:rPr>
            </w:pPr>
            <w:r>
              <w:rPr>
                <w:rFonts w:ascii="Arial" w:cs="Arial" w:eastAsia="Arial" w:hAnsi="Arial"/>
                <w:sz w:val="8"/>
                <w:szCs w:val="8"/>
                <w:b w:val="1"/>
                <w:bCs w:val="1"/>
                <w:color w:val="auto"/>
              </w:rPr>
              <w:t>94,130</w:t>
            </w:r>
          </w:p>
        </w:tc>
        <w:tc>
          <w:tcPr>
            <w:tcW w:w="800" w:type="dxa"/>
            <w:vAlign w:val="bottom"/>
          </w:tcPr>
          <w:p>
            <w:pPr>
              <w:jc w:val="center"/>
              <w:ind w:right="59"/>
              <w:spacing w:after="0"/>
              <w:rPr>
                <w:sz w:val="20"/>
                <w:szCs w:val="20"/>
                <w:color w:val="auto"/>
              </w:rPr>
            </w:pPr>
            <w:r>
              <w:rPr>
                <w:rFonts w:ascii="Arial" w:cs="Arial" w:eastAsia="Arial" w:hAnsi="Arial"/>
                <w:sz w:val="8"/>
                <w:szCs w:val="8"/>
                <w:b w:val="1"/>
                <w:bCs w:val="1"/>
                <w:color w:val="auto"/>
                <w:w w:val="98"/>
              </w:rPr>
              <w:t>6.6%</w:t>
            </w:r>
          </w:p>
        </w:tc>
      </w:tr>
      <w:tr>
        <w:trPr>
          <w:trHeight w:val="93"/>
        </w:trPr>
        <w:tc>
          <w:tcPr>
            <w:tcW w:w="5060" w:type="dxa"/>
            <w:vAlign w:val="bottom"/>
            <w:gridSpan w:val="2"/>
          </w:tcPr>
          <w:p>
            <w:pPr>
              <w:ind w:left="40"/>
              <w:spacing w:after="0"/>
              <w:rPr>
                <w:sz w:val="20"/>
                <w:szCs w:val="20"/>
                <w:color w:val="auto"/>
              </w:rPr>
            </w:pPr>
            <w:r>
              <w:rPr>
                <w:rFonts w:ascii="Arial" w:cs="Arial" w:eastAsia="Arial" w:hAnsi="Arial"/>
                <w:sz w:val="8"/>
                <w:szCs w:val="8"/>
                <w:color w:val="auto"/>
              </w:rPr>
              <w:t>Other income and expenses, net (profitability of lace)</w:t>
            </w:r>
          </w:p>
        </w:tc>
        <w:tc>
          <w:tcPr>
            <w:tcW w:w="480" w:type="dxa"/>
            <w:vAlign w:val="bottom"/>
          </w:tcPr>
          <w:p>
            <w:pPr>
              <w:jc w:val="right"/>
              <w:ind w:right="159"/>
              <w:spacing w:after="0"/>
              <w:rPr>
                <w:sz w:val="20"/>
                <w:szCs w:val="20"/>
                <w:color w:val="auto"/>
              </w:rPr>
            </w:pPr>
            <w:r>
              <w:rPr>
                <w:rFonts w:ascii="Arial" w:cs="Arial" w:eastAsia="Arial" w:hAnsi="Arial"/>
                <w:sz w:val="8"/>
                <w:szCs w:val="8"/>
                <w:color w:val="auto"/>
              </w:rPr>
              <w:t>6,685</w:t>
            </w:r>
          </w:p>
        </w:tc>
        <w:tc>
          <w:tcPr>
            <w:tcW w:w="920" w:type="dxa"/>
            <w:vAlign w:val="bottom"/>
          </w:tcPr>
          <w:p>
            <w:pPr>
              <w:jc w:val="right"/>
              <w:ind w:right="179"/>
              <w:spacing w:after="0"/>
              <w:rPr>
                <w:sz w:val="20"/>
                <w:szCs w:val="20"/>
                <w:color w:val="auto"/>
              </w:rPr>
            </w:pPr>
            <w:r>
              <w:rPr>
                <w:rFonts w:ascii="Arial" w:cs="Arial" w:eastAsia="Arial" w:hAnsi="Arial"/>
                <w:sz w:val="8"/>
                <w:szCs w:val="8"/>
                <w:color w:val="auto"/>
              </w:rPr>
              <w:t>5,057</w:t>
            </w:r>
          </w:p>
        </w:tc>
        <w:tc>
          <w:tcPr>
            <w:tcW w:w="840" w:type="dxa"/>
            <w:vAlign w:val="bottom"/>
          </w:tcPr>
          <w:p>
            <w:pPr>
              <w:jc w:val="right"/>
              <w:ind w:right="119"/>
              <w:spacing w:after="0"/>
              <w:rPr>
                <w:sz w:val="20"/>
                <w:szCs w:val="20"/>
                <w:color w:val="auto"/>
              </w:rPr>
            </w:pPr>
            <w:r>
              <w:rPr>
                <w:rFonts w:ascii="Arial" w:cs="Arial" w:eastAsia="Arial" w:hAnsi="Arial"/>
                <w:sz w:val="8"/>
                <w:szCs w:val="8"/>
                <w:color w:val="auto"/>
              </w:rPr>
              <w:t>3,901</w:t>
            </w:r>
          </w:p>
        </w:tc>
        <w:tc>
          <w:tcPr>
            <w:tcW w:w="380" w:type="dxa"/>
            <w:vAlign w:val="bottom"/>
          </w:tcPr>
          <w:p>
            <w:pPr>
              <w:jc w:val="center"/>
              <w:ind w:left="79"/>
              <w:spacing w:after="0"/>
              <w:rPr>
                <w:sz w:val="20"/>
                <w:szCs w:val="20"/>
                <w:color w:val="auto"/>
              </w:rPr>
            </w:pPr>
            <w:r>
              <w:rPr>
                <w:rFonts w:ascii="Arial" w:cs="Arial" w:eastAsia="Arial" w:hAnsi="Arial"/>
                <w:sz w:val="8"/>
                <w:szCs w:val="8"/>
                <w:color w:val="auto"/>
              </w:rPr>
              <w:t>-22.9%</w:t>
            </w:r>
          </w:p>
        </w:tc>
        <w:tc>
          <w:tcPr>
            <w:tcW w:w="900" w:type="dxa"/>
            <w:vAlign w:val="bottom"/>
          </w:tcPr>
          <w:p>
            <w:pPr>
              <w:jc w:val="center"/>
              <w:ind w:left="119"/>
              <w:spacing w:after="0"/>
              <w:rPr>
                <w:sz w:val="20"/>
                <w:szCs w:val="20"/>
                <w:color w:val="auto"/>
              </w:rPr>
            </w:pPr>
            <w:r>
              <w:rPr>
                <w:rFonts w:ascii="Arial" w:cs="Arial" w:eastAsia="Arial" w:hAnsi="Arial"/>
                <w:sz w:val="8"/>
                <w:szCs w:val="8"/>
                <w:color w:val="auto"/>
              </w:rPr>
              <w:t>-41.6%</w:t>
            </w:r>
          </w:p>
        </w:tc>
        <w:tc>
          <w:tcPr>
            <w:tcW w:w="820" w:type="dxa"/>
            <w:vAlign w:val="bottom"/>
          </w:tcPr>
          <w:p>
            <w:pPr>
              <w:jc w:val="right"/>
              <w:ind w:right="159"/>
              <w:spacing w:after="0"/>
              <w:rPr>
                <w:sz w:val="20"/>
                <w:szCs w:val="20"/>
                <w:color w:val="auto"/>
              </w:rPr>
            </w:pPr>
            <w:r>
              <w:rPr>
                <w:rFonts w:ascii="Arial" w:cs="Arial" w:eastAsia="Arial" w:hAnsi="Arial"/>
                <w:sz w:val="8"/>
                <w:szCs w:val="8"/>
                <w:color w:val="auto"/>
              </w:rPr>
              <w:t>15,427</w:t>
            </w:r>
          </w:p>
        </w:tc>
        <w:tc>
          <w:tcPr>
            <w:tcW w:w="620" w:type="dxa"/>
            <w:vAlign w:val="bottom"/>
          </w:tcPr>
          <w:p>
            <w:pPr>
              <w:jc w:val="right"/>
              <w:ind w:right="99"/>
              <w:spacing w:after="0"/>
              <w:rPr>
                <w:sz w:val="20"/>
                <w:szCs w:val="20"/>
                <w:color w:val="auto"/>
              </w:rPr>
            </w:pPr>
            <w:r>
              <w:rPr>
                <w:rFonts w:ascii="Arial" w:cs="Arial" w:eastAsia="Arial" w:hAnsi="Arial"/>
                <w:sz w:val="8"/>
                <w:szCs w:val="8"/>
                <w:color w:val="auto"/>
              </w:rPr>
              <w:t>8,958</w:t>
            </w:r>
          </w:p>
        </w:tc>
        <w:tc>
          <w:tcPr>
            <w:tcW w:w="800" w:type="dxa"/>
            <w:vAlign w:val="bottom"/>
          </w:tcPr>
          <w:p>
            <w:pPr>
              <w:jc w:val="center"/>
              <w:ind w:right="59"/>
              <w:spacing w:after="0"/>
              <w:rPr>
                <w:sz w:val="20"/>
                <w:szCs w:val="20"/>
                <w:color w:val="auto"/>
              </w:rPr>
            </w:pPr>
            <w:r>
              <w:rPr>
                <w:rFonts w:ascii="Arial" w:cs="Arial" w:eastAsia="Arial" w:hAnsi="Arial"/>
                <w:sz w:val="8"/>
                <w:szCs w:val="8"/>
                <w:color w:val="auto"/>
              </w:rPr>
              <w:t>-41.9%</w:t>
            </w:r>
          </w:p>
        </w:tc>
      </w:tr>
      <w:tr>
        <w:trPr>
          <w:trHeight w:val="93"/>
        </w:trPr>
        <w:tc>
          <w:tcPr>
            <w:tcW w:w="5060" w:type="dxa"/>
            <w:vAlign w:val="bottom"/>
            <w:gridSpan w:val="2"/>
          </w:tcPr>
          <w:p>
            <w:pPr>
              <w:ind w:left="40"/>
              <w:spacing w:after="0"/>
              <w:rPr>
                <w:sz w:val="20"/>
                <w:szCs w:val="20"/>
                <w:color w:val="auto"/>
              </w:rPr>
            </w:pPr>
            <w:r>
              <w:rPr>
                <w:rFonts w:ascii="Arial" w:cs="Arial" w:eastAsia="Arial" w:hAnsi="Arial"/>
                <w:sz w:val="8"/>
                <w:szCs w:val="8"/>
                <w:color w:val="auto"/>
              </w:rPr>
              <w:t>Income tax</w:t>
            </w:r>
          </w:p>
        </w:tc>
        <w:tc>
          <w:tcPr>
            <w:tcW w:w="480" w:type="dxa"/>
            <w:vAlign w:val="bottom"/>
          </w:tcPr>
          <w:p>
            <w:pPr>
              <w:jc w:val="right"/>
              <w:ind w:right="119"/>
              <w:spacing w:after="0"/>
              <w:rPr>
                <w:sz w:val="20"/>
                <w:szCs w:val="20"/>
                <w:color w:val="auto"/>
              </w:rPr>
            </w:pPr>
            <w:r>
              <w:rPr>
                <w:rFonts w:ascii="Arial" w:cs="Arial" w:eastAsia="Arial" w:hAnsi="Arial"/>
                <w:sz w:val="8"/>
                <w:szCs w:val="8"/>
                <w:color w:val="auto"/>
              </w:rPr>
              <w:t>(13,499)</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(14,297)</w:t>
            </w:r>
          </w:p>
        </w:tc>
        <w:tc>
          <w:tcPr>
            <w:tcW w:w="840" w:type="dxa"/>
            <w:vAlign w:val="bottom"/>
          </w:tcPr>
          <w:p>
            <w:pPr>
              <w:jc w:val="right"/>
              <w:ind w:right="79"/>
              <w:spacing w:after="0"/>
              <w:rPr>
                <w:sz w:val="20"/>
                <w:szCs w:val="20"/>
                <w:color w:val="auto"/>
              </w:rPr>
            </w:pPr>
            <w:r>
              <w:rPr>
                <w:rFonts w:ascii="Arial" w:cs="Arial" w:eastAsia="Arial" w:hAnsi="Arial"/>
                <w:sz w:val="8"/>
                <w:szCs w:val="8"/>
                <w:color w:val="auto"/>
              </w:rPr>
              <w:t>(14,266)</w:t>
            </w:r>
          </w:p>
        </w:tc>
        <w:tc>
          <w:tcPr>
            <w:tcW w:w="380" w:type="dxa"/>
            <w:vAlign w:val="bottom"/>
          </w:tcPr>
          <w:p>
            <w:pPr>
              <w:jc w:val="center"/>
              <w:ind w:left="79"/>
              <w:spacing w:after="0"/>
              <w:rPr>
                <w:sz w:val="20"/>
                <w:szCs w:val="20"/>
                <w:color w:val="auto"/>
              </w:rPr>
            </w:pPr>
            <w:r>
              <w:rPr>
                <w:rFonts w:ascii="Arial" w:cs="Arial" w:eastAsia="Arial" w:hAnsi="Arial"/>
                <w:sz w:val="8"/>
                <w:szCs w:val="8"/>
                <w:color w:val="auto"/>
              </w:rPr>
              <w:t>-0.2%</w:t>
            </w:r>
          </w:p>
        </w:tc>
        <w:tc>
          <w:tcPr>
            <w:tcW w:w="900" w:type="dxa"/>
            <w:vAlign w:val="bottom"/>
          </w:tcPr>
          <w:p>
            <w:pPr>
              <w:jc w:val="center"/>
              <w:ind w:left="139"/>
              <w:spacing w:after="0"/>
              <w:rPr>
                <w:sz w:val="20"/>
                <w:szCs w:val="20"/>
                <w:color w:val="auto"/>
              </w:rPr>
            </w:pPr>
            <w:r>
              <w:rPr>
                <w:rFonts w:ascii="Arial" w:cs="Arial" w:eastAsia="Arial" w:hAnsi="Arial"/>
                <w:sz w:val="8"/>
                <w:szCs w:val="8"/>
                <w:color w:val="auto"/>
              </w:rPr>
              <w:t>5.7%</w:t>
            </w:r>
          </w:p>
        </w:tc>
        <w:tc>
          <w:tcPr>
            <w:tcW w:w="820" w:type="dxa"/>
            <w:vAlign w:val="bottom"/>
          </w:tcPr>
          <w:p>
            <w:pPr>
              <w:jc w:val="right"/>
              <w:ind w:right="159"/>
              <w:spacing w:after="0"/>
              <w:rPr>
                <w:sz w:val="20"/>
                <w:szCs w:val="20"/>
                <w:color w:val="auto"/>
              </w:rPr>
            </w:pPr>
            <w:r>
              <w:rPr>
                <w:rFonts w:ascii="Arial" w:cs="Arial" w:eastAsia="Arial" w:hAnsi="Arial"/>
                <w:sz w:val="8"/>
                <w:szCs w:val="8"/>
                <w:color w:val="auto"/>
              </w:rPr>
              <w:t>- 26,794</w:t>
            </w:r>
          </w:p>
        </w:tc>
        <w:tc>
          <w:tcPr>
            <w:tcW w:w="620" w:type="dxa"/>
            <w:vAlign w:val="bottom"/>
          </w:tcPr>
          <w:p>
            <w:pPr>
              <w:jc w:val="right"/>
              <w:ind w:right="99"/>
              <w:spacing w:after="0"/>
              <w:rPr>
                <w:sz w:val="20"/>
                <w:szCs w:val="20"/>
                <w:color w:val="auto"/>
              </w:rPr>
            </w:pPr>
            <w:r>
              <w:rPr>
                <w:rFonts w:ascii="Arial" w:cs="Arial" w:eastAsia="Arial" w:hAnsi="Arial"/>
                <w:sz w:val="8"/>
                <w:szCs w:val="8"/>
                <w:color w:val="auto"/>
              </w:rPr>
              <w:t>- 28,563</w:t>
            </w:r>
          </w:p>
        </w:tc>
        <w:tc>
          <w:tcPr>
            <w:tcW w:w="800" w:type="dxa"/>
            <w:vAlign w:val="bottom"/>
          </w:tcPr>
          <w:p>
            <w:pPr>
              <w:jc w:val="center"/>
              <w:ind w:right="59"/>
              <w:spacing w:after="0"/>
              <w:rPr>
                <w:sz w:val="20"/>
                <w:szCs w:val="20"/>
                <w:color w:val="auto"/>
              </w:rPr>
            </w:pPr>
            <w:r>
              <w:rPr>
                <w:rFonts w:ascii="Arial" w:cs="Arial" w:eastAsia="Arial" w:hAnsi="Arial"/>
                <w:sz w:val="8"/>
                <w:szCs w:val="8"/>
                <w:color w:val="auto"/>
                <w:w w:val="98"/>
              </w:rPr>
              <w:t>6.6%</w:t>
            </w:r>
          </w:p>
        </w:tc>
      </w:tr>
      <w:tr>
        <w:trPr>
          <w:trHeight w:val="93"/>
        </w:trPr>
        <w:tc>
          <w:tcPr>
            <w:tcW w:w="5060" w:type="dxa"/>
            <w:vAlign w:val="bottom"/>
            <w:gridSpan w:val="2"/>
          </w:tcPr>
          <w:p>
            <w:pPr>
              <w:ind w:left="40"/>
              <w:spacing w:after="0"/>
              <w:rPr>
                <w:sz w:val="20"/>
                <w:szCs w:val="20"/>
                <w:color w:val="auto"/>
              </w:rPr>
            </w:pPr>
            <w:r>
              <w:rPr>
                <w:rFonts w:ascii="Arial" w:cs="Arial" w:eastAsia="Arial" w:hAnsi="Arial"/>
                <w:sz w:val="8"/>
                <w:szCs w:val="8"/>
                <w:b w:val="1"/>
                <w:bCs w:val="1"/>
                <w:color w:val="auto"/>
              </w:rPr>
              <w:t>Net income before translation results</w:t>
            </w:r>
          </w:p>
        </w:tc>
        <w:tc>
          <w:tcPr>
            <w:tcW w:w="480" w:type="dxa"/>
            <w:vAlign w:val="bottom"/>
          </w:tcPr>
          <w:p>
            <w:pPr>
              <w:jc w:val="right"/>
              <w:ind w:right="159"/>
              <w:spacing w:after="0"/>
              <w:rPr>
                <w:sz w:val="20"/>
                <w:szCs w:val="20"/>
                <w:color w:val="auto"/>
              </w:rPr>
            </w:pPr>
            <w:r>
              <w:rPr>
                <w:rFonts w:ascii="Arial" w:cs="Arial" w:eastAsia="Arial" w:hAnsi="Arial"/>
                <w:sz w:val="8"/>
                <w:szCs w:val="8"/>
                <w:b w:val="1"/>
                <w:bCs w:val="1"/>
                <w:color w:val="auto"/>
              </w:rPr>
              <w:t>37,104</w:t>
            </w:r>
          </w:p>
        </w:tc>
        <w:tc>
          <w:tcPr>
            <w:tcW w:w="920" w:type="dxa"/>
            <w:vAlign w:val="bottom"/>
          </w:tcPr>
          <w:p>
            <w:pPr>
              <w:jc w:val="right"/>
              <w:ind w:right="179"/>
              <w:spacing w:after="0"/>
              <w:rPr>
                <w:sz w:val="20"/>
                <w:szCs w:val="20"/>
                <w:color w:val="auto"/>
              </w:rPr>
            </w:pPr>
            <w:r>
              <w:rPr>
                <w:rFonts w:ascii="Arial" w:cs="Arial" w:eastAsia="Arial" w:hAnsi="Arial"/>
                <w:sz w:val="8"/>
                <w:szCs w:val="8"/>
                <w:b w:val="1"/>
                <w:bCs w:val="1"/>
                <w:color w:val="auto"/>
              </w:rPr>
              <w:t>37,269</w:t>
            </w:r>
          </w:p>
        </w:tc>
        <w:tc>
          <w:tcPr>
            <w:tcW w:w="840" w:type="dxa"/>
            <w:vAlign w:val="bottom"/>
          </w:tcPr>
          <w:p>
            <w:pPr>
              <w:jc w:val="right"/>
              <w:ind w:right="119"/>
              <w:spacing w:after="0"/>
              <w:rPr>
                <w:sz w:val="20"/>
                <w:szCs w:val="20"/>
                <w:color w:val="auto"/>
              </w:rPr>
            </w:pPr>
            <w:r>
              <w:rPr>
                <w:rFonts w:ascii="Arial" w:cs="Arial" w:eastAsia="Arial" w:hAnsi="Arial"/>
                <w:sz w:val="8"/>
                <w:szCs w:val="8"/>
                <w:b w:val="1"/>
                <w:bCs w:val="1"/>
                <w:color w:val="auto"/>
              </w:rPr>
              <w:t>37,256</w:t>
            </w:r>
          </w:p>
        </w:tc>
        <w:tc>
          <w:tcPr>
            <w:tcW w:w="380" w:type="dxa"/>
            <w:vAlign w:val="bottom"/>
          </w:tcPr>
          <w:p>
            <w:pPr>
              <w:jc w:val="center"/>
              <w:ind w:left="79"/>
              <w:spacing w:after="0"/>
              <w:rPr>
                <w:sz w:val="20"/>
                <w:szCs w:val="20"/>
                <w:color w:val="auto"/>
              </w:rPr>
            </w:pPr>
            <w:r>
              <w:rPr>
                <w:rFonts w:ascii="Arial" w:cs="Arial" w:eastAsia="Arial" w:hAnsi="Arial"/>
                <w:sz w:val="8"/>
                <w:szCs w:val="8"/>
                <w:b w:val="1"/>
                <w:bCs w:val="1"/>
                <w:color w:val="auto"/>
                <w:w w:val="98"/>
              </w:rPr>
              <w:t>0.0%</w:t>
            </w:r>
          </w:p>
        </w:tc>
        <w:tc>
          <w:tcPr>
            <w:tcW w:w="900" w:type="dxa"/>
            <w:vAlign w:val="bottom"/>
          </w:tcPr>
          <w:p>
            <w:pPr>
              <w:jc w:val="center"/>
              <w:ind w:left="139"/>
              <w:spacing w:after="0"/>
              <w:rPr>
                <w:sz w:val="20"/>
                <w:szCs w:val="20"/>
                <w:color w:val="auto"/>
              </w:rPr>
            </w:pPr>
            <w:r>
              <w:rPr>
                <w:rFonts w:ascii="Arial" w:cs="Arial" w:eastAsia="Arial" w:hAnsi="Arial"/>
                <w:sz w:val="8"/>
                <w:szCs w:val="8"/>
                <w:b w:val="1"/>
                <w:bCs w:val="1"/>
                <w:color w:val="auto"/>
              </w:rPr>
              <w:t>0.4%</w:t>
            </w:r>
          </w:p>
        </w:tc>
        <w:tc>
          <w:tcPr>
            <w:tcW w:w="820" w:type="dxa"/>
            <w:vAlign w:val="bottom"/>
          </w:tcPr>
          <w:p>
            <w:pPr>
              <w:jc w:val="right"/>
              <w:ind w:right="159"/>
              <w:spacing w:after="0"/>
              <w:rPr>
                <w:sz w:val="20"/>
                <w:szCs w:val="20"/>
                <w:color w:val="auto"/>
              </w:rPr>
            </w:pPr>
            <w:r>
              <w:rPr>
                <w:rFonts w:ascii="Arial" w:cs="Arial" w:eastAsia="Arial" w:hAnsi="Arial"/>
                <w:sz w:val="8"/>
                <w:szCs w:val="8"/>
                <w:b w:val="1"/>
                <w:bCs w:val="1"/>
                <w:color w:val="auto"/>
              </w:rPr>
              <w:t>76,903</w:t>
            </w:r>
          </w:p>
        </w:tc>
        <w:tc>
          <w:tcPr>
            <w:tcW w:w="620" w:type="dxa"/>
            <w:vAlign w:val="bottom"/>
          </w:tcPr>
          <w:p>
            <w:pPr>
              <w:jc w:val="right"/>
              <w:ind w:right="99"/>
              <w:spacing w:after="0"/>
              <w:rPr>
                <w:sz w:val="20"/>
                <w:szCs w:val="20"/>
                <w:color w:val="auto"/>
              </w:rPr>
            </w:pPr>
            <w:r>
              <w:rPr>
                <w:rFonts w:ascii="Arial" w:cs="Arial" w:eastAsia="Arial" w:hAnsi="Arial"/>
                <w:sz w:val="8"/>
                <w:szCs w:val="8"/>
                <w:b w:val="1"/>
                <w:bCs w:val="1"/>
                <w:color w:val="auto"/>
              </w:rPr>
              <w:t>74,525</w:t>
            </w:r>
          </w:p>
        </w:tc>
        <w:tc>
          <w:tcPr>
            <w:tcW w:w="800" w:type="dxa"/>
            <w:vAlign w:val="bottom"/>
          </w:tcPr>
          <w:p>
            <w:pPr>
              <w:jc w:val="center"/>
              <w:ind w:right="59"/>
              <w:spacing w:after="0"/>
              <w:rPr>
                <w:sz w:val="20"/>
                <w:szCs w:val="20"/>
                <w:color w:val="auto"/>
              </w:rPr>
            </w:pPr>
            <w:r>
              <w:rPr>
                <w:rFonts w:ascii="Arial" w:cs="Arial" w:eastAsia="Arial" w:hAnsi="Arial"/>
                <w:sz w:val="8"/>
                <w:szCs w:val="8"/>
                <w:b w:val="1"/>
                <w:bCs w:val="1"/>
                <w:color w:val="auto"/>
              </w:rPr>
              <w:t>-3.1%</w:t>
            </w:r>
          </w:p>
        </w:tc>
      </w:tr>
      <w:tr>
        <w:trPr>
          <w:trHeight w:val="93"/>
        </w:trPr>
        <w:tc>
          <w:tcPr>
            <w:tcW w:w="5060" w:type="dxa"/>
            <w:vAlign w:val="bottom"/>
            <w:gridSpan w:val="2"/>
          </w:tcPr>
          <w:p>
            <w:pPr>
              <w:ind w:left="40"/>
              <w:spacing w:after="0"/>
              <w:rPr>
                <w:sz w:val="20"/>
                <w:szCs w:val="20"/>
                <w:color w:val="auto"/>
              </w:rPr>
            </w:pPr>
            <w:r>
              <w:rPr>
                <w:rFonts w:ascii="Arial" w:cs="Arial" w:eastAsia="Arial" w:hAnsi="Arial"/>
                <w:sz w:val="8"/>
                <w:szCs w:val="8"/>
                <w:color w:val="auto"/>
              </w:rPr>
              <w:t>Translations results</w:t>
            </w:r>
          </w:p>
        </w:tc>
        <w:tc>
          <w:tcPr>
            <w:tcW w:w="480" w:type="dxa"/>
            <w:vAlign w:val="bottom"/>
          </w:tcPr>
          <w:p>
            <w:pPr>
              <w:jc w:val="right"/>
              <w:ind w:right="159"/>
              <w:spacing w:after="0"/>
              <w:rPr>
                <w:sz w:val="20"/>
                <w:szCs w:val="20"/>
                <w:color w:val="auto"/>
              </w:rPr>
            </w:pPr>
            <w:r>
              <w:rPr>
                <w:rFonts w:ascii="Arial" w:cs="Arial" w:eastAsia="Arial" w:hAnsi="Arial"/>
                <w:sz w:val="8"/>
                <w:szCs w:val="8"/>
                <w:color w:val="auto"/>
              </w:rPr>
              <w:t>310</w:t>
            </w:r>
          </w:p>
        </w:tc>
        <w:tc>
          <w:tcPr>
            <w:tcW w:w="920" w:type="dxa"/>
            <w:vAlign w:val="bottom"/>
          </w:tcPr>
          <w:p>
            <w:pPr>
              <w:jc w:val="right"/>
              <w:ind w:right="159"/>
              <w:spacing w:after="0"/>
              <w:rPr>
                <w:sz w:val="20"/>
                <w:szCs w:val="20"/>
                <w:color w:val="auto"/>
              </w:rPr>
            </w:pPr>
            <w:r>
              <w:rPr>
                <w:rFonts w:ascii="Arial" w:cs="Arial" w:eastAsia="Arial" w:hAnsi="Arial"/>
                <w:sz w:val="8"/>
                <w:szCs w:val="8"/>
                <w:color w:val="auto"/>
              </w:rPr>
              <w:t>(256)</w:t>
            </w:r>
          </w:p>
        </w:tc>
        <w:tc>
          <w:tcPr>
            <w:tcW w:w="840" w:type="dxa"/>
            <w:vAlign w:val="bottom"/>
          </w:tcPr>
          <w:p>
            <w:pPr>
              <w:jc w:val="right"/>
              <w:ind w:right="79"/>
              <w:spacing w:after="0"/>
              <w:rPr>
                <w:sz w:val="20"/>
                <w:szCs w:val="20"/>
                <w:color w:val="auto"/>
              </w:rPr>
            </w:pPr>
            <w:r>
              <w:rPr>
                <w:rFonts w:ascii="Arial" w:cs="Arial" w:eastAsia="Arial" w:hAnsi="Arial"/>
                <w:sz w:val="8"/>
                <w:szCs w:val="8"/>
                <w:color w:val="auto"/>
              </w:rPr>
              <w:t>(351)</w:t>
            </w:r>
          </w:p>
        </w:tc>
        <w:tc>
          <w:tcPr>
            <w:tcW w:w="380" w:type="dxa"/>
            <w:vAlign w:val="bottom"/>
          </w:tcPr>
          <w:p>
            <w:pPr>
              <w:jc w:val="center"/>
              <w:ind w:left="59"/>
              <w:spacing w:after="0"/>
              <w:rPr>
                <w:sz w:val="20"/>
                <w:szCs w:val="20"/>
                <w:color w:val="auto"/>
              </w:rPr>
            </w:pPr>
            <w:r>
              <w:rPr>
                <w:rFonts w:ascii="Arial" w:cs="Arial" w:eastAsia="Arial" w:hAnsi="Arial"/>
                <w:sz w:val="8"/>
                <w:szCs w:val="8"/>
                <w:color w:val="auto"/>
              </w:rPr>
              <w:t>36.9%</w:t>
            </w:r>
          </w:p>
        </w:tc>
        <w:tc>
          <w:tcPr>
            <w:tcW w:w="900" w:type="dxa"/>
            <w:vAlign w:val="bottom"/>
          </w:tcPr>
          <w:p>
            <w:pPr>
              <w:jc w:val="center"/>
              <w:ind w:left="139"/>
              <w:spacing w:after="0"/>
              <w:rPr>
                <w:sz w:val="20"/>
                <w:szCs w:val="20"/>
                <w:color w:val="auto"/>
              </w:rPr>
            </w:pPr>
            <w:r>
              <w:rPr>
                <w:rFonts w:ascii="Arial" w:cs="Arial" w:eastAsia="Arial" w:hAnsi="Arial"/>
                <w:sz w:val="8"/>
                <w:szCs w:val="8"/>
                <w:color w:val="auto"/>
              </w:rPr>
              <w:t>-213.3%</w:t>
            </w:r>
          </w:p>
        </w:tc>
        <w:tc>
          <w:tcPr>
            <w:tcW w:w="820" w:type="dxa"/>
            <w:vAlign w:val="bottom"/>
          </w:tcPr>
          <w:p>
            <w:pPr>
              <w:jc w:val="right"/>
              <w:ind w:right="159"/>
              <w:spacing w:after="0"/>
              <w:rPr>
                <w:sz w:val="20"/>
                <w:szCs w:val="20"/>
                <w:color w:val="auto"/>
              </w:rPr>
            </w:pPr>
            <w:r>
              <w:rPr>
                <w:rFonts w:ascii="Arial" w:cs="Arial" w:eastAsia="Arial" w:hAnsi="Arial"/>
                <w:sz w:val="8"/>
                <w:szCs w:val="8"/>
                <w:color w:val="auto"/>
              </w:rPr>
              <w:t>268</w:t>
            </w:r>
          </w:p>
        </w:tc>
        <w:tc>
          <w:tcPr>
            <w:tcW w:w="620" w:type="dxa"/>
            <w:vAlign w:val="bottom"/>
          </w:tcPr>
          <w:p>
            <w:pPr>
              <w:jc w:val="right"/>
              <w:ind w:right="99"/>
              <w:spacing w:after="0"/>
              <w:rPr>
                <w:sz w:val="20"/>
                <w:szCs w:val="20"/>
                <w:color w:val="auto"/>
              </w:rPr>
            </w:pPr>
            <w:r>
              <w:rPr>
                <w:rFonts w:ascii="Arial" w:cs="Arial" w:eastAsia="Arial" w:hAnsi="Arial"/>
                <w:sz w:val="8"/>
                <w:szCs w:val="8"/>
                <w:color w:val="auto"/>
              </w:rPr>
              <w:t>- 608</w:t>
            </w:r>
          </w:p>
        </w:tc>
        <w:tc>
          <w:tcPr>
            <w:tcW w:w="800" w:type="dxa"/>
            <w:vAlign w:val="bottom"/>
          </w:tcPr>
          <w:p>
            <w:pPr>
              <w:jc w:val="center"/>
              <w:ind w:right="59"/>
              <w:spacing w:after="0"/>
              <w:rPr>
                <w:sz w:val="20"/>
                <w:szCs w:val="20"/>
                <w:color w:val="auto"/>
              </w:rPr>
            </w:pPr>
            <w:r>
              <w:rPr>
                <w:rFonts w:ascii="Arial" w:cs="Arial" w:eastAsia="Arial" w:hAnsi="Arial"/>
                <w:sz w:val="8"/>
                <w:szCs w:val="8"/>
                <w:color w:val="auto"/>
              </w:rPr>
              <w:t>-326.3%</w:t>
            </w:r>
          </w:p>
        </w:tc>
      </w:tr>
      <w:tr>
        <w:trPr>
          <w:trHeight w:val="103"/>
        </w:trPr>
        <w:tc>
          <w:tcPr>
            <w:tcW w:w="5060" w:type="dxa"/>
            <w:vAlign w:val="bottom"/>
            <w:tcBorders>
              <w:bottom w:val="single" w:sz="8" w:color="auto"/>
            </w:tcBorders>
            <w:gridSpan w:val="2"/>
          </w:tcPr>
          <w:p>
            <w:pPr>
              <w:ind w:left="40"/>
              <w:spacing w:after="0"/>
              <w:rPr>
                <w:sz w:val="20"/>
                <w:szCs w:val="20"/>
                <w:color w:val="auto"/>
              </w:rPr>
            </w:pPr>
            <w:r>
              <w:rPr>
                <w:rFonts w:ascii="Arial" w:cs="Arial" w:eastAsia="Arial" w:hAnsi="Arial"/>
                <w:sz w:val="8"/>
                <w:szCs w:val="8"/>
                <w:b w:val="1"/>
                <w:bCs w:val="1"/>
                <w:color w:val="auto"/>
              </w:rPr>
              <w:t>Net income</w:t>
            </w:r>
          </w:p>
        </w:tc>
        <w:tc>
          <w:tcPr>
            <w:tcW w:w="480" w:type="dxa"/>
            <w:vAlign w:val="bottom"/>
            <w:tcBorders>
              <w:bottom w:val="single" w:sz="8" w:color="auto"/>
            </w:tcBorders>
          </w:tcPr>
          <w:p>
            <w:pPr>
              <w:jc w:val="right"/>
              <w:ind w:right="159"/>
              <w:spacing w:after="0"/>
              <w:rPr>
                <w:sz w:val="20"/>
                <w:szCs w:val="20"/>
                <w:color w:val="auto"/>
              </w:rPr>
            </w:pPr>
            <w:r>
              <w:rPr>
                <w:rFonts w:ascii="Arial" w:cs="Arial" w:eastAsia="Arial" w:hAnsi="Arial"/>
                <w:sz w:val="8"/>
                <w:szCs w:val="8"/>
                <w:b w:val="1"/>
                <w:bCs w:val="1"/>
                <w:color w:val="auto"/>
              </w:rPr>
              <w:t>37,414</w:t>
            </w: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8"/>
                <w:szCs w:val="8"/>
                <w:b w:val="1"/>
                <w:bCs w:val="1"/>
                <w:color w:val="auto"/>
              </w:rPr>
              <w:t>37,013</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8"/>
                <w:szCs w:val="8"/>
                <w:b w:val="1"/>
                <w:bCs w:val="1"/>
                <w:color w:val="auto"/>
              </w:rPr>
              <w:t>36,905</w:t>
            </w:r>
          </w:p>
        </w:tc>
        <w:tc>
          <w:tcPr>
            <w:tcW w:w="380" w:type="dxa"/>
            <w:vAlign w:val="bottom"/>
            <w:tcBorders>
              <w:bottom w:val="single" w:sz="8" w:color="auto"/>
            </w:tcBorders>
          </w:tcPr>
          <w:p>
            <w:pPr>
              <w:jc w:val="center"/>
              <w:ind w:left="79"/>
              <w:spacing w:after="0"/>
              <w:rPr>
                <w:sz w:val="20"/>
                <w:szCs w:val="20"/>
                <w:color w:val="auto"/>
              </w:rPr>
            </w:pPr>
            <w:r>
              <w:rPr>
                <w:rFonts w:ascii="Arial" w:cs="Arial" w:eastAsia="Arial" w:hAnsi="Arial"/>
                <w:sz w:val="8"/>
                <w:szCs w:val="8"/>
                <w:b w:val="1"/>
                <w:bCs w:val="1"/>
                <w:color w:val="auto"/>
              </w:rPr>
              <w:t>-0.3%</w:t>
            </w:r>
          </w:p>
        </w:tc>
        <w:tc>
          <w:tcPr>
            <w:tcW w:w="900" w:type="dxa"/>
            <w:vAlign w:val="bottom"/>
            <w:tcBorders>
              <w:bottom w:val="single" w:sz="8" w:color="auto"/>
            </w:tcBorders>
          </w:tcPr>
          <w:p>
            <w:pPr>
              <w:jc w:val="center"/>
              <w:ind w:left="139"/>
              <w:spacing w:after="0"/>
              <w:rPr>
                <w:sz w:val="20"/>
                <w:szCs w:val="20"/>
                <w:color w:val="auto"/>
              </w:rPr>
            </w:pPr>
            <w:r>
              <w:rPr>
                <w:rFonts w:ascii="Arial" w:cs="Arial" w:eastAsia="Arial" w:hAnsi="Arial"/>
                <w:sz w:val="8"/>
                <w:szCs w:val="8"/>
                <w:b w:val="1"/>
                <w:bCs w:val="1"/>
                <w:color w:val="auto"/>
                <w:w w:val="95"/>
              </w:rPr>
              <w:t>-1.4%</w:t>
            </w: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8"/>
                <w:szCs w:val="8"/>
                <w:b w:val="1"/>
                <w:bCs w:val="1"/>
                <w:color w:val="auto"/>
              </w:rPr>
              <w:t>77,171</w:t>
            </w: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8"/>
                <w:szCs w:val="8"/>
                <w:b w:val="1"/>
                <w:bCs w:val="1"/>
                <w:color w:val="auto"/>
              </w:rPr>
              <w:t>73,917</w:t>
            </w:r>
          </w:p>
        </w:tc>
        <w:tc>
          <w:tcPr>
            <w:tcW w:w="800" w:type="dxa"/>
            <w:vAlign w:val="bottom"/>
            <w:tcBorders>
              <w:bottom w:val="single" w:sz="8" w:color="auto"/>
            </w:tcBorders>
          </w:tcPr>
          <w:p>
            <w:pPr>
              <w:jc w:val="center"/>
              <w:ind w:right="59"/>
              <w:spacing w:after="0"/>
              <w:rPr>
                <w:sz w:val="20"/>
                <w:szCs w:val="20"/>
                <w:color w:val="auto"/>
              </w:rPr>
            </w:pPr>
            <w:r>
              <w:rPr>
                <w:rFonts w:ascii="Arial" w:cs="Arial" w:eastAsia="Arial" w:hAnsi="Arial"/>
                <w:sz w:val="8"/>
                <w:szCs w:val="8"/>
                <w:b w:val="1"/>
                <w:bCs w:val="1"/>
                <w:color w:val="auto"/>
              </w:rPr>
              <w:t>-4.2%</w:t>
            </w:r>
          </w:p>
        </w:tc>
      </w:tr>
      <w:tr>
        <w:trPr>
          <w:trHeight w:val="89"/>
        </w:trPr>
        <w:tc>
          <w:tcPr>
            <w:tcW w:w="5060" w:type="dxa"/>
            <w:vAlign w:val="bottom"/>
            <w:gridSpan w:val="2"/>
          </w:tcPr>
          <w:p>
            <w:pPr>
              <w:ind w:left="40"/>
              <w:spacing w:after="0" w:line="89" w:lineRule="exact"/>
              <w:rPr>
                <w:sz w:val="20"/>
                <w:szCs w:val="20"/>
                <w:color w:val="auto"/>
              </w:rPr>
            </w:pPr>
            <w:r>
              <w:rPr>
                <w:rFonts w:ascii="Arial" w:cs="Arial" w:eastAsia="Arial" w:hAnsi="Arial"/>
                <w:sz w:val="8"/>
                <w:szCs w:val="8"/>
                <w:b w:val="1"/>
                <w:bCs w:val="1"/>
                <w:color w:val="auto"/>
              </w:rPr>
              <w:t>ROE (1)</w:t>
            </w:r>
          </w:p>
        </w:tc>
        <w:tc>
          <w:tcPr>
            <w:tcW w:w="480" w:type="dxa"/>
            <w:vAlign w:val="bottom"/>
          </w:tcPr>
          <w:p>
            <w:pPr>
              <w:jc w:val="right"/>
              <w:ind w:right="119"/>
              <w:spacing w:after="0" w:line="89" w:lineRule="exact"/>
              <w:rPr>
                <w:sz w:val="20"/>
                <w:szCs w:val="20"/>
                <w:color w:val="auto"/>
              </w:rPr>
            </w:pPr>
            <w:r>
              <w:rPr>
                <w:rFonts w:ascii="Arial" w:cs="Arial" w:eastAsia="Arial" w:hAnsi="Arial"/>
                <w:sz w:val="8"/>
                <w:szCs w:val="8"/>
                <w:b w:val="1"/>
                <w:bCs w:val="1"/>
                <w:color w:val="auto"/>
              </w:rPr>
              <w:t>36.6%</w:t>
            </w:r>
          </w:p>
        </w:tc>
        <w:tc>
          <w:tcPr>
            <w:tcW w:w="920" w:type="dxa"/>
            <w:vAlign w:val="bottom"/>
          </w:tcPr>
          <w:p>
            <w:pPr>
              <w:jc w:val="right"/>
              <w:ind w:right="159"/>
              <w:spacing w:after="0" w:line="89" w:lineRule="exact"/>
              <w:rPr>
                <w:sz w:val="20"/>
                <w:szCs w:val="20"/>
                <w:color w:val="auto"/>
              </w:rPr>
            </w:pPr>
            <w:r>
              <w:rPr>
                <w:rFonts w:ascii="Arial" w:cs="Arial" w:eastAsia="Arial" w:hAnsi="Arial"/>
                <w:sz w:val="8"/>
                <w:szCs w:val="8"/>
                <w:b w:val="1"/>
                <w:bCs w:val="1"/>
                <w:color w:val="auto"/>
              </w:rPr>
              <w:t>31.4%</w:t>
            </w:r>
          </w:p>
        </w:tc>
        <w:tc>
          <w:tcPr>
            <w:tcW w:w="840" w:type="dxa"/>
            <w:vAlign w:val="bottom"/>
          </w:tcPr>
          <w:p>
            <w:pPr>
              <w:jc w:val="right"/>
              <w:ind w:right="79"/>
              <w:spacing w:after="0" w:line="89" w:lineRule="exact"/>
              <w:rPr>
                <w:sz w:val="20"/>
                <w:szCs w:val="20"/>
                <w:color w:val="auto"/>
              </w:rPr>
            </w:pPr>
            <w:r>
              <w:rPr>
                <w:rFonts w:ascii="Arial" w:cs="Arial" w:eastAsia="Arial" w:hAnsi="Arial"/>
                <w:sz w:val="8"/>
                <w:szCs w:val="8"/>
                <w:b w:val="1"/>
                <w:bCs w:val="1"/>
                <w:color w:val="auto"/>
              </w:rPr>
              <w:t>32.0%</w:t>
            </w:r>
          </w:p>
        </w:tc>
        <w:tc>
          <w:tcPr>
            <w:tcW w:w="380" w:type="dxa"/>
            <w:vAlign w:val="bottom"/>
          </w:tcPr>
          <w:p>
            <w:pPr>
              <w:jc w:val="center"/>
              <w:ind w:left="79"/>
              <w:spacing w:after="0" w:line="89" w:lineRule="exact"/>
              <w:rPr>
                <w:sz w:val="20"/>
                <w:szCs w:val="20"/>
                <w:color w:val="auto"/>
              </w:rPr>
            </w:pPr>
            <w:r>
              <w:rPr>
                <w:rFonts w:ascii="Arial" w:cs="Arial" w:eastAsia="Arial" w:hAnsi="Arial"/>
                <w:sz w:val="8"/>
                <w:szCs w:val="8"/>
                <w:b w:val="1"/>
                <w:bCs w:val="1"/>
                <w:color w:val="auto"/>
              </w:rPr>
              <w:t>60 pbs</w:t>
            </w:r>
          </w:p>
        </w:tc>
        <w:tc>
          <w:tcPr>
            <w:tcW w:w="900" w:type="dxa"/>
            <w:vAlign w:val="bottom"/>
          </w:tcPr>
          <w:p>
            <w:pPr>
              <w:jc w:val="center"/>
              <w:ind w:left="139"/>
              <w:spacing w:after="0" w:line="89" w:lineRule="exact"/>
              <w:rPr>
                <w:sz w:val="20"/>
                <w:szCs w:val="20"/>
                <w:color w:val="auto"/>
              </w:rPr>
            </w:pPr>
            <w:r>
              <w:rPr>
                <w:rFonts w:ascii="Arial" w:cs="Arial" w:eastAsia="Arial" w:hAnsi="Arial"/>
                <w:sz w:val="8"/>
                <w:szCs w:val="8"/>
                <w:b w:val="1"/>
                <w:bCs w:val="1"/>
                <w:color w:val="auto"/>
                <w:w w:val="98"/>
              </w:rPr>
              <w:t>-460 pbs</w:t>
            </w:r>
          </w:p>
        </w:tc>
        <w:tc>
          <w:tcPr>
            <w:tcW w:w="820" w:type="dxa"/>
            <w:vAlign w:val="bottom"/>
          </w:tcPr>
          <w:p>
            <w:pPr>
              <w:jc w:val="right"/>
              <w:ind w:right="339"/>
              <w:spacing w:after="0" w:line="89" w:lineRule="exact"/>
              <w:rPr>
                <w:sz w:val="20"/>
                <w:szCs w:val="20"/>
                <w:color w:val="auto"/>
              </w:rPr>
            </w:pPr>
            <w:r>
              <w:rPr>
                <w:rFonts w:ascii="Arial" w:cs="Arial" w:eastAsia="Arial" w:hAnsi="Arial"/>
                <w:sz w:val="8"/>
                <w:szCs w:val="8"/>
                <w:b w:val="1"/>
                <w:bCs w:val="1"/>
                <w:color w:val="auto"/>
              </w:rPr>
              <w:t>33.4%</w:t>
            </w:r>
          </w:p>
        </w:tc>
        <w:tc>
          <w:tcPr>
            <w:tcW w:w="620" w:type="dxa"/>
            <w:vAlign w:val="bottom"/>
          </w:tcPr>
          <w:p>
            <w:pPr>
              <w:jc w:val="right"/>
              <w:ind w:right="279"/>
              <w:spacing w:after="0" w:line="89" w:lineRule="exact"/>
              <w:rPr>
                <w:sz w:val="20"/>
                <w:szCs w:val="20"/>
                <w:color w:val="auto"/>
              </w:rPr>
            </w:pPr>
            <w:r>
              <w:rPr>
                <w:rFonts w:ascii="Arial" w:cs="Arial" w:eastAsia="Arial" w:hAnsi="Arial"/>
                <w:sz w:val="8"/>
                <w:szCs w:val="8"/>
                <w:b w:val="1"/>
                <w:bCs w:val="1"/>
                <w:color w:val="auto"/>
              </w:rPr>
              <w:t>30.2%</w:t>
            </w:r>
          </w:p>
        </w:tc>
        <w:tc>
          <w:tcPr>
            <w:tcW w:w="800" w:type="dxa"/>
            <w:vAlign w:val="bottom"/>
          </w:tcPr>
          <w:p>
            <w:pPr>
              <w:jc w:val="center"/>
              <w:ind w:right="59"/>
              <w:spacing w:after="0" w:line="89" w:lineRule="exact"/>
              <w:rPr>
                <w:sz w:val="20"/>
                <w:szCs w:val="20"/>
                <w:color w:val="auto"/>
              </w:rPr>
            </w:pPr>
            <w:r>
              <w:rPr>
                <w:rFonts w:ascii="Arial" w:cs="Arial" w:eastAsia="Arial" w:hAnsi="Arial"/>
                <w:sz w:val="8"/>
                <w:szCs w:val="8"/>
                <w:b w:val="1"/>
                <w:bCs w:val="1"/>
                <w:color w:val="auto"/>
              </w:rPr>
              <w:t>-320 pbs</w:t>
            </w:r>
          </w:p>
        </w:tc>
      </w:tr>
    </w:tbl>
    <w:p>
      <w:pPr>
        <w:ind w:left="140"/>
        <w:spacing w:after="0"/>
        <w:rPr>
          <w:sz w:val="20"/>
          <w:szCs w:val="20"/>
          <w:color w:val="auto"/>
        </w:rPr>
      </w:pPr>
      <w:r>
        <w:rPr>
          <w:rFonts w:ascii="Arial" w:cs="Arial" w:eastAsia="Arial" w:hAnsi="Arial"/>
          <w:sz w:val="10"/>
          <w:szCs w:val="10"/>
          <w:color w:val="auto"/>
        </w:rPr>
        <w:t>(1) Net shareholders’ equity includes unrealized gains from Prima’s investment portfolio.</w:t>
      </w:r>
    </w:p>
    <w:p>
      <w:pPr>
        <w:spacing w:after="0" w:line="13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Funds under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5080</wp:posOffset>
            </wp:positionV>
            <wp:extent cx="5728335" cy="4832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728335" cy="483235"/>
                    </a:xfrm>
                    <a:prstGeom prst="rect">
                      <a:avLst/>
                    </a:prstGeom>
                    <a:noFill/>
                  </pic:spPr>
                </pic:pic>
              </a:graphicData>
            </a:graphic>
          </wp:anchor>
        </w:drawing>
      </w:r>
    </w:p>
    <w:tbl>
      <w:tblPr>
        <w:tblLayout w:type="fixed"/>
        <w:tblInd w:w="1140" w:type="dxa"/>
        <w:tblCellMar>
          <w:top w:w="0" w:type="dxa"/>
          <w:left w:w="0" w:type="dxa"/>
          <w:bottom w:w="0" w:type="dxa"/>
          <w:right w:w="0" w:type="dxa"/>
        </w:tblCellMar>
      </w:tblPr>
      <w:tr>
        <w:trPr>
          <w:trHeight w:val="79"/>
        </w:trPr>
        <w:tc>
          <w:tcPr>
            <w:tcW w:w="3120" w:type="dxa"/>
            <w:vAlign w:val="bottom"/>
            <w:tcBorders>
              <w:top w:val="single" w:sz="8" w:color="auto"/>
            </w:tcBorders>
            <w:vMerge w:val="restart"/>
            <w:shd w:val="clear" w:color="auto" w:fill="2AD2C9"/>
          </w:tcPr>
          <w:p>
            <w:pPr>
              <w:ind w:left="40"/>
              <w:spacing w:after="0"/>
              <w:rPr>
                <w:sz w:val="20"/>
                <w:szCs w:val="20"/>
                <w:color w:val="auto"/>
              </w:rPr>
            </w:pPr>
            <w:r>
              <w:rPr>
                <w:rFonts w:ascii="Arial" w:cs="Arial" w:eastAsia="Arial" w:hAnsi="Arial"/>
                <w:sz w:val="10"/>
                <w:szCs w:val="10"/>
                <w:b w:val="1"/>
                <w:bCs w:val="1"/>
                <w:color w:val="FFFFFF"/>
              </w:rPr>
              <w:t>Funds under management</w:t>
            </w:r>
          </w:p>
        </w:tc>
        <w:tc>
          <w:tcPr>
            <w:tcW w:w="2720" w:type="dxa"/>
            <w:vAlign w:val="bottom"/>
            <w:tcBorders>
              <w:top w:val="single" w:sz="8" w:color="auto"/>
            </w:tcBorders>
            <w:vMerge w:val="restart"/>
            <w:shd w:val="clear" w:color="auto" w:fill="2AD2C9"/>
          </w:tcPr>
          <w:p>
            <w:pPr>
              <w:ind w:left="1900"/>
              <w:spacing w:after="0"/>
              <w:rPr>
                <w:sz w:val="20"/>
                <w:szCs w:val="20"/>
                <w:color w:val="auto"/>
              </w:rPr>
            </w:pPr>
            <w:r>
              <w:rPr>
                <w:rFonts w:ascii="Arial" w:cs="Arial" w:eastAsia="Arial" w:hAnsi="Arial"/>
                <w:sz w:val="10"/>
                <w:szCs w:val="10"/>
                <w:b w:val="1"/>
                <w:bCs w:val="1"/>
                <w:color w:val="FFFFFF"/>
              </w:rPr>
              <w:t>Mar 24</w:t>
            </w:r>
          </w:p>
        </w:tc>
        <w:tc>
          <w:tcPr>
            <w:tcW w:w="1260" w:type="dxa"/>
            <w:vAlign w:val="bottom"/>
            <w:tcBorders>
              <w:top w:val="single" w:sz="8" w:color="auto"/>
            </w:tcBorders>
            <w:shd w:val="clear" w:color="auto" w:fill="2AD2C9"/>
          </w:tcPr>
          <w:p>
            <w:pPr>
              <w:jc w:val="center"/>
              <w:ind w:left="34"/>
              <w:spacing w:after="0" w:line="79" w:lineRule="exact"/>
              <w:rPr>
                <w:sz w:val="20"/>
                <w:szCs w:val="20"/>
                <w:color w:val="auto"/>
              </w:rPr>
            </w:pPr>
            <w:r>
              <w:rPr>
                <w:rFonts w:ascii="Arial" w:cs="Arial" w:eastAsia="Arial" w:hAnsi="Arial"/>
                <w:sz w:val="8"/>
                <w:szCs w:val="8"/>
                <w:b w:val="1"/>
                <w:bCs w:val="1"/>
                <w:color w:val="FFFFFF"/>
              </w:rPr>
              <w:t>Mar 24</w:t>
            </w:r>
          </w:p>
        </w:tc>
        <w:tc>
          <w:tcPr>
            <w:tcW w:w="980" w:type="dxa"/>
            <w:vAlign w:val="bottom"/>
            <w:tcBorders>
              <w:top w:val="single" w:sz="8" w:color="auto"/>
            </w:tcBorders>
            <w:vMerge w:val="restart"/>
            <w:shd w:val="clear" w:color="auto" w:fill="2AD2C9"/>
          </w:tcPr>
          <w:p>
            <w:pPr>
              <w:ind w:left="400"/>
              <w:spacing w:after="0"/>
              <w:rPr>
                <w:sz w:val="20"/>
                <w:szCs w:val="20"/>
                <w:color w:val="auto"/>
              </w:rPr>
            </w:pPr>
            <w:r>
              <w:rPr>
                <w:rFonts w:ascii="Arial" w:cs="Arial" w:eastAsia="Arial" w:hAnsi="Arial"/>
                <w:sz w:val="10"/>
                <w:szCs w:val="10"/>
                <w:b w:val="1"/>
                <w:bCs w:val="1"/>
                <w:color w:val="FFFFFF"/>
              </w:rPr>
              <w:t>Jun 24</w:t>
            </w:r>
          </w:p>
        </w:tc>
        <w:tc>
          <w:tcPr>
            <w:tcW w:w="920" w:type="dxa"/>
            <w:vAlign w:val="bottom"/>
            <w:tcBorders>
              <w:top w:val="single" w:sz="8" w:color="auto"/>
            </w:tcBorders>
            <w:shd w:val="clear" w:color="auto" w:fill="2AD2C9"/>
          </w:tcPr>
          <w:p>
            <w:pPr>
              <w:jc w:val="center"/>
              <w:spacing w:after="0" w:line="79" w:lineRule="exact"/>
              <w:rPr>
                <w:sz w:val="20"/>
                <w:szCs w:val="20"/>
                <w:color w:val="auto"/>
              </w:rPr>
            </w:pPr>
            <w:r>
              <w:rPr>
                <w:rFonts w:ascii="Arial" w:cs="Arial" w:eastAsia="Arial" w:hAnsi="Arial"/>
                <w:sz w:val="8"/>
                <w:szCs w:val="8"/>
                <w:b w:val="1"/>
                <w:bCs w:val="1"/>
                <w:color w:val="FFFFFF"/>
              </w:rPr>
              <w:t>Jun 24</w:t>
            </w:r>
          </w:p>
        </w:tc>
        <w:tc>
          <w:tcPr>
            <w:tcW w:w="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3120" w:type="dxa"/>
            <w:vAlign w:val="bottom"/>
            <w:tcBorders>
              <w:bottom w:val="single" w:sz="8" w:color="2AD2C9"/>
            </w:tcBorders>
            <w:vMerge w:val="continue"/>
            <w:shd w:val="clear" w:color="auto" w:fill="2AD2C9"/>
          </w:tcPr>
          <w:p>
            <w:pPr>
              <w:spacing w:after="0"/>
              <w:rPr>
                <w:sz w:val="10"/>
                <w:szCs w:val="10"/>
                <w:color w:val="auto"/>
              </w:rPr>
            </w:pPr>
          </w:p>
        </w:tc>
        <w:tc>
          <w:tcPr>
            <w:tcW w:w="2720" w:type="dxa"/>
            <w:vAlign w:val="bottom"/>
            <w:tcBorders>
              <w:bottom w:val="single" w:sz="8" w:color="2AD2C9"/>
            </w:tcBorders>
            <w:vMerge w:val="continue"/>
            <w:shd w:val="clear" w:color="auto" w:fill="2AD2C9"/>
          </w:tcPr>
          <w:p>
            <w:pPr>
              <w:spacing w:after="0"/>
              <w:rPr>
                <w:sz w:val="10"/>
                <w:szCs w:val="10"/>
                <w:color w:val="auto"/>
              </w:rPr>
            </w:pPr>
          </w:p>
        </w:tc>
        <w:tc>
          <w:tcPr>
            <w:tcW w:w="1260" w:type="dxa"/>
            <w:vAlign w:val="bottom"/>
            <w:tcBorders>
              <w:bottom w:val="single" w:sz="8" w:color="2AD2C9"/>
            </w:tcBorders>
            <w:shd w:val="clear" w:color="auto" w:fill="2AD2C9"/>
          </w:tcPr>
          <w:p>
            <w:pPr>
              <w:jc w:val="center"/>
              <w:ind w:left="54"/>
              <w:spacing w:after="0"/>
              <w:rPr>
                <w:sz w:val="20"/>
                <w:szCs w:val="20"/>
                <w:color w:val="auto"/>
              </w:rPr>
            </w:pPr>
            <w:r>
              <w:rPr>
                <w:rFonts w:ascii="Arial" w:cs="Arial" w:eastAsia="Arial" w:hAnsi="Arial"/>
                <w:sz w:val="10"/>
                <w:szCs w:val="10"/>
                <w:b w:val="1"/>
                <w:bCs w:val="1"/>
                <w:color w:val="FFFFFF"/>
                <w:w w:val="93"/>
              </w:rPr>
              <w:t>% share</w:t>
            </w:r>
          </w:p>
        </w:tc>
        <w:tc>
          <w:tcPr>
            <w:tcW w:w="980" w:type="dxa"/>
            <w:vAlign w:val="bottom"/>
            <w:tcBorders>
              <w:bottom w:val="single" w:sz="8" w:color="2AD2C9"/>
            </w:tcBorders>
            <w:vMerge w:val="continue"/>
            <w:shd w:val="clear" w:color="auto" w:fill="2AD2C9"/>
          </w:tcPr>
          <w:p>
            <w:pPr>
              <w:spacing w:after="0"/>
              <w:rPr>
                <w:sz w:val="10"/>
                <w:szCs w:val="10"/>
                <w:color w:val="auto"/>
              </w:rPr>
            </w:pPr>
          </w:p>
        </w:tc>
        <w:tc>
          <w:tcPr>
            <w:tcW w:w="920" w:type="dxa"/>
            <w:vAlign w:val="bottom"/>
            <w:tcBorders>
              <w:bottom w:val="single" w:sz="8" w:color="2AD2C9"/>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8"/>
              </w:rPr>
              <w:t>% share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120" w:type="dxa"/>
            <w:vAlign w:val="bottom"/>
            <w:tcBorders>
              <w:top w:val="single" w:sz="8" w:color="auto"/>
            </w:tcBorders>
          </w:tcPr>
          <w:p>
            <w:pPr>
              <w:ind w:left="40"/>
              <w:spacing w:after="0" w:line="81" w:lineRule="exact"/>
              <w:rPr>
                <w:sz w:val="20"/>
                <w:szCs w:val="20"/>
                <w:color w:val="auto"/>
              </w:rPr>
            </w:pPr>
            <w:r>
              <w:rPr>
                <w:rFonts w:ascii="Arial" w:cs="Arial" w:eastAsia="Arial" w:hAnsi="Arial"/>
                <w:sz w:val="8"/>
                <w:szCs w:val="8"/>
                <w:color w:val="auto"/>
              </w:rPr>
              <w:t>Fund 0</w:t>
            </w:r>
          </w:p>
        </w:tc>
        <w:tc>
          <w:tcPr>
            <w:tcW w:w="2720" w:type="dxa"/>
            <w:vAlign w:val="bottom"/>
            <w:tcBorders>
              <w:top w:val="single" w:sz="8" w:color="auto"/>
            </w:tcBorders>
          </w:tcPr>
          <w:p>
            <w:pPr>
              <w:jc w:val="center"/>
              <w:ind w:left="1353"/>
              <w:spacing w:after="0" w:line="81" w:lineRule="exact"/>
              <w:rPr>
                <w:sz w:val="20"/>
                <w:szCs w:val="20"/>
                <w:color w:val="auto"/>
              </w:rPr>
            </w:pPr>
            <w:r>
              <w:rPr>
                <w:rFonts w:ascii="Arial" w:cs="Arial" w:eastAsia="Arial" w:hAnsi="Arial"/>
                <w:sz w:val="8"/>
                <w:szCs w:val="8"/>
                <w:color w:val="auto"/>
              </w:rPr>
              <w:t>1,625</w:t>
            </w:r>
          </w:p>
        </w:tc>
        <w:tc>
          <w:tcPr>
            <w:tcW w:w="1260" w:type="dxa"/>
            <w:vAlign w:val="bottom"/>
            <w:tcBorders>
              <w:top w:val="single" w:sz="8" w:color="auto"/>
            </w:tcBorders>
          </w:tcPr>
          <w:p>
            <w:pPr>
              <w:jc w:val="center"/>
              <w:ind w:left="54"/>
              <w:spacing w:after="0" w:line="81" w:lineRule="exact"/>
              <w:rPr>
                <w:sz w:val="20"/>
                <w:szCs w:val="20"/>
                <w:color w:val="auto"/>
              </w:rPr>
            </w:pPr>
            <w:r>
              <w:rPr>
                <w:rFonts w:ascii="Arial" w:cs="Arial" w:eastAsia="Arial" w:hAnsi="Arial"/>
                <w:sz w:val="8"/>
                <w:szCs w:val="8"/>
                <w:color w:val="auto"/>
              </w:rPr>
              <w:t>4.3%</w:t>
            </w:r>
          </w:p>
        </w:tc>
        <w:tc>
          <w:tcPr>
            <w:tcW w:w="980" w:type="dxa"/>
            <w:vAlign w:val="bottom"/>
            <w:tcBorders>
              <w:top w:val="single" w:sz="8" w:color="auto"/>
            </w:tcBorders>
          </w:tcPr>
          <w:p>
            <w:pPr>
              <w:jc w:val="center"/>
              <w:ind w:left="93"/>
              <w:spacing w:after="0" w:line="81" w:lineRule="exact"/>
              <w:rPr>
                <w:sz w:val="20"/>
                <w:szCs w:val="20"/>
                <w:color w:val="auto"/>
              </w:rPr>
            </w:pPr>
            <w:r>
              <w:rPr>
                <w:rFonts w:ascii="Arial" w:cs="Arial" w:eastAsia="Arial" w:hAnsi="Arial"/>
                <w:sz w:val="8"/>
                <w:szCs w:val="8"/>
                <w:color w:val="auto"/>
              </w:rPr>
              <w:t>1,696</w:t>
            </w:r>
          </w:p>
        </w:tc>
        <w:tc>
          <w:tcPr>
            <w:tcW w:w="92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8"/>
                <w:szCs w:val="8"/>
                <w:color w:val="auto"/>
              </w:rPr>
              <w:t>4.6%</w:t>
            </w:r>
          </w:p>
        </w:tc>
        <w:tc>
          <w:tcPr>
            <w:tcW w:w="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3120" w:type="dxa"/>
            <w:vAlign w:val="bottom"/>
          </w:tcPr>
          <w:p>
            <w:pPr>
              <w:ind w:left="40"/>
              <w:spacing w:after="0" w:line="103" w:lineRule="exact"/>
              <w:rPr>
                <w:sz w:val="20"/>
                <w:szCs w:val="20"/>
                <w:color w:val="auto"/>
              </w:rPr>
            </w:pPr>
            <w:r>
              <w:rPr>
                <w:rFonts w:ascii="Arial" w:cs="Arial" w:eastAsia="Arial" w:hAnsi="Arial"/>
                <w:sz w:val="10"/>
                <w:szCs w:val="10"/>
                <w:color w:val="auto"/>
              </w:rPr>
              <w:t>Fund 1</w:t>
            </w:r>
          </w:p>
        </w:tc>
        <w:tc>
          <w:tcPr>
            <w:tcW w:w="2720" w:type="dxa"/>
            <w:vAlign w:val="bottom"/>
          </w:tcPr>
          <w:p>
            <w:pPr>
              <w:jc w:val="center"/>
              <w:ind w:left="1353"/>
              <w:spacing w:after="0" w:line="103" w:lineRule="exact"/>
              <w:rPr>
                <w:sz w:val="20"/>
                <w:szCs w:val="20"/>
                <w:color w:val="auto"/>
              </w:rPr>
            </w:pPr>
            <w:r>
              <w:rPr>
                <w:rFonts w:ascii="Arial" w:cs="Arial" w:eastAsia="Arial" w:hAnsi="Arial"/>
                <w:sz w:val="10"/>
                <w:szCs w:val="10"/>
                <w:color w:val="auto"/>
                <w:w w:val="95"/>
              </w:rPr>
              <w:t>6,540</w:t>
            </w:r>
          </w:p>
        </w:tc>
        <w:tc>
          <w:tcPr>
            <w:tcW w:w="1260" w:type="dxa"/>
            <w:vAlign w:val="bottom"/>
          </w:tcPr>
          <w:p>
            <w:pPr>
              <w:jc w:val="center"/>
              <w:ind w:left="54"/>
              <w:spacing w:after="0" w:line="103" w:lineRule="exact"/>
              <w:rPr>
                <w:sz w:val="20"/>
                <w:szCs w:val="20"/>
                <w:color w:val="auto"/>
              </w:rPr>
            </w:pPr>
            <w:r>
              <w:rPr>
                <w:rFonts w:ascii="Arial" w:cs="Arial" w:eastAsia="Arial" w:hAnsi="Arial"/>
                <w:sz w:val="10"/>
                <w:szCs w:val="10"/>
                <w:color w:val="auto"/>
                <w:w w:val="98"/>
              </w:rPr>
              <w:t>17.2%</w:t>
            </w:r>
          </w:p>
        </w:tc>
        <w:tc>
          <w:tcPr>
            <w:tcW w:w="980" w:type="dxa"/>
            <w:vAlign w:val="bottom"/>
          </w:tcPr>
          <w:p>
            <w:pPr>
              <w:jc w:val="center"/>
              <w:ind w:left="93"/>
              <w:spacing w:after="0" w:line="103" w:lineRule="exact"/>
              <w:rPr>
                <w:sz w:val="20"/>
                <w:szCs w:val="20"/>
                <w:color w:val="auto"/>
              </w:rPr>
            </w:pPr>
            <w:r>
              <w:rPr>
                <w:rFonts w:ascii="Arial" w:cs="Arial" w:eastAsia="Arial" w:hAnsi="Arial"/>
                <w:sz w:val="10"/>
                <w:szCs w:val="10"/>
                <w:color w:val="auto"/>
                <w:w w:val="95"/>
              </w:rPr>
              <w:t>6,487</w:t>
            </w:r>
          </w:p>
        </w:tc>
        <w:tc>
          <w:tcPr>
            <w:tcW w:w="920" w:type="dxa"/>
            <w:vAlign w:val="bottom"/>
          </w:tcPr>
          <w:p>
            <w:pPr>
              <w:jc w:val="center"/>
              <w:spacing w:after="0" w:line="103" w:lineRule="exact"/>
              <w:rPr>
                <w:sz w:val="20"/>
                <w:szCs w:val="20"/>
                <w:color w:val="auto"/>
              </w:rPr>
            </w:pPr>
            <w:r>
              <w:rPr>
                <w:rFonts w:ascii="Arial" w:cs="Arial" w:eastAsia="Arial" w:hAnsi="Arial"/>
                <w:sz w:val="10"/>
                <w:szCs w:val="10"/>
                <w:color w:val="auto"/>
                <w:w w:val="91"/>
              </w:rPr>
              <w:t>17.7%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3120" w:type="dxa"/>
            <w:vAlign w:val="bottom"/>
          </w:tcPr>
          <w:p>
            <w:pPr>
              <w:ind w:left="40"/>
              <w:spacing w:after="0" w:line="103" w:lineRule="exact"/>
              <w:rPr>
                <w:sz w:val="20"/>
                <w:szCs w:val="20"/>
                <w:color w:val="auto"/>
              </w:rPr>
            </w:pPr>
            <w:r>
              <w:rPr>
                <w:rFonts w:ascii="Arial" w:cs="Arial" w:eastAsia="Arial" w:hAnsi="Arial"/>
                <w:sz w:val="10"/>
                <w:szCs w:val="10"/>
                <w:color w:val="auto"/>
              </w:rPr>
              <w:t>Fund 2</w:t>
            </w:r>
          </w:p>
        </w:tc>
        <w:tc>
          <w:tcPr>
            <w:tcW w:w="2720" w:type="dxa"/>
            <w:vAlign w:val="bottom"/>
          </w:tcPr>
          <w:p>
            <w:pPr>
              <w:jc w:val="center"/>
              <w:ind w:left="1353"/>
              <w:spacing w:after="0" w:line="103" w:lineRule="exact"/>
              <w:rPr>
                <w:sz w:val="20"/>
                <w:szCs w:val="20"/>
                <w:color w:val="auto"/>
              </w:rPr>
            </w:pPr>
            <w:r>
              <w:rPr>
                <w:rFonts w:ascii="Arial" w:cs="Arial" w:eastAsia="Arial" w:hAnsi="Arial"/>
                <w:sz w:val="10"/>
                <w:szCs w:val="10"/>
                <w:color w:val="auto"/>
                <w:w w:val="91"/>
              </w:rPr>
              <w:t>26,240</w:t>
            </w:r>
          </w:p>
        </w:tc>
        <w:tc>
          <w:tcPr>
            <w:tcW w:w="1260" w:type="dxa"/>
            <w:vAlign w:val="bottom"/>
          </w:tcPr>
          <w:p>
            <w:pPr>
              <w:jc w:val="center"/>
              <w:ind w:left="54"/>
              <w:spacing w:after="0" w:line="103" w:lineRule="exact"/>
              <w:rPr>
                <w:sz w:val="20"/>
                <w:szCs w:val="20"/>
                <w:color w:val="auto"/>
              </w:rPr>
            </w:pPr>
            <w:r>
              <w:rPr>
                <w:rFonts w:ascii="Arial" w:cs="Arial" w:eastAsia="Arial" w:hAnsi="Arial"/>
                <w:sz w:val="10"/>
                <w:szCs w:val="10"/>
                <w:color w:val="auto"/>
                <w:w w:val="98"/>
              </w:rPr>
              <w:t>68.8%</w:t>
            </w:r>
          </w:p>
        </w:tc>
        <w:tc>
          <w:tcPr>
            <w:tcW w:w="980" w:type="dxa"/>
            <w:vAlign w:val="bottom"/>
          </w:tcPr>
          <w:p>
            <w:pPr>
              <w:jc w:val="center"/>
              <w:ind w:left="73"/>
              <w:spacing w:after="0" w:line="103" w:lineRule="exact"/>
              <w:rPr>
                <w:sz w:val="20"/>
                <w:szCs w:val="20"/>
                <w:color w:val="auto"/>
              </w:rPr>
            </w:pPr>
            <w:r>
              <w:rPr>
                <w:rFonts w:ascii="Arial" w:cs="Arial" w:eastAsia="Arial" w:hAnsi="Arial"/>
                <w:sz w:val="10"/>
                <w:szCs w:val="10"/>
                <w:color w:val="auto"/>
                <w:w w:val="97"/>
              </w:rPr>
              <w:t>24,896</w:t>
            </w:r>
          </w:p>
        </w:tc>
        <w:tc>
          <w:tcPr>
            <w:tcW w:w="920" w:type="dxa"/>
            <w:vAlign w:val="bottom"/>
          </w:tcPr>
          <w:p>
            <w:pPr>
              <w:jc w:val="center"/>
              <w:spacing w:after="0" w:line="103" w:lineRule="exact"/>
              <w:rPr>
                <w:sz w:val="20"/>
                <w:szCs w:val="20"/>
                <w:color w:val="auto"/>
              </w:rPr>
            </w:pPr>
            <w:r>
              <w:rPr>
                <w:rFonts w:ascii="Arial" w:cs="Arial" w:eastAsia="Arial" w:hAnsi="Arial"/>
                <w:sz w:val="10"/>
                <w:szCs w:val="10"/>
                <w:color w:val="auto"/>
                <w:w w:val="91"/>
              </w:rPr>
              <w:t>68.0%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120" w:type="dxa"/>
            <w:vAlign w:val="bottom"/>
            <w:tcBorders>
              <w:bottom w:val="single" w:sz="8" w:color="auto"/>
            </w:tcBorders>
          </w:tcPr>
          <w:p>
            <w:pPr>
              <w:ind w:left="40"/>
              <w:spacing w:after="0"/>
              <w:rPr>
                <w:sz w:val="20"/>
                <w:szCs w:val="20"/>
                <w:color w:val="auto"/>
              </w:rPr>
            </w:pPr>
            <w:r>
              <w:rPr>
                <w:rFonts w:ascii="Arial" w:cs="Arial" w:eastAsia="Arial" w:hAnsi="Arial"/>
                <w:sz w:val="10"/>
                <w:szCs w:val="10"/>
                <w:color w:val="auto"/>
              </w:rPr>
              <w:t>Fund 3</w:t>
            </w:r>
          </w:p>
        </w:tc>
        <w:tc>
          <w:tcPr>
            <w:tcW w:w="2720" w:type="dxa"/>
            <w:vAlign w:val="bottom"/>
            <w:tcBorders>
              <w:bottom w:val="single" w:sz="8" w:color="auto"/>
            </w:tcBorders>
          </w:tcPr>
          <w:p>
            <w:pPr>
              <w:jc w:val="center"/>
              <w:ind w:left="1353"/>
              <w:spacing w:after="0"/>
              <w:rPr>
                <w:sz w:val="20"/>
                <w:szCs w:val="20"/>
                <w:color w:val="auto"/>
              </w:rPr>
            </w:pPr>
            <w:r>
              <w:rPr>
                <w:rFonts w:ascii="Arial" w:cs="Arial" w:eastAsia="Arial" w:hAnsi="Arial"/>
                <w:sz w:val="10"/>
                <w:szCs w:val="10"/>
                <w:color w:val="auto"/>
                <w:w w:val="95"/>
              </w:rPr>
              <w:t>3,707</w:t>
            </w:r>
          </w:p>
        </w:tc>
        <w:tc>
          <w:tcPr>
            <w:tcW w:w="1260" w:type="dxa"/>
            <w:vAlign w:val="bottom"/>
            <w:tcBorders>
              <w:bottom w:val="single" w:sz="8" w:color="auto"/>
            </w:tcBorders>
          </w:tcPr>
          <w:p>
            <w:pPr>
              <w:jc w:val="center"/>
              <w:ind w:left="54"/>
              <w:spacing w:after="0"/>
              <w:rPr>
                <w:sz w:val="20"/>
                <w:szCs w:val="20"/>
                <w:color w:val="auto"/>
              </w:rPr>
            </w:pPr>
            <w:r>
              <w:rPr>
                <w:rFonts w:ascii="Arial" w:cs="Arial" w:eastAsia="Arial" w:hAnsi="Arial"/>
                <w:sz w:val="10"/>
                <w:szCs w:val="10"/>
                <w:color w:val="auto"/>
                <w:w w:val="87"/>
              </w:rPr>
              <w:t>9.7%</w:t>
            </w:r>
          </w:p>
        </w:tc>
        <w:tc>
          <w:tcPr>
            <w:tcW w:w="980" w:type="dxa"/>
            <w:vAlign w:val="bottom"/>
            <w:tcBorders>
              <w:bottom w:val="single" w:sz="8" w:color="auto"/>
            </w:tcBorders>
          </w:tcPr>
          <w:p>
            <w:pPr>
              <w:jc w:val="center"/>
              <w:ind w:left="93"/>
              <w:spacing w:after="0"/>
              <w:rPr>
                <w:sz w:val="20"/>
                <w:szCs w:val="20"/>
                <w:color w:val="auto"/>
              </w:rPr>
            </w:pPr>
            <w:r>
              <w:rPr>
                <w:rFonts w:ascii="Arial" w:cs="Arial" w:eastAsia="Arial" w:hAnsi="Arial"/>
                <w:sz w:val="10"/>
                <w:szCs w:val="10"/>
                <w:color w:val="auto"/>
                <w:w w:val="95"/>
              </w:rPr>
              <w:t>3,544</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9.7%</w:t>
            </w: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120" w:type="dxa"/>
            <w:vAlign w:val="bottom"/>
          </w:tcPr>
          <w:p>
            <w:pPr>
              <w:ind w:left="40"/>
              <w:spacing w:after="0" w:line="99" w:lineRule="exact"/>
              <w:rPr>
                <w:sz w:val="20"/>
                <w:szCs w:val="20"/>
                <w:color w:val="auto"/>
              </w:rPr>
            </w:pPr>
            <w:r>
              <w:rPr>
                <w:rFonts w:ascii="Arial" w:cs="Arial" w:eastAsia="Arial" w:hAnsi="Arial"/>
                <w:sz w:val="10"/>
                <w:szCs w:val="10"/>
                <w:color w:val="auto"/>
              </w:rPr>
              <w:t>Total S/ Millions</w:t>
            </w:r>
          </w:p>
        </w:tc>
        <w:tc>
          <w:tcPr>
            <w:tcW w:w="2720" w:type="dxa"/>
            <w:vAlign w:val="bottom"/>
          </w:tcPr>
          <w:p>
            <w:pPr>
              <w:jc w:val="center"/>
              <w:ind w:left="1353"/>
              <w:spacing w:after="0" w:line="99" w:lineRule="exact"/>
              <w:rPr>
                <w:sz w:val="20"/>
                <w:szCs w:val="20"/>
                <w:color w:val="auto"/>
              </w:rPr>
            </w:pPr>
            <w:r>
              <w:rPr>
                <w:rFonts w:ascii="Arial" w:cs="Arial" w:eastAsia="Arial" w:hAnsi="Arial"/>
                <w:sz w:val="10"/>
                <w:szCs w:val="10"/>
                <w:color w:val="auto"/>
                <w:w w:val="91"/>
              </w:rPr>
              <w:t>38,113</w:t>
            </w:r>
          </w:p>
        </w:tc>
        <w:tc>
          <w:tcPr>
            <w:tcW w:w="1260" w:type="dxa"/>
            <w:vAlign w:val="bottom"/>
          </w:tcPr>
          <w:p>
            <w:pPr>
              <w:jc w:val="center"/>
              <w:ind w:left="54"/>
              <w:spacing w:after="0" w:line="99" w:lineRule="exact"/>
              <w:rPr>
                <w:sz w:val="20"/>
                <w:szCs w:val="20"/>
                <w:color w:val="auto"/>
              </w:rPr>
            </w:pPr>
            <w:r>
              <w:rPr>
                <w:rFonts w:ascii="Arial" w:cs="Arial" w:eastAsia="Arial" w:hAnsi="Arial"/>
                <w:sz w:val="10"/>
                <w:szCs w:val="10"/>
                <w:color w:val="auto"/>
                <w:w w:val="93"/>
              </w:rPr>
              <w:t>100%</w:t>
            </w:r>
          </w:p>
        </w:tc>
        <w:tc>
          <w:tcPr>
            <w:tcW w:w="980" w:type="dxa"/>
            <w:vAlign w:val="bottom"/>
          </w:tcPr>
          <w:p>
            <w:pPr>
              <w:jc w:val="center"/>
              <w:ind w:left="73"/>
              <w:spacing w:after="0" w:line="99" w:lineRule="exact"/>
              <w:rPr>
                <w:sz w:val="20"/>
                <w:szCs w:val="20"/>
                <w:color w:val="auto"/>
              </w:rPr>
            </w:pPr>
            <w:r>
              <w:rPr>
                <w:rFonts w:ascii="Arial" w:cs="Arial" w:eastAsia="Arial" w:hAnsi="Arial"/>
                <w:sz w:val="10"/>
                <w:szCs w:val="10"/>
                <w:color w:val="auto"/>
                <w:w w:val="97"/>
              </w:rPr>
              <w:t>36,623</w:t>
            </w:r>
          </w:p>
        </w:tc>
        <w:tc>
          <w:tcPr>
            <w:tcW w:w="920" w:type="dxa"/>
            <w:vAlign w:val="bottom"/>
          </w:tcPr>
          <w:p>
            <w:pPr>
              <w:jc w:val="center"/>
              <w:spacing w:after="0" w:line="99" w:lineRule="exact"/>
              <w:rPr>
                <w:sz w:val="20"/>
                <w:szCs w:val="20"/>
                <w:color w:val="auto"/>
              </w:rPr>
            </w:pPr>
            <w:r>
              <w:rPr>
                <w:rFonts w:ascii="Arial" w:cs="Arial" w:eastAsia="Arial" w:hAnsi="Arial"/>
                <w:sz w:val="10"/>
                <w:szCs w:val="10"/>
                <w:color w:val="auto"/>
              </w:rPr>
              <w:t>100%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1160" w:right="8460" w:firstLine="1"/>
        <w:spacing w:after="0" w:line="229" w:lineRule="auto"/>
        <w:tabs>
          <w:tab w:leader="none" w:pos="1304" w:val="left"/>
        </w:tabs>
        <w:numPr>
          <w:ilvl w:val="0"/>
          <w:numId w:val="60"/>
        </w:numPr>
        <w:rPr>
          <w:rFonts w:ascii="Arial" w:cs="Arial" w:eastAsia="Arial" w:hAnsi="Arial"/>
          <w:sz w:val="10"/>
          <w:szCs w:val="10"/>
          <w:color w:val="auto"/>
        </w:rPr>
      </w:pPr>
      <w:r>
        <w:rPr>
          <w:rFonts w:ascii="Arial" w:cs="Arial" w:eastAsia="Arial" w:hAnsi="Arial"/>
          <w:sz w:val="10"/>
          <w:szCs w:val="10"/>
          <w:color w:val="auto"/>
        </w:rPr>
        <w:t xml:space="preserve">Information available until February. </w:t>
      </w:r>
      <w:r>
        <w:rPr>
          <w:rFonts w:ascii="Arial" w:cs="Arial" w:eastAsia="Arial" w:hAnsi="Arial"/>
          <w:sz w:val="10"/>
          <w:szCs w:val="10"/>
          <w:i w:val="1"/>
          <w:iCs w:val="1"/>
          <w:color w:val="auto"/>
        </w:rPr>
        <w:t>Source: SBS.</w:t>
      </w:r>
    </w:p>
    <w:p>
      <w:pPr>
        <w:spacing w:after="0" w:line="13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Nominal profitability over the last 12 months</w:t>
      </w:r>
    </w:p>
    <w:p>
      <w:pPr>
        <w:spacing w:after="0" w:line="8" w:lineRule="exact"/>
        <w:rPr>
          <w:sz w:val="20"/>
          <w:szCs w:val="20"/>
          <w:color w:val="auto"/>
        </w:rPr>
      </w:pPr>
    </w:p>
    <w:tbl>
      <w:tblPr>
        <w:tblLayout w:type="fixed"/>
        <w:tblInd w:w="1150" w:type="dxa"/>
        <w:tblCellMar>
          <w:top w:w="0" w:type="dxa"/>
          <w:left w:w="0" w:type="dxa"/>
          <w:bottom w:w="0" w:type="dxa"/>
          <w:right w:w="0" w:type="dxa"/>
        </w:tblCellMar>
      </w:tblPr>
      <w:tr>
        <w:trPr>
          <w:trHeight w:val="93"/>
        </w:trPr>
        <w:tc>
          <w:tcPr>
            <w:tcW w:w="5880" w:type="dxa"/>
            <w:vAlign w:val="bottom"/>
            <w:tcBorders>
              <w:top w:val="single" w:sz="8" w:color="auto"/>
              <w:left w:val="single" w:sz="8" w:color="auto"/>
              <w:bottom w:val="single" w:sz="8" w:color="auto"/>
              <w:right w:val="single" w:sz="8" w:color="auto"/>
            </w:tcBorders>
            <w:shd w:val="clear" w:color="auto" w:fill="2AD2C9"/>
          </w:tcPr>
          <w:p>
            <w:pPr>
              <w:spacing w:after="0"/>
              <w:rPr>
                <w:sz w:val="8"/>
                <w:szCs w:val="8"/>
                <w:color w:val="auto"/>
              </w:rPr>
            </w:pPr>
          </w:p>
        </w:tc>
        <w:tc>
          <w:tcPr>
            <w:tcW w:w="1580" w:type="dxa"/>
            <w:vAlign w:val="bottom"/>
            <w:tcBorders>
              <w:top w:val="single" w:sz="8" w:color="auto"/>
              <w:bottom w:val="single" w:sz="8" w:color="auto"/>
              <w:right w:val="single" w:sz="8" w:color="auto"/>
            </w:tcBorders>
            <w:shd w:val="clear" w:color="auto" w:fill="2AD2C9"/>
          </w:tcPr>
          <w:p>
            <w:pPr>
              <w:ind w:left="360"/>
              <w:spacing w:after="0" w:line="93" w:lineRule="exact"/>
              <w:rPr>
                <w:sz w:val="20"/>
                <w:szCs w:val="20"/>
                <w:color w:val="auto"/>
              </w:rPr>
            </w:pPr>
            <w:r>
              <w:rPr>
                <w:rFonts w:ascii="Arial" w:cs="Arial" w:eastAsia="Arial" w:hAnsi="Arial"/>
                <w:sz w:val="10"/>
                <w:szCs w:val="10"/>
                <w:b w:val="1"/>
                <w:bCs w:val="1"/>
                <w:color w:val="FFFFFF"/>
              </w:rPr>
              <w:t>Mar 23 / Mar 24(1)</w:t>
            </w:r>
          </w:p>
        </w:tc>
        <w:tc>
          <w:tcPr>
            <w:tcW w:w="1560" w:type="dxa"/>
            <w:vAlign w:val="bottom"/>
            <w:tcBorders>
              <w:top w:val="single" w:sz="8" w:color="auto"/>
              <w:bottom w:val="single" w:sz="8" w:color="auto"/>
              <w:right w:val="single" w:sz="8" w:color="auto"/>
            </w:tcBorders>
            <w:shd w:val="clear" w:color="auto" w:fill="2AD2C9"/>
          </w:tcPr>
          <w:p>
            <w:pPr>
              <w:ind w:left="360"/>
              <w:spacing w:after="0" w:line="93" w:lineRule="exact"/>
              <w:rPr>
                <w:sz w:val="20"/>
                <w:szCs w:val="20"/>
                <w:color w:val="auto"/>
              </w:rPr>
            </w:pPr>
            <w:r>
              <w:rPr>
                <w:rFonts w:ascii="Arial" w:cs="Arial" w:eastAsia="Arial" w:hAnsi="Arial"/>
                <w:sz w:val="10"/>
                <w:szCs w:val="10"/>
                <w:b w:val="1"/>
                <w:bCs w:val="1"/>
                <w:color w:val="FFFFFF"/>
              </w:rPr>
              <w:t>Jun 24 / Jun 23(1)</w:t>
            </w:r>
          </w:p>
        </w:tc>
      </w:tr>
      <w:tr>
        <w:trPr>
          <w:trHeight w:val="81"/>
        </w:trPr>
        <w:tc>
          <w:tcPr>
            <w:tcW w:w="5880" w:type="dxa"/>
            <w:vAlign w:val="bottom"/>
            <w:tcBorders>
              <w:left w:val="single" w:sz="8" w:color="auto"/>
              <w:right w:val="single" w:sz="8" w:color="auto"/>
            </w:tcBorders>
          </w:tcPr>
          <w:p>
            <w:pPr>
              <w:ind w:left="40"/>
              <w:spacing w:after="0" w:line="81" w:lineRule="exact"/>
              <w:rPr>
                <w:sz w:val="20"/>
                <w:szCs w:val="20"/>
                <w:color w:val="auto"/>
              </w:rPr>
            </w:pPr>
            <w:r>
              <w:rPr>
                <w:rFonts w:ascii="Arial" w:cs="Arial" w:eastAsia="Arial" w:hAnsi="Arial"/>
                <w:sz w:val="8"/>
                <w:szCs w:val="8"/>
                <w:color w:val="auto"/>
              </w:rPr>
              <w:t>Fund 0</w:t>
            </w:r>
          </w:p>
        </w:tc>
        <w:tc>
          <w:tcPr>
            <w:tcW w:w="158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8.3%</w:t>
            </w:r>
          </w:p>
        </w:tc>
        <w:tc>
          <w:tcPr>
            <w:tcW w:w="156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7.9%</w:t>
            </w:r>
          </w:p>
        </w:tc>
      </w:tr>
      <w:tr>
        <w:trPr>
          <w:trHeight w:val="103"/>
        </w:trPr>
        <w:tc>
          <w:tcPr>
            <w:tcW w:w="588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Fund 1</w:t>
            </w:r>
          </w:p>
        </w:tc>
        <w:tc>
          <w:tcPr>
            <w:tcW w:w="15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1"/>
              </w:rPr>
              <w:t>12.3%</w:t>
            </w:r>
          </w:p>
        </w:tc>
        <w:tc>
          <w:tcPr>
            <w:tcW w:w="15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6.8%</w:t>
            </w:r>
          </w:p>
        </w:tc>
      </w:tr>
      <w:tr>
        <w:trPr>
          <w:trHeight w:val="103"/>
        </w:trPr>
        <w:tc>
          <w:tcPr>
            <w:tcW w:w="588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Fund 2</w:t>
            </w:r>
          </w:p>
        </w:tc>
        <w:tc>
          <w:tcPr>
            <w:tcW w:w="15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8.7%</w:t>
            </w:r>
          </w:p>
        </w:tc>
        <w:tc>
          <w:tcPr>
            <w:tcW w:w="15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8.0%</w:t>
            </w:r>
          </w:p>
        </w:tc>
      </w:tr>
      <w:tr>
        <w:trPr>
          <w:trHeight w:val="115"/>
        </w:trPr>
        <w:tc>
          <w:tcPr>
            <w:tcW w:w="5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Fund 3</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1"/>
              </w:rPr>
              <w:t>10.1%</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12.6%</w:t>
            </w:r>
          </w:p>
        </w:tc>
      </w:tr>
      <w:tr>
        <w:trPr>
          <w:trHeight w:val="115"/>
        </w:trPr>
        <w:tc>
          <w:tcPr>
            <w:tcW w:w="5880" w:type="dxa"/>
            <w:vAlign w:val="bottom"/>
          </w:tcPr>
          <w:p>
            <w:pPr>
              <w:ind w:left="20"/>
              <w:spacing w:after="0"/>
              <w:rPr>
                <w:sz w:val="20"/>
                <w:szCs w:val="20"/>
                <w:color w:val="auto"/>
              </w:rPr>
            </w:pPr>
            <w:r>
              <w:rPr>
                <w:rFonts w:ascii="Arial" w:cs="Arial" w:eastAsia="Arial" w:hAnsi="Arial"/>
                <w:sz w:val="10"/>
                <w:szCs w:val="10"/>
                <w:color w:val="auto"/>
              </w:rPr>
              <w:t>(1) Includes new methodology of SBS to calculate quota value.</w:t>
            </w:r>
          </w:p>
        </w:tc>
        <w:tc>
          <w:tcPr>
            <w:tcW w:w="1580" w:type="dxa"/>
            <w:vAlign w:val="bottom"/>
          </w:tcPr>
          <w:p>
            <w:pPr>
              <w:spacing w:after="0"/>
              <w:rPr>
                <w:sz w:val="10"/>
                <w:szCs w:val="10"/>
                <w:color w:val="auto"/>
              </w:rPr>
            </w:pPr>
          </w:p>
        </w:tc>
        <w:tc>
          <w:tcPr>
            <w:tcW w:w="1560" w:type="dxa"/>
            <w:vAlign w:val="bottom"/>
          </w:tcPr>
          <w:p>
            <w:pPr>
              <w:spacing w:after="0"/>
              <w:rPr>
                <w:sz w:val="10"/>
                <w:szCs w:val="10"/>
                <w:color w:val="auto"/>
              </w:rPr>
            </w:pPr>
          </w:p>
        </w:tc>
      </w:tr>
    </w:tbl>
    <w:p>
      <w:pPr>
        <w:spacing w:after="0" w:line="11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AFP commissions</w:t>
      </w:r>
    </w:p>
    <w:p>
      <w:pPr>
        <w:spacing w:after="0" w:line="8" w:lineRule="exact"/>
        <w:rPr>
          <w:sz w:val="20"/>
          <w:szCs w:val="20"/>
          <w:color w:val="auto"/>
        </w:rPr>
      </w:pPr>
    </w:p>
    <w:tbl>
      <w:tblPr>
        <w:tblLayout w:type="fixed"/>
        <w:tblInd w:w="150" w:type="dxa"/>
        <w:tblCellMar>
          <w:top w:w="0" w:type="dxa"/>
          <w:left w:w="0" w:type="dxa"/>
          <w:bottom w:w="0" w:type="dxa"/>
          <w:right w:w="0" w:type="dxa"/>
        </w:tblCellMar>
      </w:tblPr>
      <w:tr>
        <w:trPr>
          <w:trHeight w:val="93"/>
        </w:trPr>
        <w:tc>
          <w:tcPr>
            <w:tcW w:w="3900" w:type="dxa"/>
            <w:vAlign w:val="bottom"/>
            <w:tcBorders>
              <w:top w:val="single" w:sz="8" w:color="auto"/>
              <w:left w:val="single" w:sz="8" w:color="auto"/>
              <w:bottom w:val="single" w:sz="8" w:color="auto"/>
              <w:right w:val="single" w:sz="8" w:color="auto"/>
            </w:tcBorders>
            <w:shd w:val="clear" w:color="auto" w:fill="2AD2C9"/>
          </w:tcPr>
          <w:p>
            <w:pPr>
              <w:ind w:left="40"/>
              <w:spacing w:after="0" w:line="93" w:lineRule="exact"/>
              <w:rPr>
                <w:sz w:val="20"/>
                <w:szCs w:val="20"/>
                <w:color w:val="auto"/>
              </w:rPr>
            </w:pPr>
            <w:r>
              <w:rPr>
                <w:rFonts w:ascii="Arial" w:cs="Arial" w:eastAsia="Arial" w:hAnsi="Arial"/>
                <w:sz w:val="10"/>
                <w:szCs w:val="10"/>
                <w:color w:val="FFFFFF"/>
              </w:rPr>
              <w:t>Fee based on flow 1.60%</w:t>
            </w:r>
          </w:p>
        </w:tc>
        <w:tc>
          <w:tcPr>
            <w:tcW w:w="5120" w:type="dxa"/>
            <w:vAlign w:val="bottom"/>
            <w:tcBorders>
              <w:top w:val="single" w:sz="8" w:color="auto"/>
              <w:bottom w:val="single" w:sz="8" w:color="auto"/>
              <w:right w:val="single" w:sz="8" w:color="auto"/>
            </w:tcBorders>
            <w:shd w:val="clear" w:color="auto" w:fill="2AD2C9"/>
          </w:tcPr>
          <w:p>
            <w:pPr>
              <w:ind w:left="20"/>
              <w:spacing w:after="0" w:line="93" w:lineRule="exact"/>
              <w:rPr>
                <w:sz w:val="20"/>
                <w:szCs w:val="20"/>
                <w:color w:val="auto"/>
              </w:rPr>
            </w:pPr>
            <w:r>
              <w:rPr>
                <w:rFonts w:ascii="Arial" w:cs="Arial" w:eastAsia="Arial" w:hAnsi="Arial"/>
                <w:sz w:val="10"/>
                <w:szCs w:val="10"/>
                <w:color w:val="FFFFFF"/>
              </w:rPr>
              <w:t>Applied to the affiliates’ monthly remuneration</w:t>
            </w:r>
          </w:p>
        </w:tc>
      </w:tr>
      <w:tr>
        <w:trPr>
          <w:trHeight w:val="81"/>
        </w:trPr>
        <w:tc>
          <w:tcPr>
            <w:tcW w:w="3900" w:type="dxa"/>
            <w:vAlign w:val="bottom"/>
            <w:tcBorders>
              <w:left w:val="single" w:sz="8" w:color="auto"/>
              <w:right w:val="single" w:sz="8" w:color="auto"/>
            </w:tcBorders>
          </w:tcPr>
          <w:p>
            <w:pPr>
              <w:ind w:left="40"/>
              <w:spacing w:after="0" w:line="81" w:lineRule="exact"/>
              <w:rPr>
                <w:sz w:val="20"/>
                <w:szCs w:val="20"/>
                <w:color w:val="auto"/>
              </w:rPr>
            </w:pPr>
            <w:r>
              <w:rPr>
                <w:rFonts w:ascii="Arial" w:cs="Arial" w:eastAsia="Arial" w:hAnsi="Arial"/>
                <w:sz w:val="8"/>
                <w:szCs w:val="8"/>
                <w:color w:val="auto"/>
              </w:rPr>
              <w:t>Mixed fee</w:t>
            </w:r>
          </w:p>
        </w:tc>
        <w:tc>
          <w:tcPr>
            <w:tcW w:w="512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Applies annualy to the new balance since February 2013 for new affiliates to the system and beginning on June 2013</w:t>
            </w:r>
          </w:p>
        </w:tc>
      </w:tr>
      <w:tr>
        <w:trPr>
          <w:trHeight w:val="115"/>
        </w:trPr>
        <w:tc>
          <w:tcPr>
            <w:tcW w:w="39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Balance 1.25%</w:t>
            </w:r>
          </w:p>
        </w:tc>
        <w:tc>
          <w:tcPr>
            <w:tcW w:w="5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5"/>
              </w:rPr>
              <w:t>for old affiliates who have chosen this commission scheme.</w:t>
            </w:r>
          </w:p>
        </w:tc>
      </w:tr>
    </w:tbl>
    <w:p>
      <w:pPr>
        <w:spacing w:after="0" w:line="140"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Main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5080</wp:posOffset>
            </wp:positionV>
            <wp:extent cx="6446520" cy="4895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446520" cy="489585"/>
                    </a:xfrm>
                    <a:prstGeom prst="rect">
                      <a:avLst/>
                    </a:prstGeom>
                    <a:noFill/>
                  </pic:spPr>
                </pic:pic>
              </a:graphicData>
            </a:graphic>
          </wp:anchor>
        </w:drawing>
      </w:r>
    </w:p>
    <w:tbl>
      <w:tblPr>
        <w:tblLayout w:type="fixed"/>
        <w:tblInd w:w="140" w:type="dxa"/>
        <w:tblCellMar>
          <w:top w:w="0" w:type="dxa"/>
          <w:left w:w="0" w:type="dxa"/>
          <w:bottom w:w="0" w:type="dxa"/>
          <w:right w:w="0" w:type="dxa"/>
        </w:tblCellMar>
      </w:tblPr>
      <w:tr>
        <w:trPr>
          <w:trHeight w:val="72"/>
        </w:trPr>
        <w:tc>
          <w:tcPr>
            <w:tcW w:w="3220" w:type="dxa"/>
            <w:vAlign w:val="bottom"/>
            <w:tcBorders>
              <w:top w:val="single" w:sz="8" w:color="auto"/>
            </w:tcBorders>
            <w:vMerge w:val="restart"/>
            <w:shd w:val="clear" w:color="auto" w:fill="2AD2C9"/>
          </w:tcPr>
          <w:p>
            <w:pPr>
              <w:ind w:left="40"/>
              <w:spacing w:after="0"/>
              <w:rPr>
                <w:sz w:val="20"/>
                <w:szCs w:val="20"/>
                <w:color w:val="auto"/>
              </w:rPr>
            </w:pPr>
            <w:r>
              <w:rPr>
                <w:rFonts w:ascii="Arial" w:cs="Arial" w:eastAsia="Arial" w:hAnsi="Arial"/>
                <w:sz w:val="8"/>
                <w:szCs w:val="8"/>
                <w:b w:val="1"/>
                <w:bCs w:val="1"/>
                <w:color w:val="FFFFFF"/>
              </w:rPr>
              <w:t>Main indicators and market share</w:t>
            </w:r>
          </w:p>
        </w:tc>
        <w:tc>
          <w:tcPr>
            <w:tcW w:w="2020" w:type="dxa"/>
            <w:vAlign w:val="bottom"/>
            <w:tcBorders>
              <w:top w:val="single" w:sz="8" w:color="auto"/>
            </w:tcBorders>
            <w:shd w:val="clear" w:color="auto" w:fill="2AD2C9"/>
          </w:tcPr>
          <w:p>
            <w:pPr>
              <w:ind w:left="1740"/>
              <w:spacing w:after="0" w:line="73" w:lineRule="exact"/>
              <w:rPr>
                <w:sz w:val="20"/>
                <w:szCs w:val="20"/>
                <w:color w:val="auto"/>
              </w:rPr>
            </w:pPr>
            <w:r>
              <w:rPr>
                <w:rFonts w:ascii="Arial" w:cs="Arial" w:eastAsia="Arial" w:hAnsi="Arial"/>
                <w:sz w:val="8"/>
                <w:szCs w:val="8"/>
                <w:b w:val="1"/>
                <w:bCs w:val="1"/>
                <w:color w:val="FFFFFF"/>
              </w:rPr>
              <w:t>Prima</w:t>
            </w:r>
          </w:p>
        </w:tc>
        <w:tc>
          <w:tcPr>
            <w:tcW w:w="1240" w:type="dxa"/>
            <w:vAlign w:val="bottom"/>
            <w:tcBorders>
              <w:top w:val="single" w:sz="8" w:color="auto"/>
            </w:tcBorders>
            <w:shd w:val="clear" w:color="auto" w:fill="2AD2C9"/>
          </w:tcPr>
          <w:p>
            <w:pPr>
              <w:jc w:val="right"/>
              <w:spacing w:after="0" w:line="73" w:lineRule="exact"/>
              <w:rPr>
                <w:sz w:val="20"/>
                <w:szCs w:val="20"/>
                <w:color w:val="auto"/>
              </w:rPr>
            </w:pPr>
            <w:r>
              <w:rPr>
                <w:rFonts w:ascii="Arial" w:cs="Arial" w:eastAsia="Arial" w:hAnsi="Arial"/>
                <w:sz w:val="8"/>
                <w:szCs w:val="8"/>
                <w:b w:val="1"/>
                <w:bCs w:val="1"/>
                <w:color w:val="FFFFFF"/>
              </w:rPr>
              <w:t>System</w:t>
            </w:r>
          </w:p>
        </w:tc>
        <w:tc>
          <w:tcPr>
            <w:tcW w:w="1140" w:type="dxa"/>
            <w:vAlign w:val="bottom"/>
            <w:tcBorders>
              <w:top w:val="single" w:sz="8" w:color="auto"/>
            </w:tcBorders>
            <w:shd w:val="clear" w:color="auto" w:fill="2AD2C9"/>
          </w:tcPr>
          <w:p>
            <w:pPr>
              <w:jc w:val="right"/>
              <w:spacing w:after="0" w:line="73" w:lineRule="exact"/>
              <w:rPr>
                <w:sz w:val="20"/>
                <w:szCs w:val="20"/>
                <w:color w:val="auto"/>
              </w:rPr>
            </w:pPr>
            <w:r>
              <w:rPr>
                <w:rFonts w:ascii="Arial" w:cs="Arial" w:eastAsia="Arial" w:hAnsi="Arial"/>
                <w:sz w:val="8"/>
                <w:szCs w:val="8"/>
                <w:b w:val="1"/>
                <w:bCs w:val="1"/>
                <w:color w:val="FFFFFF"/>
              </w:rPr>
              <w:t>% share</w:t>
            </w:r>
          </w:p>
        </w:tc>
        <w:tc>
          <w:tcPr>
            <w:tcW w:w="400" w:type="dxa"/>
            <w:vAlign w:val="bottom"/>
            <w:tcBorders>
              <w:top w:val="single" w:sz="8" w:color="auto"/>
            </w:tcBorders>
            <w:shd w:val="clear" w:color="auto" w:fill="2AD2C9"/>
          </w:tcPr>
          <w:p>
            <w:pPr>
              <w:spacing w:after="0"/>
              <w:rPr>
                <w:sz w:val="6"/>
                <w:szCs w:val="6"/>
                <w:color w:val="auto"/>
              </w:rPr>
            </w:pPr>
          </w:p>
        </w:tc>
        <w:tc>
          <w:tcPr>
            <w:tcW w:w="700" w:type="dxa"/>
            <w:vAlign w:val="bottom"/>
            <w:tcBorders>
              <w:top w:val="single" w:sz="8" w:color="auto"/>
            </w:tcBorders>
            <w:shd w:val="clear" w:color="auto" w:fill="2AD2C9"/>
          </w:tcPr>
          <w:p>
            <w:pPr>
              <w:jc w:val="right"/>
              <w:ind w:right="279"/>
              <w:spacing w:after="0" w:line="73" w:lineRule="exact"/>
              <w:rPr>
                <w:sz w:val="20"/>
                <w:szCs w:val="20"/>
                <w:color w:val="auto"/>
              </w:rPr>
            </w:pPr>
            <w:r>
              <w:rPr>
                <w:rFonts w:ascii="Arial" w:cs="Arial" w:eastAsia="Arial" w:hAnsi="Arial"/>
                <w:sz w:val="8"/>
                <w:szCs w:val="8"/>
                <w:b w:val="1"/>
                <w:bCs w:val="1"/>
                <w:color w:val="FFFFFF"/>
              </w:rPr>
              <w:t>Prima</w:t>
            </w:r>
          </w:p>
        </w:tc>
        <w:tc>
          <w:tcPr>
            <w:tcW w:w="740" w:type="dxa"/>
            <w:vAlign w:val="bottom"/>
            <w:tcBorders>
              <w:top w:val="single" w:sz="8" w:color="auto"/>
            </w:tcBorders>
            <w:shd w:val="clear" w:color="auto" w:fill="2AD2C9"/>
          </w:tcPr>
          <w:p>
            <w:pPr>
              <w:jc w:val="right"/>
              <w:ind w:right="279"/>
              <w:spacing w:after="0" w:line="73" w:lineRule="exact"/>
              <w:rPr>
                <w:sz w:val="20"/>
                <w:szCs w:val="20"/>
                <w:color w:val="auto"/>
              </w:rPr>
            </w:pPr>
            <w:r>
              <w:rPr>
                <w:rFonts w:ascii="Arial" w:cs="Arial" w:eastAsia="Arial" w:hAnsi="Arial"/>
                <w:sz w:val="8"/>
                <w:szCs w:val="8"/>
                <w:b w:val="1"/>
                <w:bCs w:val="1"/>
                <w:color w:val="FFFFFF"/>
              </w:rPr>
              <w:t>System</w:t>
            </w:r>
          </w:p>
        </w:tc>
        <w:tc>
          <w:tcPr>
            <w:tcW w:w="680" w:type="dxa"/>
            <w:vAlign w:val="bottom"/>
            <w:tcBorders>
              <w:top w:val="single" w:sz="8" w:color="auto"/>
            </w:tcBorders>
            <w:shd w:val="clear" w:color="auto" w:fill="2AD2C9"/>
          </w:tcPr>
          <w:p>
            <w:pPr>
              <w:jc w:val="right"/>
              <w:ind w:right="199"/>
              <w:spacing w:after="0" w:line="73" w:lineRule="exact"/>
              <w:rPr>
                <w:sz w:val="20"/>
                <w:szCs w:val="20"/>
                <w:color w:val="auto"/>
              </w:rPr>
            </w:pPr>
            <w:r>
              <w:rPr>
                <w:rFonts w:ascii="Arial" w:cs="Arial" w:eastAsia="Arial" w:hAnsi="Arial"/>
                <w:sz w:val="8"/>
                <w:szCs w:val="8"/>
                <w:b w:val="1"/>
                <w:bCs w:val="1"/>
                <w:color w:val="FFFFFF"/>
              </w:rPr>
              <w:t>% share</w:t>
            </w:r>
          </w:p>
        </w:tc>
        <w:tc>
          <w:tcPr>
            <w:tcW w:w="0" w:type="dxa"/>
            <w:vAlign w:val="bottom"/>
          </w:tcPr>
          <w:p>
            <w:pPr>
              <w:spacing w:after="0"/>
              <w:rPr>
                <w:sz w:val="1"/>
                <w:szCs w:val="1"/>
                <w:color w:val="auto"/>
              </w:rPr>
            </w:pPr>
          </w:p>
        </w:tc>
      </w:tr>
      <w:tr>
        <w:trPr>
          <w:trHeight w:val="103"/>
        </w:trPr>
        <w:tc>
          <w:tcPr>
            <w:tcW w:w="3220" w:type="dxa"/>
            <w:vAlign w:val="bottom"/>
            <w:tcBorders>
              <w:bottom w:val="single" w:sz="8" w:color="2AD2C9"/>
            </w:tcBorders>
            <w:vMerge w:val="continue"/>
            <w:shd w:val="clear" w:color="auto" w:fill="2AD2C9"/>
          </w:tcPr>
          <w:p>
            <w:pPr>
              <w:spacing w:after="0"/>
              <w:rPr>
                <w:sz w:val="8"/>
                <w:szCs w:val="8"/>
                <w:color w:val="auto"/>
              </w:rPr>
            </w:pPr>
          </w:p>
        </w:tc>
        <w:tc>
          <w:tcPr>
            <w:tcW w:w="2020" w:type="dxa"/>
            <w:vAlign w:val="bottom"/>
            <w:tcBorders>
              <w:bottom w:val="single" w:sz="8" w:color="2AD2C9"/>
            </w:tcBorders>
            <w:shd w:val="clear" w:color="auto" w:fill="2AD2C9"/>
          </w:tcPr>
          <w:p>
            <w:pPr>
              <w:ind w:left="1740"/>
              <w:spacing w:after="0"/>
              <w:rPr>
                <w:sz w:val="20"/>
                <w:szCs w:val="20"/>
                <w:color w:val="auto"/>
              </w:rPr>
            </w:pPr>
            <w:r>
              <w:rPr>
                <w:rFonts w:ascii="Arial" w:cs="Arial" w:eastAsia="Arial" w:hAnsi="Arial"/>
                <w:sz w:val="8"/>
                <w:szCs w:val="8"/>
                <w:b w:val="1"/>
                <w:bCs w:val="1"/>
                <w:color w:val="FFFFFF"/>
              </w:rPr>
              <w:t>1Q24</w:t>
            </w:r>
          </w:p>
        </w:tc>
        <w:tc>
          <w:tcPr>
            <w:tcW w:w="1240" w:type="dxa"/>
            <w:vAlign w:val="bottom"/>
            <w:tcBorders>
              <w:bottom w:val="single" w:sz="8" w:color="2AD2C9"/>
            </w:tcBorders>
            <w:shd w:val="clear" w:color="auto" w:fill="2AD2C9"/>
          </w:tcPr>
          <w:p>
            <w:pPr>
              <w:jc w:val="right"/>
              <w:ind w:right="59"/>
              <w:spacing w:after="0"/>
              <w:rPr>
                <w:sz w:val="20"/>
                <w:szCs w:val="20"/>
                <w:color w:val="auto"/>
              </w:rPr>
            </w:pPr>
            <w:r>
              <w:rPr>
                <w:rFonts w:ascii="Arial" w:cs="Arial" w:eastAsia="Arial" w:hAnsi="Arial"/>
                <w:sz w:val="8"/>
                <w:szCs w:val="8"/>
                <w:b w:val="1"/>
                <w:bCs w:val="1"/>
                <w:color w:val="FFFFFF"/>
              </w:rPr>
              <w:t>1Q24</w:t>
            </w:r>
          </w:p>
        </w:tc>
        <w:tc>
          <w:tcPr>
            <w:tcW w:w="1140" w:type="dxa"/>
            <w:vAlign w:val="bottom"/>
            <w:tcBorders>
              <w:bottom w:val="single" w:sz="8" w:color="2AD2C9"/>
            </w:tcBorders>
            <w:shd w:val="clear" w:color="auto" w:fill="2AD2C9"/>
          </w:tcPr>
          <w:p>
            <w:pPr>
              <w:jc w:val="right"/>
              <w:ind w:right="79"/>
              <w:spacing w:after="0"/>
              <w:rPr>
                <w:sz w:val="20"/>
                <w:szCs w:val="20"/>
                <w:color w:val="auto"/>
              </w:rPr>
            </w:pPr>
            <w:r>
              <w:rPr>
                <w:rFonts w:ascii="Arial" w:cs="Arial" w:eastAsia="Arial" w:hAnsi="Arial"/>
                <w:sz w:val="8"/>
                <w:szCs w:val="8"/>
                <w:b w:val="1"/>
                <w:bCs w:val="1"/>
                <w:color w:val="FFFFFF"/>
              </w:rPr>
              <w:t>1Q24</w:t>
            </w:r>
          </w:p>
        </w:tc>
        <w:tc>
          <w:tcPr>
            <w:tcW w:w="400" w:type="dxa"/>
            <w:vAlign w:val="bottom"/>
            <w:tcBorders>
              <w:bottom w:val="single" w:sz="8" w:color="2AD2C9"/>
            </w:tcBorders>
            <w:shd w:val="clear" w:color="auto" w:fill="2AD2C9"/>
          </w:tcPr>
          <w:p>
            <w:pPr>
              <w:spacing w:after="0"/>
              <w:rPr>
                <w:sz w:val="8"/>
                <w:szCs w:val="8"/>
                <w:color w:val="auto"/>
              </w:rPr>
            </w:pPr>
          </w:p>
        </w:tc>
        <w:tc>
          <w:tcPr>
            <w:tcW w:w="700" w:type="dxa"/>
            <w:vAlign w:val="bottom"/>
            <w:tcBorders>
              <w:bottom w:val="single" w:sz="8" w:color="2AD2C9"/>
            </w:tcBorders>
            <w:shd w:val="clear" w:color="auto" w:fill="2AD2C9"/>
          </w:tcPr>
          <w:p>
            <w:pPr>
              <w:jc w:val="right"/>
              <w:ind w:right="319"/>
              <w:spacing w:after="0"/>
              <w:rPr>
                <w:sz w:val="20"/>
                <w:szCs w:val="20"/>
                <w:color w:val="auto"/>
              </w:rPr>
            </w:pPr>
            <w:r>
              <w:rPr>
                <w:rFonts w:ascii="Arial" w:cs="Arial" w:eastAsia="Arial" w:hAnsi="Arial"/>
                <w:sz w:val="8"/>
                <w:szCs w:val="8"/>
                <w:b w:val="1"/>
                <w:bCs w:val="1"/>
                <w:color w:val="FFFFFF"/>
              </w:rPr>
              <w:t>2Q24</w:t>
            </w:r>
          </w:p>
        </w:tc>
        <w:tc>
          <w:tcPr>
            <w:tcW w:w="740" w:type="dxa"/>
            <w:vAlign w:val="bottom"/>
            <w:tcBorders>
              <w:bottom w:val="single" w:sz="8" w:color="2AD2C9"/>
            </w:tcBorders>
            <w:shd w:val="clear" w:color="auto" w:fill="2AD2C9"/>
          </w:tcPr>
          <w:p>
            <w:pPr>
              <w:jc w:val="right"/>
              <w:ind w:right="339"/>
              <w:spacing w:after="0"/>
              <w:rPr>
                <w:sz w:val="20"/>
                <w:szCs w:val="20"/>
                <w:color w:val="auto"/>
              </w:rPr>
            </w:pPr>
            <w:r>
              <w:rPr>
                <w:rFonts w:ascii="Arial" w:cs="Arial" w:eastAsia="Arial" w:hAnsi="Arial"/>
                <w:sz w:val="8"/>
                <w:szCs w:val="8"/>
                <w:b w:val="1"/>
                <w:bCs w:val="1"/>
                <w:color w:val="FFFFFF"/>
              </w:rPr>
              <w:t>2Q24</w:t>
            </w:r>
          </w:p>
        </w:tc>
        <w:tc>
          <w:tcPr>
            <w:tcW w:w="680" w:type="dxa"/>
            <w:vAlign w:val="bottom"/>
            <w:tcBorders>
              <w:bottom w:val="single" w:sz="8" w:color="2AD2C9"/>
            </w:tcBorders>
            <w:shd w:val="clear" w:color="auto" w:fill="2AD2C9"/>
          </w:tcPr>
          <w:p>
            <w:pPr>
              <w:jc w:val="right"/>
              <w:ind w:right="279"/>
              <w:spacing w:after="0"/>
              <w:rPr>
                <w:sz w:val="20"/>
                <w:szCs w:val="20"/>
                <w:color w:val="auto"/>
              </w:rPr>
            </w:pPr>
            <w:r>
              <w:rPr>
                <w:rFonts w:ascii="Arial" w:cs="Arial" w:eastAsia="Arial" w:hAnsi="Arial"/>
                <w:sz w:val="8"/>
                <w:szCs w:val="8"/>
                <w:b w:val="1"/>
                <w:bCs w:val="1"/>
                <w:color w:val="FFFFFF"/>
              </w:rPr>
              <w:t>2Q24</w:t>
            </w:r>
          </w:p>
        </w:tc>
        <w:tc>
          <w:tcPr>
            <w:tcW w:w="0" w:type="dxa"/>
            <w:vAlign w:val="bottom"/>
          </w:tcPr>
          <w:p>
            <w:pPr>
              <w:spacing w:after="0"/>
              <w:rPr>
                <w:sz w:val="1"/>
                <w:szCs w:val="1"/>
                <w:color w:val="auto"/>
              </w:rPr>
            </w:pPr>
          </w:p>
        </w:tc>
      </w:tr>
      <w:tr>
        <w:trPr>
          <w:trHeight w:val="72"/>
        </w:trPr>
        <w:tc>
          <w:tcPr>
            <w:tcW w:w="3220" w:type="dxa"/>
            <w:vAlign w:val="bottom"/>
            <w:tcBorders>
              <w:top w:val="single" w:sz="8" w:color="auto"/>
            </w:tcBorders>
          </w:tcPr>
          <w:p>
            <w:pPr>
              <w:ind w:left="40"/>
              <w:spacing w:after="0" w:line="73" w:lineRule="exact"/>
              <w:rPr>
                <w:sz w:val="20"/>
                <w:szCs w:val="20"/>
                <w:color w:val="auto"/>
              </w:rPr>
            </w:pPr>
            <w:r>
              <w:rPr>
                <w:rFonts w:ascii="Arial" w:cs="Arial" w:eastAsia="Arial" w:hAnsi="Arial"/>
                <w:sz w:val="8"/>
                <w:szCs w:val="8"/>
                <w:color w:val="auto"/>
              </w:rPr>
              <w:t>Affiliates</w:t>
            </w:r>
          </w:p>
        </w:tc>
        <w:tc>
          <w:tcPr>
            <w:tcW w:w="2020" w:type="dxa"/>
            <w:vAlign w:val="bottom"/>
            <w:tcBorders>
              <w:top w:val="single" w:sz="8" w:color="auto"/>
            </w:tcBorders>
          </w:tcPr>
          <w:p>
            <w:pPr>
              <w:spacing w:after="0"/>
              <w:rPr>
                <w:sz w:val="6"/>
                <w:szCs w:val="6"/>
                <w:color w:val="auto"/>
              </w:rPr>
            </w:pPr>
          </w:p>
        </w:tc>
        <w:tc>
          <w:tcPr>
            <w:tcW w:w="1240" w:type="dxa"/>
            <w:vAlign w:val="bottom"/>
            <w:tcBorders>
              <w:top w:val="single" w:sz="8" w:color="auto"/>
            </w:tcBorders>
          </w:tcPr>
          <w:p>
            <w:pPr>
              <w:jc w:val="right"/>
              <w:ind w:right="779"/>
              <w:spacing w:after="0" w:line="73" w:lineRule="exact"/>
              <w:rPr>
                <w:sz w:val="20"/>
                <w:szCs w:val="20"/>
                <w:color w:val="auto"/>
              </w:rPr>
            </w:pPr>
            <w:r>
              <w:rPr>
                <w:rFonts w:ascii="Arial" w:cs="Arial" w:eastAsia="Arial" w:hAnsi="Arial"/>
                <w:sz w:val="8"/>
                <w:szCs w:val="8"/>
                <w:color w:val="auto"/>
              </w:rPr>
              <w:t>2,342,539</w:t>
            </w:r>
          </w:p>
        </w:tc>
        <w:tc>
          <w:tcPr>
            <w:tcW w:w="1140" w:type="dxa"/>
            <w:vAlign w:val="bottom"/>
            <w:tcBorders>
              <w:top w:val="single" w:sz="8" w:color="auto"/>
            </w:tcBorders>
          </w:tcPr>
          <w:p>
            <w:pPr>
              <w:jc w:val="right"/>
              <w:ind w:right="699"/>
              <w:spacing w:after="0" w:line="73" w:lineRule="exact"/>
              <w:rPr>
                <w:sz w:val="20"/>
                <w:szCs w:val="20"/>
                <w:color w:val="auto"/>
              </w:rPr>
            </w:pPr>
            <w:r>
              <w:rPr>
                <w:rFonts w:ascii="Arial" w:cs="Arial" w:eastAsia="Arial" w:hAnsi="Arial"/>
                <w:sz w:val="8"/>
                <w:szCs w:val="8"/>
                <w:color w:val="auto"/>
              </w:rPr>
              <w:t>9,409,604</w:t>
            </w:r>
          </w:p>
        </w:tc>
        <w:tc>
          <w:tcPr>
            <w:tcW w:w="400" w:type="dxa"/>
            <w:vAlign w:val="bottom"/>
            <w:tcBorders>
              <w:top w:val="single" w:sz="8" w:color="auto"/>
            </w:tcBorders>
          </w:tcPr>
          <w:p>
            <w:pPr>
              <w:jc w:val="right"/>
              <w:ind w:right="79"/>
              <w:spacing w:after="0" w:line="73" w:lineRule="exact"/>
              <w:rPr>
                <w:sz w:val="20"/>
                <w:szCs w:val="20"/>
                <w:color w:val="auto"/>
              </w:rPr>
            </w:pPr>
            <w:r>
              <w:rPr>
                <w:rFonts w:ascii="Arial" w:cs="Arial" w:eastAsia="Arial" w:hAnsi="Arial"/>
                <w:sz w:val="8"/>
                <w:szCs w:val="8"/>
                <w:color w:val="auto"/>
              </w:rPr>
              <w:t>24.9%</w:t>
            </w:r>
          </w:p>
        </w:tc>
        <w:tc>
          <w:tcPr>
            <w:tcW w:w="700" w:type="dxa"/>
            <w:vAlign w:val="bottom"/>
            <w:tcBorders>
              <w:top w:val="single" w:sz="8" w:color="auto"/>
            </w:tcBorders>
          </w:tcPr>
          <w:p>
            <w:pPr>
              <w:jc w:val="right"/>
              <w:ind w:right="79"/>
              <w:spacing w:after="0" w:line="73" w:lineRule="exact"/>
              <w:rPr>
                <w:sz w:val="20"/>
                <w:szCs w:val="20"/>
                <w:color w:val="auto"/>
              </w:rPr>
            </w:pPr>
            <w:r>
              <w:rPr>
                <w:rFonts w:ascii="Arial" w:cs="Arial" w:eastAsia="Arial" w:hAnsi="Arial"/>
                <w:sz w:val="8"/>
                <w:szCs w:val="8"/>
                <w:color w:val="auto"/>
              </w:rPr>
              <w:t>2,342,823</w:t>
            </w:r>
          </w:p>
        </w:tc>
        <w:tc>
          <w:tcPr>
            <w:tcW w:w="740" w:type="dxa"/>
            <w:vAlign w:val="bottom"/>
            <w:tcBorders>
              <w:top w:val="single" w:sz="8" w:color="auto"/>
            </w:tcBorders>
          </w:tcPr>
          <w:p>
            <w:pPr>
              <w:jc w:val="right"/>
              <w:ind w:right="99"/>
              <w:spacing w:after="0" w:line="73" w:lineRule="exact"/>
              <w:rPr>
                <w:sz w:val="20"/>
                <w:szCs w:val="20"/>
                <w:color w:val="auto"/>
              </w:rPr>
            </w:pPr>
            <w:r>
              <w:rPr>
                <w:rFonts w:ascii="Arial" w:cs="Arial" w:eastAsia="Arial" w:hAnsi="Arial"/>
                <w:sz w:val="8"/>
                <w:szCs w:val="8"/>
                <w:color w:val="auto"/>
              </w:rPr>
              <w:t>9,556,177</w:t>
            </w:r>
          </w:p>
        </w:tc>
        <w:tc>
          <w:tcPr>
            <w:tcW w:w="680" w:type="dxa"/>
            <w:vAlign w:val="bottom"/>
            <w:tcBorders>
              <w:top w:val="single" w:sz="8" w:color="auto"/>
            </w:tcBorders>
          </w:tcPr>
          <w:p>
            <w:pPr>
              <w:jc w:val="right"/>
              <w:spacing w:after="0" w:line="73" w:lineRule="exact"/>
              <w:rPr>
                <w:sz w:val="20"/>
                <w:szCs w:val="20"/>
                <w:color w:val="auto"/>
              </w:rPr>
            </w:pPr>
            <w:r>
              <w:rPr>
                <w:rFonts w:ascii="Arial" w:cs="Arial" w:eastAsia="Arial" w:hAnsi="Arial"/>
                <w:sz w:val="8"/>
                <w:szCs w:val="8"/>
                <w:color w:val="auto"/>
              </w:rPr>
              <w:t>24.5%</w:t>
            </w:r>
          </w:p>
        </w:tc>
        <w:tc>
          <w:tcPr>
            <w:tcW w:w="0" w:type="dxa"/>
            <w:vAlign w:val="bottom"/>
          </w:tcPr>
          <w:p>
            <w:pPr>
              <w:spacing w:after="0"/>
              <w:rPr>
                <w:sz w:val="1"/>
                <w:szCs w:val="1"/>
                <w:color w:val="auto"/>
              </w:rPr>
            </w:pPr>
          </w:p>
        </w:tc>
      </w:tr>
      <w:tr>
        <w:trPr>
          <w:trHeight w:val="93"/>
        </w:trPr>
        <w:tc>
          <w:tcPr>
            <w:tcW w:w="3220" w:type="dxa"/>
            <w:vAlign w:val="bottom"/>
          </w:tcPr>
          <w:p>
            <w:pPr>
              <w:ind w:left="40"/>
              <w:spacing w:after="0"/>
              <w:rPr>
                <w:sz w:val="20"/>
                <w:szCs w:val="20"/>
                <w:color w:val="auto"/>
              </w:rPr>
            </w:pPr>
            <w:r>
              <w:rPr>
                <w:rFonts w:ascii="Arial" w:cs="Arial" w:eastAsia="Arial" w:hAnsi="Arial"/>
                <w:sz w:val="8"/>
                <w:szCs w:val="8"/>
                <w:color w:val="auto"/>
              </w:rPr>
              <w:t>New affiliations</w:t>
            </w:r>
          </w:p>
        </w:tc>
        <w:tc>
          <w:tcPr>
            <w:tcW w:w="2020" w:type="dxa"/>
            <w:vAlign w:val="bottom"/>
          </w:tcPr>
          <w:p>
            <w:pPr>
              <w:spacing w:after="0"/>
              <w:rPr>
                <w:sz w:val="8"/>
                <w:szCs w:val="8"/>
                <w:color w:val="auto"/>
              </w:rPr>
            </w:pPr>
          </w:p>
        </w:tc>
        <w:tc>
          <w:tcPr>
            <w:tcW w:w="1240" w:type="dxa"/>
            <w:vAlign w:val="bottom"/>
          </w:tcPr>
          <w:p>
            <w:pPr>
              <w:jc w:val="right"/>
              <w:ind w:right="839"/>
              <w:spacing w:after="0"/>
              <w:rPr>
                <w:sz w:val="20"/>
                <w:szCs w:val="20"/>
                <w:color w:val="auto"/>
              </w:rPr>
            </w:pPr>
            <w:r>
              <w:rPr>
                <w:rFonts w:ascii="Arial" w:cs="Arial" w:eastAsia="Arial" w:hAnsi="Arial"/>
                <w:sz w:val="8"/>
                <w:szCs w:val="8"/>
                <w:color w:val="auto"/>
              </w:rPr>
              <w:t>-</w:t>
            </w:r>
          </w:p>
        </w:tc>
        <w:tc>
          <w:tcPr>
            <w:tcW w:w="1140" w:type="dxa"/>
            <w:vAlign w:val="bottom"/>
          </w:tcPr>
          <w:p>
            <w:pPr>
              <w:jc w:val="right"/>
              <w:ind w:right="699"/>
              <w:spacing w:after="0"/>
              <w:rPr>
                <w:sz w:val="20"/>
                <w:szCs w:val="20"/>
                <w:color w:val="auto"/>
              </w:rPr>
            </w:pPr>
            <w:r>
              <w:rPr>
                <w:rFonts w:ascii="Arial" w:cs="Arial" w:eastAsia="Arial" w:hAnsi="Arial"/>
                <w:sz w:val="8"/>
                <w:szCs w:val="8"/>
                <w:color w:val="auto"/>
              </w:rPr>
              <w:t>128,591</w:t>
            </w:r>
          </w:p>
        </w:tc>
        <w:tc>
          <w:tcPr>
            <w:tcW w:w="400" w:type="dxa"/>
            <w:vAlign w:val="bottom"/>
          </w:tcPr>
          <w:p>
            <w:pPr>
              <w:jc w:val="right"/>
              <w:ind w:right="79"/>
              <w:spacing w:after="0"/>
              <w:rPr>
                <w:sz w:val="20"/>
                <w:szCs w:val="20"/>
                <w:color w:val="auto"/>
              </w:rPr>
            </w:pPr>
            <w:r>
              <w:rPr>
                <w:rFonts w:ascii="Arial" w:cs="Arial" w:eastAsia="Arial" w:hAnsi="Arial"/>
                <w:sz w:val="8"/>
                <w:szCs w:val="8"/>
                <w:color w:val="auto"/>
              </w:rPr>
              <w:t>0.0%</w:t>
            </w:r>
          </w:p>
        </w:tc>
        <w:tc>
          <w:tcPr>
            <w:tcW w:w="700" w:type="dxa"/>
            <w:vAlign w:val="bottom"/>
          </w:tcPr>
          <w:p>
            <w:pPr>
              <w:jc w:val="right"/>
              <w:ind w:right="139"/>
              <w:spacing w:after="0"/>
              <w:rPr>
                <w:sz w:val="20"/>
                <w:szCs w:val="20"/>
                <w:color w:val="auto"/>
              </w:rPr>
            </w:pPr>
            <w:r>
              <w:rPr>
                <w:rFonts w:ascii="Arial" w:cs="Arial" w:eastAsia="Arial" w:hAnsi="Arial"/>
                <w:sz w:val="8"/>
                <w:szCs w:val="8"/>
                <w:color w:val="auto"/>
              </w:rPr>
              <w:t>-</w:t>
            </w:r>
          </w:p>
        </w:tc>
        <w:tc>
          <w:tcPr>
            <w:tcW w:w="740" w:type="dxa"/>
            <w:vAlign w:val="bottom"/>
          </w:tcPr>
          <w:p>
            <w:pPr>
              <w:jc w:val="right"/>
              <w:ind w:right="99"/>
              <w:spacing w:after="0"/>
              <w:rPr>
                <w:sz w:val="20"/>
                <w:szCs w:val="20"/>
                <w:color w:val="auto"/>
              </w:rPr>
            </w:pPr>
            <w:r>
              <w:rPr>
                <w:rFonts w:ascii="Arial" w:cs="Arial" w:eastAsia="Arial" w:hAnsi="Arial"/>
                <w:sz w:val="8"/>
                <w:szCs w:val="8"/>
                <w:color w:val="auto"/>
              </w:rPr>
              <w:t>151,765</w:t>
            </w:r>
          </w:p>
        </w:tc>
        <w:tc>
          <w:tcPr>
            <w:tcW w:w="680" w:type="dxa"/>
            <w:vAlign w:val="bottom"/>
          </w:tcPr>
          <w:p>
            <w:pPr>
              <w:jc w:val="right"/>
              <w:spacing w:after="0"/>
              <w:rPr>
                <w:sz w:val="20"/>
                <w:szCs w:val="20"/>
                <w:color w:val="auto"/>
              </w:rPr>
            </w:pPr>
            <w:r>
              <w:rPr>
                <w:rFonts w:ascii="Arial" w:cs="Arial" w:eastAsia="Arial" w:hAnsi="Arial"/>
                <w:sz w:val="8"/>
                <w:szCs w:val="8"/>
                <w:color w:val="auto"/>
              </w:rPr>
              <w:t>0.0%</w:t>
            </w:r>
          </w:p>
        </w:tc>
        <w:tc>
          <w:tcPr>
            <w:tcW w:w="0" w:type="dxa"/>
            <w:vAlign w:val="bottom"/>
          </w:tcPr>
          <w:p>
            <w:pPr>
              <w:spacing w:after="0"/>
              <w:rPr>
                <w:sz w:val="1"/>
                <w:szCs w:val="1"/>
                <w:color w:val="auto"/>
              </w:rPr>
            </w:pPr>
          </w:p>
        </w:tc>
      </w:tr>
      <w:tr>
        <w:trPr>
          <w:trHeight w:val="93"/>
        </w:trPr>
        <w:tc>
          <w:tcPr>
            <w:tcW w:w="3220" w:type="dxa"/>
            <w:vAlign w:val="bottom"/>
          </w:tcPr>
          <w:p>
            <w:pPr>
              <w:ind w:left="40"/>
              <w:spacing w:after="0"/>
              <w:rPr>
                <w:sz w:val="20"/>
                <w:szCs w:val="20"/>
                <w:color w:val="auto"/>
              </w:rPr>
            </w:pPr>
            <w:r>
              <w:rPr>
                <w:rFonts w:ascii="Arial" w:cs="Arial" w:eastAsia="Arial" w:hAnsi="Arial"/>
                <w:sz w:val="8"/>
                <w:szCs w:val="8"/>
                <w:color w:val="auto"/>
              </w:rPr>
              <w:t>Funds under management (S/ Millions)</w:t>
            </w:r>
          </w:p>
        </w:tc>
        <w:tc>
          <w:tcPr>
            <w:tcW w:w="2020" w:type="dxa"/>
            <w:vAlign w:val="bottom"/>
          </w:tcPr>
          <w:p>
            <w:pPr>
              <w:spacing w:after="0"/>
              <w:rPr>
                <w:sz w:val="8"/>
                <w:szCs w:val="8"/>
                <w:color w:val="auto"/>
              </w:rPr>
            </w:pPr>
          </w:p>
        </w:tc>
        <w:tc>
          <w:tcPr>
            <w:tcW w:w="1240" w:type="dxa"/>
            <w:vAlign w:val="bottom"/>
          </w:tcPr>
          <w:p>
            <w:pPr>
              <w:jc w:val="right"/>
              <w:ind w:right="779"/>
              <w:spacing w:after="0"/>
              <w:rPr>
                <w:sz w:val="20"/>
                <w:szCs w:val="20"/>
                <w:color w:val="auto"/>
              </w:rPr>
            </w:pPr>
            <w:r>
              <w:rPr>
                <w:rFonts w:ascii="Arial" w:cs="Arial" w:eastAsia="Arial" w:hAnsi="Arial"/>
                <w:sz w:val="8"/>
                <w:szCs w:val="8"/>
                <w:color w:val="auto"/>
              </w:rPr>
              <w:t>38,113</w:t>
            </w:r>
          </w:p>
        </w:tc>
        <w:tc>
          <w:tcPr>
            <w:tcW w:w="1140" w:type="dxa"/>
            <w:vAlign w:val="bottom"/>
          </w:tcPr>
          <w:p>
            <w:pPr>
              <w:jc w:val="right"/>
              <w:ind w:right="699"/>
              <w:spacing w:after="0"/>
              <w:rPr>
                <w:sz w:val="20"/>
                <w:szCs w:val="20"/>
                <w:color w:val="auto"/>
              </w:rPr>
            </w:pPr>
            <w:r>
              <w:rPr>
                <w:rFonts w:ascii="Arial" w:cs="Arial" w:eastAsia="Arial" w:hAnsi="Arial"/>
                <w:sz w:val="8"/>
                <w:szCs w:val="8"/>
                <w:color w:val="auto"/>
              </w:rPr>
              <w:t>126,617</w:t>
            </w:r>
          </w:p>
        </w:tc>
        <w:tc>
          <w:tcPr>
            <w:tcW w:w="400" w:type="dxa"/>
            <w:vAlign w:val="bottom"/>
          </w:tcPr>
          <w:p>
            <w:pPr>
              <w:jc w:val="right"/>
              <w:ind w:right="79"/>
              <w:spacing w:after="0"/>
              <w:rPr>
                <w:sz w:val="20"/>
                <w:szCs w:val="20"/>
                <w:color w:val="auto"/>
              </w:rPr>
            </w:pPr>
            <w:r>
              <w:rPr>
                <w:rFonts w:ascii="Arial" w:cs="Arial" w:eastAsia="Arial" w:hAnsi="Arial"/>
                <w:sz w:val="8"/>
                <w:szCs w:val="8"/>
                <w:color w:val="auto"/>
              </w:rPr>
              <w:t>30.1%</w:t>
            </w:r>
          </w:p>
        </w:tc>
        <w:tc>
          <w:tcPr>
            <w:tcW w:w="700" w:type="dxa"/>
            <w:vAlign w:val="bottom"/>
          </w:tcPr>
          <w:p>
            <w:pPr>
              <w:jc w:val="right"/>
              <w:ind w:right="79"/>
              <w:spacing w:after="0"/>
              <w:rPr>
                <w:sz w:val="20"/>
                <w:szCs w:val="20"/>
                <w:color w:val="auto"/>
              </w:rPr>
            </w:pPr>
            <w:r>
              <w:rPr>
                <w:rFonts w:ascii="Arial" w:cs="Arial" w:eastAsia="Arial" w:hAnsi="Arial"/>
                <w:sz w:val="8"/>
                <w:szCs w:val="8"/>
                <w:color w:val="auto"/>
              </w:rPr>
              <w:t>36,623</w:t>
            </w:r>
          </w:p>
        </w:tc>
        <w:tc>
          <w:tcPr>
            <w:tcW w:w="740" w:type="dxa"/>
            <w:vAlign w:val="bottom"/>
          </w:tcPr>
          <w:p>
            <w:pPr>
              <w:jc w:val="right"/>
              <w:ind w:right="99"/>
              <w:spacing w:after="0"/>
              <w:rPr>
                <w:sz w:val="20"/>
                <w:szCs w:val="20"/>
                <w:color w:val="auto"/>
              </w:rPr>
            </w:pPr>
            <w:r>
              <w:rPr>
                <w:rFonts w:ascii="Arial" w:cs="Arial" w:eastAsia="Arial" w:hAnsi="Arial"/>
                <w:sz w:val="8"/>
                <w:szCs w:val="8"/>
                <w:color w:val="auto"/>
              </w:rPr>
              <w:t>122,496</w:t>
            </w:r>
          </w:p>
        </w:tc>
        <w:tc>
          <w:tcPr>
            <w:tcW w:w="680" w:type="dxa"/>
            <w:vAlign w:val="bottom"/>
          </w:tcPr>
          <w:p>
            <w:pPr>
              <w:jc w:val="right"/>
              <w:spacing w:after="0"/>
              <w:rPr>
                <w:sz w:val="20"/>
                <w:szCs w:val="20"/>
                <w:color w:val="auto"/>
              </w:rPr>
            </w:pPr>
            <w:r>
              <w:rPr>
                <w:rFonts w:ascii="Arial" w:cs="Arial" w:eastAsia="Arial" w:hAnsi="Arial"/>
                <w:sz w:val="8"/>
                <w:szCs w:val="8"/>
                <w:color w:val="auto"/>
              </w:rPr>
              <w:t>29.9%</w:t>
            </w:r>
          </w:p>
        </w:tc>
        <w:tc>
          <w:tcPr>
            <w:tcW w:w="0" w:type="dxa"/>
            <w:vAlign w:val="bottom"/>
          </w:tcPr>
          <w:p>
            <w:pPr>
              <w:spacing w:after="0"/>
              <w:rPr>
                <w:sz w:val="1"/>
                <w:szCs w:val="1"/>
                <w:color w:val="auto"/>
              </w:rPr>
            </w:pPr>
          </w:p>
        </w:tc>
      </w:tr>
      <w:tr>
        <w:trPr>
          <w:trHeight w:val="93"/>
        </w:trPr>
        <w:tc>
          <w:tcPr>
            <w:tcW w:w="3220" w:type="dxa"/>
            <w:vAlign w:val="bottom"/>
          </w:tcPr>
          <w:p>
            <w:pPr>
              <w:ind w:left="40"/>
              <w:spacing w:after="0"/>
              <w:rPr>
                <w:sz w:val="20"/>
                <w:szCs w:val="20"/>
                <w:color w:val="auto"/>
              </w:rPr>
            </w:pPr>
            <w:r>
              <w:rPr>
                <w:rFonts w:ascii="Arial" w:cs="Arial" w:eastAsia="Arial" w:hAnsi="Arial"/>
                <w:sz w:val="8"/>
                <w:szCs w:val="8"/>
                <w:color w:val="auto"/>
              </w:rPr>
              <w:t>Collections (S/ Millions)</w:t>
            </w:r>
          </w:p>
        </w:tc>
        <w:tc>
          <w:tcPr>
            <w:tcW w:w="2020" w:type="dxa"/>
            <w:vAlign w:val="bottom"/>
          </w:tcPr>
          <w:p>
            <w:pPr>
              <w:spacing w:after="0"/>
              <w:rPr>
                <w:sz w:val="8"/>
                <w:szCs w:val="8"/>
                <w:color w:val="auto"/>
              </w:rPr>
            </w:pPr>
          </w:p>
        </w:tc>
        <w:tc>
          <w:tcPr>
            <w:tcW w:w="1240" w:type="dxa"/>
            <w:vAlign w:val="bottom"/>
          </w:tcPr>
          <w:p>
            <w:pPr>
              <w:jc w:val="right"/>
              <w:ind w:right="779"/>
              <w:spacing w:after="0"/>
              <w:rPr>
                <w:sz w:val="20"/>
                <w:szCs w:val="20"/>
                <w:color w:val="auto"/>
              </w:rPr>
            </w:pPr>
            <w:r>
              <w:rPr>
                <w:rFonts w:ascii="Arial" w:cs="Arial" w:eastAsia="Arial" w:hAnsi="Arial"/>
                <w:sz w:val="8"/>
                <w:szCs w:val="8"/>
                <w:color w:val="auto"/>
              </w:rPr>
              <w:t>1,033</w:t>
            </w:r>
          </w:p>
        </w:tc>
        <w:tc>
          <w:tcPr>
            <w:tcW w:w="1140" w:type="dxa"/>
            <w:vAlign w:val="bottom"/>
          </w:tcPr>
          <w:p>
            <w:pPr>
              <w:jc w:val="right"/>
              <w:ind w:right="699"/>
              <w:spacing w:after="0"/>
              <w:rPr>
                <w:sz w:val="20"/>
                <w:szCs w:val="20"/>
                <w:color w:val="auto"/>
              </w:rPr>
            </w:pPr>
            <w:r>
              <w:rPr>
                <w:rFonts w:ascii="Arial" w:cs="Arial" w:eastAsia="Arial" w:hAnsi="Arial"/>
                <w:sz w:val="8"/>
                <w:szCs w:val="8"/>
                <w:color w:val="auto"/>
              </w:rPr>
              <w:t>3,868</w:t>
            </w:r>
          </w:p>
        </w:tc>
        <w:tc>
          <w:tcPr>
            <w:tcW w:w="400" w:type="dxa"/>
            <w:vAlign w:val="bottom"/>
          </w:tcPr>
          <w:p>
            <w:pPr>
              <w:jc w:val="right"/>
              <w:ind w:right="79"/>
              <w:spacing w:after="0"/>
              <w:rPr>
                <w:sz w:val="20"/>
                <w:szCs w:val="20"/>
                <w:color w:val="auto"/>
              </w:rPr>
            </w:pPr>
            <w:r>
              <w:rPr>
                <w:rFonts w:ascii="Arial" w:cs="Arial" w:eastAsia="Arial" w:hAnsi="Arial"/>
                <w:sz w:val="8"/>
                <w:szCs w:val="8"/>
                <w:color w:val="auto"/>
              </w:rPr>
              <w:t>26.7%</w:t>
            </w:r>
          </w:p>
        </w:tc>
        <w:tc>
          <w:tcPr>
            <w:tcW w:w="700" w:type="dxa"/>
            <w:vAlign w:val="bottom"/>
          </w:tcPr>
          <w:p>
            <w:pPr>
              <w:jc w:val="right"/>
              <w:ind w:right="79"/>
              <w:spacing w:after="0"/>
              <w:rPr>
                <w:sz w:val="20"/>
                <w:szCs w:val="20"/>
                <w:color w:val="auto"/>
              </w:rPr>
            </w:pPr>
            <w:r>
              <w:rPr>
                <w:rFonts w:ascii="Arial" w:cs="Arial" w:eastAsia="Arial" w:hAnsi="Arial"/>
                <w:sz w:val="8"/>
                <w:szCs w:val="8"/>
                <w:color w:val="auto"/>
              </w:rPr>
              <w:t>1,105</w:t>
            </w:r>
          </w:p>
        </w:tc>
        <w:tc>
          <w:tcPr>
            <w:tcW w:w="740" w:type="dxa"/>
            <w:vAlign w:val="bottom"/>
          </w:tcPr>
          <w:p>
            <w:pPr>
              <w:jc w:val="right"/>
              <w:ind w:right="99"/>
              <w:spacing w:after="0"/>
              <w:rPr>
                <w:sz w:val="20"/>
                <w:szCs w:val="20"/>
                <w:color w:val="auto"/>
              </w:rPr>
            </w:pPr>
            <w:r>
              <w:rPr>
                <w:rFonts w:ascii="Arial" w:cs="Arial" w:eastAsia="Arial" w:hAnsi="Arial"/>
                <w:sz w:val="8"/>
                <w:szCs w:val="8"/>
                <w:color w:val="auto"/>
              </w:rPr>
              <w:t>4,129</w:t>
            </w:r>
          </w:p>
        </w:tc>
        <w:tc>
          <w:tcPr>
            <w:tcW w:w="680" w:type="dxa"/>
            <w:vAlign w:val="bottom"/>
          </w:tcPr>
          <w:p>
            <w:pPr>
              <w:jc w:val="right"/>
              <w:spacing w:after="0"/>
              <w:rPr>
                <w:sz w:val="20"/>
                <w:szCs w:val="20"/>
                <w:color w:val="auto"/>
              </w:rPr>
            </w:pPr>
            <w:r>
              <w:rPr>
                <w:rFonts w:ascii="Arial" w:cs="Arial" w:eastAsia="Arial" w:hAnsi="Arial"/>
                <w:sz w:val="8"/>
                <w:szCs w:val="8"/>
                <w:color w:val="auto"/>
              </w:rPr>
              <w:t>26.8%</w:t>
            </w:r>
          </w:p>
        </w:tc>
        <w:tc>
          <w:tcPr>
            <w:tcW w:w="0" w:type="dxa"/>
            <w:vAlign w:val="bottom"/>
          </w:tcPr>
          <w:p>
            <w:pPr>
              <w:spacing w:after="0"/>
              <w:rPr>
                <w:sz w:val="1"/>
                <w:szCs w:val="1"/>
                <w:color w:val="auto"/>
              </w:rPr>
            </w:pPr>
          </w:p>
        </w:tc>
      </w:tr>
      <w:tr>
        <w:trPr>
          <w:trHeight w:val="93"/>
        </w:trPr>
        <w:tc>
          <w:tcPr>
            <w:tcW w:w="3220" w:type="dxa"/>
            <w:vAlign w:val="bottom"/>
          </w:tcPr>
          <w:p>
            <w:pPr>
              <w:ind w:left="40"/>
              <w:spacing w:after="0"/>
              <w:rPr>
                <w:sz w:val="20"/>
                <w:szCs w:val="20"/>
                <w:color w:val="auto"/>
              </w:rPr>
            </w:pPr>
            <w:r>
              <w:rPr>
                <w:rFonts w:ascii="Arial" w:cs="Arial" w:eastAsia="Arial" w:hAnsi="Arial"/>
                <w:sz w:val="8"/>
                <w:szCs w:val="8"/>
                <w:color w:val="auto"/>
              </w:rPr>
              <w:t>Voluntary contributions (S/ Millions)</w:t>
            </w:r>
          </w:p>
        </w:tc>
        <w:tc>
          <w:tcPr>
            <w:tcW w:w="2020" w:type="dxa"/>
            <w:vAlign w:val="bottom"/>
          </w:tcPr>
          <w:p>
            <w:pPr>
              <w:spacing w:after="0"/>
              <w:rPr>
                <w:sz w:val="8"/>
                <w:szCs w:val="8"/>
                <w:color w:val="auto"/>
              </w:rPr>
            </w:pPr>
          </w:p>
        </w:tc>
        <w:tc>
          <w:tcPr>
            <w:tcW w:w="1240" w:type="dxa"/>
            <w:vAlign w:val="bottom"/>
          </w:tcPr>
          <w:p>
            <w:pPr>
              <w:jc w:val="right"/>
              <w:ind w:right="779"/>
              <w:spacing w:after="0"/>
              <w:rPr>
                <w:sz w:val="20"/>
                <w:szCs w:val="20"/>
                <w:color w:val="auto"/>
              </w:rPr>
            </w:pPr>
            <w:r>
              <w:rPr>
                <w:rFonts w:ascii="Arial" w:cs="Arial" w:eastAsia="Arial" w:hAnsi="Arial"/>
                <w:sz w:val="8"/>
                <w:szCs w:val="8"/>
                <w:color w:val="auto"/>
              </w:rPr>
              <w:t>922</w:t>
            </w:r>
          </w:p>
        </w:tc>
        <w:tc>
          <w:tcPr>
            <w:tcW w:w="1140" w:type="dxa"/>
            <w:vAlign w:val="bottom"/>
          </w:tcPr>
          <w:p>
            <w:pPr>
              <w:jc w:val="right"/>
              <w:ind w:right="699"/>
              <w:spacing w:after="0"/>
              <w:rPr>
                <w:sz w:val="20"/>
                <w:szCs w:val="20"/>
                <w:color w:val="auto"/>
              </w:rPr>
            </w:pPr>
            <w:r>
              <w:rPr>
                <w:rFonts w:ascii="Arial" w:cs="Arial" w:eastAsia="Arial" w:hAnsi="Arial"/>
                <w:sz w:val="8"/>
                <w:szCs w:val="8"/>
                <w:color w:val="auto"/>
              </w:rPr>
              <w:t>2,093</w:t>
            </w:r>
          </w:p>
        </w:tc>
        <w:tc>
          <w:tcPr>
            <w:tcW w:w="400" w:type="dxa"/>
            <w:vAlign w:val="bottom"/>
          </w:tcPr>
          <w:p>
            <w:pPr>
              <w:jc w:val="right"/>
              <w:ind w:right="79"/>
              <w:spacing w:after="0"/>
              <w:rPr>
                <w:sz w:val="20"/>
                <w:szCs w:val="20"/>
                <w:color w:val="auto"/>
              </w:rPr>
            </w:pPr>
            <w:r>
              <w:rPr>
                <w:rFonts w:ascii="Arial" w:cs="Arial" w:eastAsia="Arial" w:hAnsi="Arial"/>
                <w:sz w:val="8"/>
                <w:szCs w:val="8"/>
                <w:color w:val="auto"/>
              </w:rPr>
              <w:t>44.0%</w:t>
            </w:r>
          </w:p>
        </w:tc>
        <w:tc>
          <w:tcPr>
            <w:tcW w:w="700" w:type="dxa"/>
            <w:vAlign w:val="bottom"/>
          </w:tcPr>
          <w:p>
            <w:pPr>
              <w:jc w:val="right"/>
              <w:ind w:right="79"/>
              <w:spacing w:after="0"/>
              <w:rPr>
                <w:sz w:val="20"/>
                <w:szCs w:val="20"/>
                <w:color w:val="auto"/>
              </w:rPr>
            </w:pPr>
            <w:r>
              <w:rPr>
                <w:rFonts w:ascii="Arial" w:cs="Arial" w:eastAsia="Arial" w:hAnsi="Arial"/>
                <w:sz w:val="8"/>
                <w:szCs w:val="8"/>
                <w:color w:val="auto"/>
              </w:rPr>
              <w:t>976</w:t>
            </w:r>
          </w:p>
        </w:tc>
        <w:tc>
          <w:tcPr>
            <w:tcW w:w="740" w:type="dxa"/>
            <w:vAlign w:val="bottom"/>
          </w:tcPr>
          <w:p>
            <w:pPr>
              <w:jc w:val="right"/>
              <w:ind w:right="99"/>
              <w:spacing w:after="0"/>
              <w:rPr>
                <w:sz w:val="20"/>
                <w:szCs w:val="20"/>
                <w:color w:val="auto"/>
              </w:rPr>
            </w:pPr>
            <w:r>
              <w:rPr>
                <w:rFonts w:ascii="Arial" w:cs="Arial" w:eastAsia="Arial" w:hAnsi="Arial"/>
                <w:sz w:val="8"/>
                <w:szCs w:val="8"/>
                <w:color w:val="auto"/>
              </w:rPr>
              <w:t>2,125</w:t>
            </w:r>
          </w:p>
        </w:tc>
        <w:tc>
          <w:tcPr>
            <w:tcW w:w="680" w:type="dxa"/>
            <w:vAlign w:val="bottom"/>
          </w:tcPr>
          <w:p>
            <w:pPr>
              <w:jc w:val="right"/>
              <w:spacing w:after="0"/>
              <w:rPr>
                <w:sz w:val="20"/>
                <w:szCs w:val="20"/>
                <w:color w:val="auto"/>
              </w:rPr>
            </w:pPr>
            <w:r>
              <w:rPr>
                <w:rFonts w:ascii="Arial" w:cs="Arial" w:eastAsia="Arial" w:hAnsi="Arial"/>
                <w:sz w:val="8"/>
                <w:szCs w:val="8"/>
                <w:color w:val="auto"/>
              </w:rPr>
              <w:t>45.9%</w:t>
            </w:r>
          </w:p>
        </w:tc>
        <w:tc>
          <w:tcPr>
            <w:tcW w:w="0" w:type="dxa"/>
            <w:vAlign w:val="bottom"/>
          </w:tcPr>
          <w:p>
            <w:pPr>
              <w:spacing w:after="0"/>
              <w:rPr>
                <w:sz w:val="1"/>
                <w:szCs w:val="1"/>
                <w:color w:val="auto"/>
              </w:rPr>
            </w:pPr>
          </w:p>
        </w:tc>
      </w:tr>
      <w:tr>
        <w:trPr>
          <w:trHeight w:val="108"/>
        </w:trPr>
        <w:tc>
          <w:tcPr>
            <w:tcW w:w="3220" w:type="dxa"/>
            <w:vAlign w:val="bottom"/>
          </w:tcPr>
          <w:p>
            <w:pPr>
              <w:ind w:left="40"/>
              <w:spacing w:after="0"/>
              <w:rPr>
                <w:sz w:val="20"/>
                <w:szCs w:val="20"/>
                <w:color w:val="auto"/>
              </w:rPr>
            </w:pPr>
            <w:r>
              <w:rPr>
                <w:rFonts w:ascii="Arial" w:cs="Arial" w:eastAsia="Arial" w:hAnsi="Arial"/>
                <w:sz w:val="8"/>
                <w:szCs w:val="8"/>
                <w:color w:val="auto"/>
              </w:rPr>
              <w:t>RAM Flow (S/ Millions) (1)</w:t>
            </w:r>
          </w:p>
        </w:tc>
        <w:tc>
          <w:tcPr>
            <w:tcW w:w="2020" w:type="dxa"/>
            <w:vAlign w:val="bottom"/>
          </w:tcPr>
          <w:p>
            <w:pPr>
              <w:spacing w:after="0"/>
              <w:rPr>
                <w:sz w:val="9"/>
                <w:szCs w:val="9"/>
                <w:color w:val="auto"/>
              </w:rPr>
            </w:pPr>
          </w:p>
        </w:tc>
        <w:tc>
          <w:tcPr>
            <w:tcW w:w="1240" w:type="dxa"/>
            <w:vAlign w:val="bottom"/>
          </w:tcPr>
          <w:p>
            <w:pPr>
              <w:jc w:val="right"/>
              <w:ind w:right="779"/>
              <w:spacing w:after="0"/>
              <w:rPr>
                <w:sz w:val="20"/>
                <w:szCs w:val="20"/>
                <w:color w:val="auto"/>
              </w:rPr>
            </w:pPr>
            <w:r>
              <w:rPr>
                <w:rFonts w:ascii="Arial" w:cs="Arial" w:eastAsia="Arial" w:hAnsi="Arial"/>
                <w:sz w:val="8"/>
                <w:szCs w:val="8"/>
                <w:color w:val="auto"/>
              </w:rPr>
              <w:t>1,459</w:t>
            </w:r>
          </w:p>
        </w:tc>
        <w:tc>
          <w:tcPr>
            <w:tcW w:w="1140" w:type="dxa"/>
            <w:vAlign w:val="bottom"/>
          </w:tcPr>
          <w:p>
            <w:pPr>
              <w:jc w:val="right"/>
              <w:ind w:right="699"/>
              <w:spacing w:after="0"/>
              <w:rPr>
                <w:sz w:val="20"/>
                <w:szCs w:val="20"/>
                <w:color w:val="auto"/>
              </w:rPr>
            </w:pPr>
            <w:r>
              <w:rPr>
                <w:rFonts w:ascii="Arial" w:cs="Arial" w:eastAsia="Arial" w:hAnsi="Arial"/>
                <w:sz w:val="8"/>
                <w:szCs w:val="8"/>
                <w:color w:val="auto"/>
              </w:rPr>
              <w:t>4,787</w:t>
            </w:r>
          </w:p>
        </w:tc>
        <w:tc>
          <w:tcPr>
            <w:tcW w:w="400" w:type="dxa"/>
            <w:vAlign w:val="bottom"/>
          </w:tcPr>
          <w:p>
            <w:pPr>
              <w:jc w:val="right"/>
              <w:ind w:right="79"/>
              <w:spacing w:after="0"/>
              <w:rPr>
                <w:sz w:val="20"/>
                <w:szCs w:val="20"/>
                <w:color w:val="auto"/>
              </w:rPr>
            </w:pPr>
            <w:r>
              <w:rPr>
                <w:rFonts w:ascii="Arial" w:cs="Arial" w:eastAsia="Arial" w:hAnsi="Arial"/>
                <w:sz w:val="8"/>
                <w:szCs w:val="8"/>
                <w:color w:val="auto"/>
              </w:rPr>
              <w:t>30.5%</w:t>
            </w:r>
          </w:p>
        </w:tc>
        <w:tc>
          <w:tcPr>
            <w:tcW w:w="700" w:type="dxa"/>
            <w:vAlign w:val="bottom"/>
          </w:tcPr>
          <w:p>
            <w:pPr>
              <w:jc w:val="right"/>
              <w:ind w:right="79"/>
              <w:spacing w:after="0"/>
              <w:rPr>
                <w:sz w:val="20"/>
                <w:szCs w:val="20"/>
                <w:color w:val="auto"/>
              </w:rPr>
            </w:pPr>
            <w:r>
              <w:rPr>
                <w:rFonts w:ascii="Arial" w:cs="Arial" w:eastAsia="Arial" w:hAnsi="Arial"/>
                <w:sz w:val="8"/>
                <w:szCs w:val="8"/>
                <w:color w:val="auto"/>
              </w:rPr>
              <w:t>1,539</w:t>
            </w:r>
          </w:p>
        </w:tc>
        <w:tc>
          <w:tcPr>
            <w:tcW w:w="740" w:type="dxa"/>
            <w:vAlign w:val="bottom"/>
          </w:tcPr>
          <w:p>
            <w:pPr>
              <w:jc w:val="right"/>
              <w:ind w:right="99"/>
              <w:spacing w:after="0"/>
              <w:rPr>
                <w:sz w:val="20"/>
                <w:szCs w:val="20"/>
                <w:color w:val="auto"/>
              </w:rPr>
            </w:pPr>
            <w:r>
              <w:rPr>
                <w:rFonts w:ascii="Arial" w:cs="Arial" w:eastAsia="Arial" w:hAnsi="Arial"/>
                <w:sz w:val="8"/>
                <w:szCs w:val="8"/>
                <w:color w:val="auto"/>
              </w:rPr>
              <w:t>5,013</w:t>
            </w:r>
          </w:p>
        </w:tc>
        <w:tc>
          <w:tcPr>
            <w:tcW w:w="680" w:type="dxa"/>
            <w:vAlign w:val="bottom"/>
          </w:tcPr>
          <w:p>
            <w:pPr>
              <w:jc w:val="right"/>
              <w:spacing w:after="0"/>
              <w:rPr>
                <w:sz w:val="20"/>
                <w:szCs w:val="20"/>
                <w:color w:val="auto"/>
              </w:rPr>
            </w:pPr>
            <w:r>
              <w:rPr>
                <w:rFonts w:ascii="Arial" w:cs="Arial" w:eastAsia="Arial" w:hAnsi="Arial"/>
                <w:sz w:val="8"/>
                <w:szCs w:val="8"/>
                <w:color w:val="auto"/>
              </w:rPr>
              <w:t>30.7%</w:t>
            </w:r>
          </w:p>
        </w:tc>
        <w:tc>
          <w:tcPr>
            <w:tcW w:w="0" w:type="dxa"/>
            <w:vAlign w:val="bottom"/>
          </w:tcPr>
          <w:p>
            <w:pPr>
              <w:spacing w:after="0"/>
              <w:rPr>
                <w:sz w:val="1"/>
                <w:szCs w:val="1"/>
                <w:color w:val="auto"/>
              </w:rPr>
            </w:pPr>
          </w:p>
        </w:tc>
      </w:tr>
    </w:tbl>
    <w:p>
      <w:pPr>
        <w:ind w:left="140"/>
        <w:spacing w:after="0" w:line="215" w:lineRule="auto"/>
        <w:rPr>
          <w:sz w:val="20"/>
          <w:szCs w:val="20"/>
          <w:color w:val="auto"/>
        </w:rPr>
      </w:pPr>
      <w:r>
        <w:rPr>
          <w:rFonts w:ascii="Arial" w:cs="Arial" w:eastAsia="Arial" w:hAnsi="Arial"/>
          <w:sz w:val="10"/>
          <w:szCs w:val="10"/>
          <w:color w:val="auto"/>
        </w:rPr>
        <w:t>Source: SBS</w:t>
      </w:r>
    </w:p>
    <w:p>
      <w:pPr>
        <w:ind w:left="140"/>
        <w:spacing w:after="0"/>
        <w:rPr>
          <w:sz w:val="20"/>
          <w:szCs w:val="20"/>
          <w:color w:val="auto"/>
        </w:rPr>
      </w:pPr>
      <w:r>
        <w:rPr>
          <w:rFonts w:ascii="Arial" w:cs="Arial" w:eastAsia="Arial" w:hAnsi="Arial"/>
          <w:sz w:val="10"/>
          <w:szCs w:val="10"/>
          <w:color w:val="auto"/>
        </w:rPr>
        <w:t>(1) Prima AFP estimate: Average of aggregated income for flow during the last 4 months, excluding special collections and voluntary contribution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622300</wp:posOffset>
            </wp:positionV>
            <wp:extent cx="7164705" cy="133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93345</wp:posOffset>
            </wp:positionV>
            <wp:extent cx="1502410" cy="4438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5415915</wp:posOffset>
            </wp:positionH>
            <wp:positionV relativeFrom="paragraph">
              <wp:posOffset>210820</wp:posOffset>
            </wp:positionV>
            <wp:extent cx="1750695" cy="3263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750695" cy="32639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68" w:name="page69"/>
    <w:bookmarkEnd w:id="68"/>
    <w:p>
      <w:pPr>
        <w:ind w:left="2580"/>
        <w:spacing w:after="0"/>
        <w:tabs>
          <w:tab w:leader="none" w:pos="2780" w:val="left"/>
          <w:tab w:leader="none" w:pos="7780"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102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64705" cy="581025"/>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156"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FFFFFF"/>
        </w:rPr>
        <w:t>12. Appendix</w:t>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12.6.8. Grupo Pacifico</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Key Indicators of Financial Position</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20" w:type="dxa"/>
            <w:vAlign w:val="bottom"/>
            <w:gridSpan w:val="2"/>
          </w:tcPr>
          <w:p>
            <w:pPr>
              <w:jc w:val="right"/>
              <w:ind w:right="1054"/>
              <w:spacing w:after="0"/>
              <w:rPr>
                <w:sz w:val="20"/>
                <w:szCs w:val="20"/>
                <w:color w:val="auto"/>
              </w:rPr>
            </w:pPr>
            <w:r>
              <w:rPr>
                <w:rFonts w:ascii="Arial" w:cs="Arial" w:eastAsia="Arial" w:hAnsi="Arial"/>
                <w:sz w:val="12"/>
                <w:szCs w:val="12"/>
                <w:b w:val="1"/>
                <w:bCs w:val="1"/>
                <w:color w:val="auto"/>
              </w:rPr>
              <w:t>(S/ Thousands, IFRS)</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27"/>
        </w:trPr>
        <w:tc>
          <w:tcPr>
            <w:tcW w:w="30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24"/>
        </w:trPr>
        <w:tc>
          <w:tcPr>
            <w:tcW w:w="3060" w:type="dxa"/>
            <w:vAlign w:val="bottom"/>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400" w:type="dxa"/>
            <w:vAlign w:val="bottom"/>
            <w:shd w:val="clear" w:color="auto" w:fill="2AD2C9"/>
          </w:tcPr>
          <w:p>
            <w:pPr>
              <w:spacing w:after="0"/>
              <w:rPr>
                <w:sz w:val="10"/>
                <w:szCs w:val="10"/>
                <w:color w:val="auto"/>
              </w:rPr>
            </w:pPr>
          </w:p>
        </w:tc>
        <w:tc>
          <w:tcPr>
            <w:tcW w:w="1280" w:type="dxa"/>
            <w:vAlign w:val="bottom"/>
            <w:tcBorders>
              <w:right w:val="single" w:sz="8" w:color="2AD2C9"/>
            </w:tcBorders>
            <w:shd w:val="clear" w:color="auto" w:fill="2AD2C9"/>
          </w:tcPr>
          <w:p>
            <w:pPr>
              <w:spacing w:after="0"/>
              <w:rPr>
                <w:sz w:val="10"/>
                <w:szCs w:val="10"/>
                <w:color w:val="auto"/>
              </w:rPr>
            </w:pPr>
          </w:p>
        </w:tc>
        <w:tc>
          <w:tcPr>
            <w:tcW w:w="1240" w:type="dxa"/>
            <w:vAlign w:val="bottom"/>
            <w:shd w:val="clear" w:color="auto" w:fill="2AD2C9"/>
          </w:tcPr>
          <w:p>
            <w:pPr>
              <w:jc w:val="right"/>
              <w:ind w:right="794"/>
              <w:spacing w:after="0" w:line="124" w:lineRule="exact"/>
              <w:rPr>
                <w:sz w:val="20"/>
                <w:szCs w:val="20"/>
                <w:color w:val="auto"/>
              </w:rPr>
            </w:pPr>
            <w:r>
              <w:rPr>
                <w:rFonts w:ascii="Arial" w:cs="Arial" w:eastAsia="Arial" w:hAnsi="Arial"/>
                <w:sz w:val="12"/>
                <w:szCs w:val="12"/>
                <w:b w:val="1"/>
                <w:bCs w:val="1"/>
                <w:color w:val="FFFFFF"/>
              </w:rPr>
              <w:t>As of</w:t>
            </w:r>
          </w:p>
        </w:tc>
        <w:tc>
          <w:tcPr>
            <w:tcW w:w="720" w:type="dxa"/>
            <w:vAlign w:val="bottom"/>
            <w:tcBorders>
              <w:right w:val="single" w:sz="8" w:color="2AD2C9"/>
            </w:tcBorders>
            <w:shd w:val="clear" w:color="auto" w:fill="2AD2C9"/>
          </w:tcPr>
          <w:p>
            <w:pPr>
              <w:spacing w:after="0"/>
              <w:rPr>
                <w:sz w:val="10"/>
                <w:szCs w:val="10"/>
                <w:color w:val="auto"/>
              </w:rPr>
            </w:pPr>
          </w:p>
        </w:tc>
        <w:tc>
          <w:tcPr>
            <w:tcW w:w="220" w:type="dxa"/>
            <w:vAlign w:val="bottom"/>
            <w:tcBorders>
              <w:right w:val="single" w:sz="8" w:color="auto"/>
            </w:tcBorders>
            <w:shd w:val="clear" w:color="auto" w:fill="2AD2C9"/>
          </w:tcPr>
          <w:p>
            <w:pPr>
              <w:spacing w:after="0"/>
              <w:rPr>
                <w:sz w:val="10"/>
                <w:szCs w:val="10"/>
                <w:color w:val="auto"/>
              </w:rPr>
            </w:pPr>
          </w:p>
        </w:tc>
        <w:tc>
          <w:tcPr>
            <w:tcW w:w="440" w:type="dxa"/>
            <w:vAlign w:val="bottom"/>
            <w:shd w:val="clear" w:color="auto" w:fill="2AD2C9"/>
          </w:tcPr>
          <w:p>
            <w:pPr>
              <w:spacing w:after="0"/>
              <w:rPr>
                <w:sz w:val="10"/>
                <w:szCs w:val="10"/>
                <w:color w:val="auto"/>
              </w:rPr>
            </w:pPr>
          </w:p>
        </w:tc>
        <w:tc>
          <w:tcPr>
            <w:tcW w:w="1260" w:type="dxa"/>
            <w:vAlign w:val="bottom"/>
            <w:tcBorders>
              <w:right w:val="single" w:sz="8" w:color="2AD2C9"/>
            </w:tcBorders>
            <w:shd w:val="clear" w:color="auto" w:fill="2AD2C9"/>
          </w:tcPr>
          <w:p>
            <w:pPr>
              <w:ind w:left="540"/>
              <w:spacing w:after="0" w:line="124" w:lineRule="exact"/>
              <w:rPr>
                <w:sz w:val="20"/>
                <w:szCs w:val="20"/>
                <w:color w:val="auto"/>
              </w:rPr>
            </w:pPr>
            <w:r>
              <w:rPr>
                <w:rFonts w:ascii="Arial" w:cs="Arial" w:eastAsia="Arial" w:hAnsi="Arial"/>
                <w:sz w:val="12"/>
                <w:szCs w:val="12"/>
                <w:b w:val="1"/>
                <w:bCs w:val="1"/>
                <w:color w:val="FFFFFF"/>
              </w:rPr>
              <w:t>% Change</w:t>
            </w:r>
          </w:p>
        </w:tc>
        <w:tc>
          <w:tcPr>
            <w:tcW w:w="860" w:type="dxa"/>
            <w:vAlign w:val="bottom"/>
            <w:tcBorders>
              <w:right w:val="single" w:sz="8" w:color="auto"/>
            </w:tcBorders>
            <w:shd w:val="clear" w:color="auto" w:fill="2AD2C9"/>
          </w:tcPr>
          <w:p>
            <w:pPr>
              <w:spacing w:after="0"/>
              <w:rPr>
                <w:sz w:val="10"/>
                <w:szCs w:val="10"/>
                <w:color w:val="auto"/>
              </w:rPr>
            </w:pPr>
          </w:p>
        </w:tc>
        <w:tc>
          <w:tcPr>
            <w:tcW w:w="120" w:type="dxa"/>
            <w:vAlign w:val="bottom"/>
          </w:tcPr>
          <w:p>
            <w:pPr>
              <w:spacing w:after="0"/>
              <w:rPr>
                <w:sz w:val="10"/>
                <w:szCs w:val="10"/>
                <w:color w:val="auto"/>
              </w:rPr>
            </w:pPr>
          </w:p>
        </w:tc>
      </w:tr>
      <w:tr>
        <w:trPr>
          <w:trHeight w:val="155"/>
        </w:trPr>
        <w:tc>
          <w:tcPr>
            <w:tcW w:w="3060" w:type="dxa"/>
            <w:vAlign w:val="bottom"/>
            <w:tcBorders>
              <w:bottom w:val="single" w:sz="8" w:color="auto"/>
            </w:tcBorders>
          </w:tcPr>
          <w:p>
            <w:pPr>
              <w:spacing w:after="0"/>
              <w:rPr>
                <w:sz w:val="13"/>
                <w:szCs w:val="13"/>
                <w:color w:val="auto"/>
              </w:rPr>
            </w:pPr>
          </w:p>
        </w:tc>
        <w:tc>
          <w:tcPr>
            <w:tcW w:w="124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tcBorders>
            <w:shd w:val="clear" w:color="auto" w:fill="2AD2C9"/>
          </w:tcPr>
          <w:p>
            <w:pPr>
              <w:spacing w:after="0"/>
              <w:rPr>
                <w:sz w:val="13"/>
                <w:szCs w:val="13"/>
                <w:color w:val="auto"/>
              </w:rPr>
            </w:pPr>
          </w:p>
        </w:tc>
        <w:tc>
          <w:tcPr>
            <w:tcW w:w="1280" w:type="dxa"/>
            <w:vAlign w:val="bottom"/>
            <w:tcBorders>
              <w:bottom w:val="single" w:sz="8" w:color="auto"/>
              <w:right w:val="single" w:sz="8" w:color="2AD2C9"/>
            </w:tcBorders>
            <w:shd w:val="clear" w:color="auto" w:fill="2AD2C9"/>
          </w:tcPr>
          <w:p>
            <w:pPr>
              <w:jc w:val="right"/>
              <w:ind w:right="792"/>
              <w:spacing w:after="0"/>
              <w:rPr>
                <w:sz w:val="20"/>
                <w:szCs w:val="20"/>
                <w:color w:val="auto"/>
              </w:rPr>
            </w:pPr>
            <w:r>
              <w:rPr>
                <w:rFonts w:ascii="Arial" w:cs="Arial" w:eastAsia="Arial" w:hAnsi="Arial"/>
                <w:sz w:val="12"/>
                <w:szCs w:val="12"/>
                <w:b w:val="1"/>
                <w:bCs w:val="1"/>
                <w:color w:val="FFFFFF"/>
              </w:rPr>
              <w:t>Mar 23</w:t>
            </w:r>
          </w:p>
        </w:tc>
        <w:tc>
          <w:tcPr>
            <w:tcW w:w="1240" w:type="dxa"/>
            <w:vAlign w:val="bottom"/>
            <w:tcBorders>
              <w:bottom w:val="single" w:sz="8" w:color="auto"/>
            </w:tcBorders>
            <w:shd w:val="clear" w:color="auto" w:fill="2AD2C9"/>
          </w:tcPr>
          <w:p>
            <w:pPr>
              <w:jc w:val="right"/>
              <w:ind w:right="754"/>
              <w:spacing w:after="0"/>
              <w:rPr>
                <w:sz w:val="20"/>
                <w:szCs w:val="20"/>
                <w:color w:val="auto"/>
              </w:rPr>
            </w:pPr>
            <w:r>
              <w:rPr>
                <w:rFonts w:ascii="Arial" w:cs="Arial" w:eastAsia="Arial" w:hAnsi="Arial"/>
                <w:sz w:val="12"/>
                <w:szCs w:val="12"/>
                <w:b w:val="1"/>
                <w:bCs w:val="1"/>
                <w:color w:val="FFFFFF"/>
              </w:rPr>
              <w:t>Dec 23</w:t>
            </w:r>
          </w:p>
        </w:tc>
        <w:tc>
          <w:tcPr>
            <w:tcW w:w="940" w:type="dxa"/>
            <w:vAlign w:val="bottom"/>
            <w:tcBorders>
              <w:bottom w:val="single" w:sz="8" w:color="auto"/>
              <w:right w:val="single" w:sz="8" w:color="auto"/>
            </w:tcBorders>
            <w:gridSpan w:val="2"/>
            <w:shd w:val="clear" w:color="auto" w:fill="2AD2C9"/>
          </w:tcPr>
          <w:p>
            <w:pPr>
              <w:jc w:val="right"/>
              <w:ind w:right="460"/>
              <w:spacing w:after="0"/>
              <w:rPr>
                <w:sz w:val="20"/>
                <w:szCs w:val="20"/>
                <w:color w:val="auto"/>
              </w:rPr>
            </w:pPr>
            <w:r>
              <w:rPr>
                <w:rFonts w:ascii="Arial" w:cs="Arial" w:eastAsia="Arial" w:hAnsi="Arial"/>
                <w:sz w:val="12"/>
                <w:szCs w:val="12"/>
                <w:b w:val="1"/>
                <w:bCs w:val="1"/>
                <w:color w:val="FFFFFF"/>
              </w:rPr>
              <w:t>Mar 24</w:t>
            </w:r>
          </w:p>
        </w:tc>
        <w:tc>
          <w:tcPr>
            <w:tcW w:w="440" w:type="dxa"/>
            <w:vAlign w:val="bottom"/>
            <w:tcBorders>
              <w:bottom w:val="single" w:sz="8" w:color="auto"/>
            </w:tcBorders>
            <w:shd w:val="clear" w:color="auto" w:fill="2AD2C9"/>
          </w:tcPr>
          <w:p>
            <w:pPr>
              <w:spacing w:after="0"/>
              <w:rPr>
                <w:sz w:val="13"/>
                <w:szCs w:val="13"/>
                <w:color w:val="auto"/>
              </w:rPr>
            </w:pPr>
          </w:p>
        </w:tc>
        <w:tc>
          <w:tcPr>
            <w:tcW w:w="1260" w:type="dxa"/>
            <w:vAlign w:val="bottom"/>
            <w:tcBorders>
              <w:bottom w:val="single" w:sz="8" w:color="auto"/>
              <w:right w:val="single" w:sz="8" w:color="2AD2C9"/>
            </w:tcBorders>
            <w:shd w:val="clear" w:color="auto" w:fill="2AD2C9"/>
          </w:tcPr>
          <w:p>
            <w:pPr>
              <w:ind w:left="60"/>
              <w:spacing w:after="0"/>
              <w:rPr>
                <w:sz w:val="20"/>
                <w:szCs w:val="20"/>
                <w:color w:val="auto"/>
              </w:rPr>
            </w:pPr>
            <w:r>
              <w:rPr>
                <w:rFonts w:ascii="Arial" w:cs="Arial" w:eastAsia="Arial" w:hAnsi="Arial"/>
                <w:sz w:val="12"/>
                <w:szCs w:val="12"/>
                <w:b w:val="1"/>
                <w:bCs w:val="1"/>
                <w:color w:val="FFFFFF"/>
              </w:rPr>
              <w:t>QoQ</w:t>
            </w:r>
          </w:p>
        </w:tc>
        <w:tc>
          <w:tcPr>
            <w:tcW w:w="860" w:type="dxa"/>
            <w:vAlign w:val="bottom"/>
            <w:tcBorders>
              <w:bottom w:val="single" w:sz="8" w:color="auto"/>
              <w:right w:val="single" w:sz="8" w:color="auto"/>
            </w:tcBorders>
            <w:shd w:val="clear" w:color="auto" w:fill="2AD2C9"/>
          </w:tcPr>
          <w:p>
            <w:pPr>
              <w:ind w:left="100"/>
              <w:spacing w:after="0"/>
              <w:rPr>
                <w:sz w:val="20"/>
                <w:szCs w:val="20"/>
                <w:color w:val="auto"/>
              </w:rPr>
            </w:pPr>
            <w:r>
              <w:rPr>
                <w:rFonts w:ascii="Arial" w:cs="Arial" w:eastAsia="Arial" w:hAnsi="Arial"/>
                <w:sz w:val="12"/>
                <w:szCs w:val="12"/>
                <w:b w:val="1"/>
                <w:bCs w:val="1"/>
                <w:color w:val="FFFFFF"/>
              </w:rPr>
              <w:t>YoY</w:t>
            </w:r>
          </w:p>
        </w:tc>
        <w:tc>
          <w:tcPr>
            <w:tcW w:w="120" w:type="dxa"/>
            <w:vAlign w:val="bottom"/>
          </w:tcPr>
          <w:p>
            <w:pPr>
              <w:spacing w:after="0"/>
              <w:rPr>
                <w:sz w:val="13"/>
                <w:szCs w:val="13"/>
                <w:color w:val="auto"/>
              </w:rPr>
            </w:pPr>
          </w:p>
        </w:tc>
      </w:tr>
      <w:tr>
        <w:trPr>
          <w:trHeight w:val="124"/>
        </w:trPr>
        <w:tc>
          <w:tcPr>
            <w:tcW w:w="3060" w:type="dxa"/>
            <w:vAlign w:val="bottom"/>
            <w:tcBorders>
              <w:left w:val="single" w:sz="8" w:color="auto"/>
            </w:tcBorders>
          </w:tcPr>
          <w:p>
            <w:pPr>
              <w:ind w:left="40"/>
              <w:spacing w:after="0" w:line="124" w:lineRule="exact"/>
              <w:rPr>
                <w:sz w:val="20"/>
                <w:szCs w:val="20"/>
                <w:color w:val="auto"/>
              </w:rPr>
            </w:pPr>
            <w:r>
              <w:rPr>
                <w:rFonts w:ascii="Arial" w:cs="Arial" w:eastAsia="Arial" w:hAnsi="Arial"/>
                <w:sz w:val="12"/>
                <w:szCs w:val="12"/>
                <w:color w:val="auto"/>
              </w:rPr>
              <w:t>Total Assets</w:t>
            </w:r>
          </w:p>
        </w:tc>
        <w:tc>
          <w:tcPr>
            <w:tcW w:w="124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jc w:val="right"/>
              <w:ind w:right="392"/>
              <w:spacing w:after="0" w:line="124" w:lineRule="exact"/>
              <w:rPr>
                <w:sz w:val="20"/>
                <w:szCs w:val="20"/>
                <w:color w:val="auto"/>
              </w:rPr>
            </w:pPr>
            <w:r>
              <w:rPr>
                <w:rFonts w:ascii="Arial" w:cs="Arial" w:eastAsia="Arial" w:hAnsi="Arial"/>
                <w:sz w:val="12"/>
                <w:szCs w:val="12"/>
                <w:color w:val="auto"/>
              </w:rPr>
              <w:t>16,302,041</w:t>
            </w:r>
          </w:p>
        </w:tc>
        <w:tc>
          <w:tcPr>
            <w:tcW w:w="1240" w:type="dxa"/>
            <w:vAlign w:val="bottom"/>
          </w:tcPr>
          <w:p>
            <w:pPr>
              <w:jc w:val="right"/>
              <w:ind w:right="334"/>
              <w:spacing w:after="0" w:line="124" w:lineRule="exact"/>
              <w:rPr>
                <w:sz w:val="20"/>
                <w:szCs w:val="20"/>
                <w:color w:val="auto"/>
              </w:rPr>
            </w:pPr>
            <w:r>
              <w:rPr>
                <w:rFonts w:ascii="Arial" w:cs="Arial" w:eastAsia="Arial" w:hAnsi="Arial"/>
                <w:sz w:val="12"/>
                <w:szCs w:val="12"/>
                <w:color w:val="auto"/>
              </w:rPr>
              <w:t>16,549,171</w:t>
            </w:r>
          </w:p>
        </w:tc>
        <w:tc>
          <w:tcPr>
            <w:tcW w:w="940" w:type="dxa"/>
            <w:vAlign w:val="bottom"/>
            <w:tcBorders>
              <w:right w:val="single" w:sz="8" w:color="auto"/>
            </w:tcBorders>
            <w:gridSpan w:val="2"/>
          </w:tcPr>
          <w:p>
            <w:pPr>
              <w:jc w:val="right"/>
              <w:ind w:right="40"/>
              <w:spacing w:after="0" w:line="124" w:lineRule="exact"/>
              <w:rPr>
                <w:sz w:val="20"/>
                <w:szCs w:val="20"/>
                <w:color w:val="auto"/>
              </w:rPr>
            </w:pPr>
            <w:r>
              <w:rPr>
                <w:rFonts w:ascii="Arial" w:cs="Arial" w:eastAsia="Arial" w:hAnsi="Arial"/>
                <w:sz w:val="12"/>
                <w:szCs w:val="12"/>
                <w:color w:val="auto"/>
              </w:rPr>
              <w:t>16,811,863</w:t>
            </w:r>
          </w:p>
        </w:tc>
        <w:tc>
          <w:tcPr>
            <w:tcW w:w="440" w:type="dxa"/>
            <w:vAlign w:val="bottom"/>
          </w:tcPr>
          <w:p>
            <w:pPr>
              <w:spacing w:after="0"/>
              <w:rPr>
                <w:sz w:val="10"/>
                <w:szCs w:val="10"/>
                <w:color w:val="auto"/>
              </w:rPr>
            </w:pPr>
          </w:p>
        </w:tc>
        <w:tc>
          <w:tcPr>
            <w:tcW w:w="1260" w:type="dxa"/>
            <w:vAlign w:val="bottom"/>
          </w:tcPr>
          <w:p>
            <w:pPr>
              <w:jc w:val="center"/>
              <w:ind w:right="814"/>
              <w:spacing w:after="0" w:line="124" w:lineRule="exact"/>
              <w:rPr>
                <w:sz w:val="20"/>
                <w:szCs w:val="20"/>
                <w:color w:val="auto"/>
              </w:rPr>
            </w:pPr>
            <w:r>
              <w:rPr>
                <w:rFonts w:ascii="Arial" w:cs="Arial" w:eastAsia="Arial" w:hAnsi="Arial"/>
                <w:sz w:val="12"/>
                <w:szCs w:val="12"/>
                <w:color w:val="auto"/>
              </w:rPr>
              <w:t>1.6%</w:t>
            </w:r>
          </w:p>
        </w:tc>
        <w:tc>
          <w:tcPr>
            <w:tcW w:w="860" w:type="dxa"/>
            <w:vAlign w:val="bottom"/>
            <w:tcBorders>
              <w:right w:val="single" w:sz="8" w:color="auto"/>
            </w:tcBorders>
          </w:tcPr>
          <w:p>
            <w:pPr>
              <w:jc w:val="center"/>
              <w:ind w:right="415"/>
              <w:spacing w:after="0" w:line="124" w:lineRule="exact"/>
              <w:rPr>
                <w:sz w:val="20"/>
                <w:szCs w:val="20"/>
                <w:color w:val="auto"/>
              </w:rPr>
            </w:pPr>
            <w:r>
              <w:rPr>
                <w:rFonts w:ascii="Arial" w:cs="Arial" w:eastAsia="Arial" w:hAnsi="Arial"/>
                <w:sz w:val="12"/>
                <w:szCs w:val="12"/>
                <w:color w:val="auto"/>
              </w:rPr>
              <w:t>3.1%</w:t>
            </w:r>
          </w:p>
        </w:tc>
        <w:tc>
          <w:tcPr>
            <w:tcW w:w="120" w:type="dxa"/>
            <w:vAlign w:val="bottom"/>
          </w:tcPr>
          <w:p>
            <w:pPr>
              <w:spacing w:after="0"/>
              <w:rPr>
                <w:sz w:val="10"/>
                <w:szCs w:val="10"/>
                <w:color w:val="auto"/>
              </w:rPr>
            </w:pPr>
          </w:p>
        </w:tc>
      </w:tr>
      <w:tr>
        <w:trPr>
          <w:trHeight w:val="144"/>
        </w:trPr>
        <w:tc>
          <w:tcPr>
            <w:tcW w:w="306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Investment on Securities (1)</w:t>
            </w:r>
          </w:p>
        </w:tc>
        <w:tc>
          <w:tcPr>
            <w:tcW w:w="124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jc w:val="right"/>
              <w:ind w:right="392"/>
              <w:spacing w:after="0"/>
              <w:rPr>
                <w:sz w:val="20"/>
                <w:szCs w:val="20"/>
                <w:color w:val="auto"/>
              </w:rPr>
            </w:pPr>
            <w:r>
              <w:rPr>
                <w:rFonts w:ascii="Arial" w:cs="Arial" w:eastAsia="Arial" w:hAnsi="Arial"/>
                <w:sz w:val="12"/>
                <w:szCs w:val="12"/>
                <w:color w:val="auto"/>
              </w:rPr>
              <w:t>11,191,968</w:t>
            </w:r>
          </w:p>
        </w:tc>
        <w:tc>
          <w:tcPr>
            <w:tcW w:w="1240" w:type="dxa"/>
            <w:vAlign w:val="bottom"/>
          </w:tcPr>
          <w:p>
            <w:pPr>
              <w:jc w:val="right"/>
              <w:ind w:right="334"/>
              <w:spacing w:after="0"/>
              <w:rPr>
                <w:sz w:val="20"/>
                <w:szCs w:val="20"/>
                <w:color w:val="auto"/>
              </w:rPr>
            </w:pPr>
            <w:r>
              <w:rPr>
                <w:rFonts w:ascii="Arial" w:cs="Arial" w:eastAsia="Arial" w:hAnsi="Arial"/>
                <w:sz w:val="12"/>
                <w:szCs w:val="12"/>
                <w:color w:val="auto"/>
              </w:rPr>
              <w:t>12,704,842</w:t>
            </w:r>
          </w:p>
        </w:tc>
        <w:tc>
          <w:tcPr>
            <w:tcW w:w="9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12,485,677</w:t>
            </w:r>
          </w:p>
        </w:tc>
        <w:tc>
          <w:tcPr>
            <w:tcW w:w="440" w:type="dxa"/>
            <w:vAlign w:val="bottom"/>
          </w:tcPr>
          <w:p>
            <w:pPr>
              <w:spacing w:after="0"/>
              <w:rPr>
                <w:sz w:val="12"/>
                <w:szCs w:val="12"/>
                <w:color w:val="auto"/>
              </w:rPr>
            </w:pPr>
          </w:p>
        </w:tc>
        <w:tc>
          <w:tcPr>
            <w:tcW w:w="1260" w:type="dxa"/>
            <w:vAlign w:val="bottom"/>
          </w:tcPr>
          <w:p>
            <w:pPr>
              <w:jc w:val="center"/>
              <w:ind w:right="814"/>
              <w:spacing w:after="0"/>
              <w:rPr>
                <w:sz w:val="20"/>
                <w:szCs w:val="20"/>
                <w:color w:val="auto"/>
              </w:rPr>
            </w:pPr>
            <w:r>
              <w:rPr>
                <w:rFonts w:ascii="Arial" w:cs="Arial" w:eastAsia="Arial" w:hAnsi="Arial"/>
                <w:sz w:val="12"/>
                <w:szCs w:val="12"/>
                <w:color w:val="auto"/>
              </w:rPr>
              <w:t>-1.7%</w:t>
            </w:r>
          </w:p>
        </w:tc>
        <w:tc>
          <w:tcPr>
            <w:tcW w:w="860" w:type="dxa"/>
            <w:vAlign w:val="bottom"/>
            <w:tcBorders>
              <w:right w:val="single" w:sz="8" w:color="auto"/>
            </w:tcBorders>
          </w:tcPr>
          <w:p>
            <w:pPr>
              <w:jc w:val="center"/>
              <w:ind w:right="395"/>
              <w:spacing w:after="0"/>
              <w:rPr>
                <w:sz w:val="20"/>
                <w:szCs w:val="20"/>
                <w:color w:val="auto"/>
              </w:rPr>
            </w:pPr>
            <w:r>
              <w:rPr>
                <w:rFonts w:ascii="Arial" w:cs="Arial" w:eastAsia="Arial" w:hAnsi="Arial"/>
                <w:sz w:val="12"/>
                <w:szCs w:val="12"/>
                <w:color w:val="auto"/>
                <w:w w:val="99"/>
              </w:rPr>
              <w:t>11.6%</w:t>
            </w:r>
          </w:p>
        </w:tc>
        <w:tc>
          <w:tcPr>
            <w:tcW w:w="120" w:type="dxa"/>
            <w:vAlign w:val="bottom"/>
          </w:tcPr>
          <w:p>
            <w:pPr>
              <w:spacing w:after="0"/>
              <w:rPr>
                <w:sz w:val="12"/>
                <w:szCs w:val="12"/>
                <w:color w:val="auto"/>
              </w:rPr>
            </w:pPr>
          </w:p>
        </w:tc>
      </w:tr>
      <w:tr>
        <w:trPr>
          <w:trHeight w:val="144"/>
        </w:trPr>
        <w:tc>
          <w:tcPr>
            <w:tcW w:w="3060" w:type="dxa"/>
            <w:vAlign w:val="bottom"/>
            <w:tcBorders>
              <w:left w:val="single" w:sz="8" w:color="auto"/>
            </w:tcBorders>
          </w:tcPr>
          <w:p>
            <w:pPr>
              <w:ind w:left="40"/>
              <w:spacing w:after="0"/>
              <w:rPr>
                <w:sz w:val="20"/>
                <w:szCs w:val="20"/>
                <w:color w:val="auto"/>
              </w:rPr>
            </w:pPr>
            <w:r>
              <w:rPr>
                <w:rFonts w:ascii="Arial" w:cs="Arial" w:eastAsia="Arial" w:hAnsi="Arial"/>
                <w:sz w:val="12"/>
                <w:szCs w:val="12"/>
                <w:color w:val="auto"/>
              </w:rPr>
              <w:t>Total Liabilities</w:t>
            </w:r>
          </w:p>
        </w:tc>
        <w:tc>
          <w:tcPr>
            <w:tcW w:w="124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jc w:val="right"/>
              <w:ind w:right="392"/>
              <w:spacing w:after="0"/>
              <w:rPr>
                <w:sz w:val="20"/>
                <w:szCs w:val="20"/>
                <w:color w:val="auto"/>
              </w:rPr>
            </w:pPr>
            <w:r>
              <w:rPr>
                <w:rFonts w:ascii="Arial" w:cs="Arial" w:eastAsia="Arial" w:hAnsi="Arial"/>
                <w:sz w:val="12"/>
                <w:szCs w:val="12"/>
                <w:color w:val="auto"/>
              </w:rPr>
              <w:t>13,857,430</w:t>
            </w:r>
          </w:p>
        </w:tc>
        <w:tc>
          <w:tcPr>
            <w:tcW w:w="1240" w:type="dxa"/>
            <w:vAlign w:val="bottom"/>
          </w:tcPr>
          <w:p>
            <w:pPr>
              <w:jc w:val="right"/>
              <w:ind w:right="334"/>
              <w:spacing w:after="0"/>
              <w:rPr>
                <w:sz w:val="20"/>
                <w:szCs w:val="20"/>
                <w:color w:val="auto"/>
              </w:rPr>
            </w:pPr>
            <w:r>
              <w:rPr>
                <w:rFonts w:ascii="Arial" w:cs="Arial" w:eastAsia="Arial" w:hAnsi="Arial"/>
                <w:sz w:val="12"/>
                <w:szCs w:val="12"/>
                <w:color w:val="auto"/>
              </w:rPr>
              <w:t>13,443,688</w:t>
            </w:r>
          </w:p>
        </w:tc>
        <w:tc>
          <w:tcPr>
            <w:tcW w:w="9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13,920,334</w:t>
            </w:r>
          </w:p>
        </w:tc>
        <w:tc>
          <w:tcPr>
            <w:tcW w:w="440" w:type="dxa"/>
            <w:vAlign w:val="bottom"/>
          </w:tcPr>
          <w:p>
            <w:pPr>
              <w:spacing w:after="0"/>
              <w:rPr>
                <w:sz w:val="12"/>
                <w:szCs w:val="12"/>
                <w:color w:val="auto"/>
              </w:rPr>
            </w:pPr>
          </w:p>
        </w:tc>
        <w:tc>
          <w:tcPr>
            <w:tcW w:w="1260" w:type="dxa"/>
            <w:vAlign w:val="bottom"/>
          </w:tcPr>
          <w:p>
            <w:pPr>
              <w:jc w:val="center"/>
              <w:ind w:right="814"/>
              <w:spacing w:after="0"/>
              <w:rPr>
                <w:sz w:val="20"/>
                <w:szCs w:val="20"/>
                <w:color w:val="auto"/>
              </w:rPr>
            </w:pPr>
            <w:r>
              <w:rPr>
                <w:rFonts w:ascii="Arial" w:cs="Arial" w:eastAsia="Arial" w:hAnsi="Arial"/>
                <w:sz w:val="12"/>
                <w:szCs w:val="12"/>
                <w:color w:val="auto"/>
              </w:rPr>
              <w:t>3.5%</w:t>
            </w:r>
          </w:p>
        </w:tc>
        <w:tc>
          <w:tcPr>
            <w:tcW w:w="860" w:type="dxa"/>
            <w:vAlign w:val="bottom"/>
            <w:tcBorders>
              <w:right w:val="single" w:sz="8" w:color="auto"/>
            </w:tcBorders>
          </w:tcPr>
          <w:p>
            <w:pPr>
              <w:jc w:val="center"/>
              <w:ind w:right="415"/>
              <w:spacing w:after="0"/>
              <w:rPr>
                <w:sz w:val="20"/>
                <w:szCs w:val="20"/>
                <w:color w:val="auto"/>
              </w:rPr>
            </w:pPr>
            <w:r>
              <w:rPr>
                <w:rFonts w:ascii="Arial" w:cs="Arial" w:eastAsia="Arial" w:hAnsi="Arial"/>
                <w:sz w:val="12"/>
                <w:szCs w:val="12"/>
                <w:color w:val="auto"/>
              </w:rPr>
              <w:t>0.5%</w:t>
            </w:r>
          </w:p>
        </w:tc>
        <w:tc>
          <w:tcPr>
            <w:tcW w:w="120" w:type="dxa"/>
            <w:vAlign w:val="bottom"/>
          </w:tcPr>
          <w:p>
            <w:pPr>
              <w:spacing w:after="0"/>
              <w:rPr>
                <w:sz w:val="12"/>
                <w:szCs w:val="12"/>
                <w:color w:val="auto"/>
              </w:rPr>
            </w:pPr>
          </w:p>
        </w:tc>
      </w:tr>
      <w:tr>
        <w:trPr>
          <w:trHeight w:val="155"/>
        </w:trPr>
        <w:tc>
          <w:tcPr>
            <w:tcW w:w="30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2"/>
                <w:szCs w:val="12"/>
                <w:color w:val="auto"/>
              </w:rPr>
              <w:t>Net Equity</w:t>
            </w:r>
          </w:p>
        </w:tc>
        <w:tc>
          <w:tcPr>
            <w:tcW w:w="1240" w:type="dxa"/>
            <w:vAlign w:val="bottom"/>
            <w:tcBorders>
              <w:bottom w:val="single" w:sz="8" w:color="auto"/>
              <w:right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92"/>
              <w:spacing w:after="0"/>
              <w:rPr>
                <w:sz w:val="20"/>
                <w:szCs w:val="20"/>
                <w:color w:val="auto"/>
              </w:rPr>
            </w:pPr>
            <w:r>
              <w:rPr>
                <w:rFonts w:ascii="Arial" w:cs="Arial" w:eastAsia="Arial" w:hAnsi="Arial"/>
                <w:sz w:val="12"/>
                <w:szCs w:val="12"/>
                <w:color w:val="auto"/>
              </w:rPr>
              <w:t>2,431,696</w:t>
            </w:r>
          </w:p>
        </w:tc>
        <w:tc>
          <w:tcPr>
            <w:tcW w:w="1240" w:type="dxa"/>
            <w:vAlign w:val="bottom"/>
            <w:tcBorders>
              <w:bottom w:val="single" w:sz="8" w:color="auto"/>
            </w:tcBorders>
          </w:tcPr>
          <w:p>
            <w:pPr>
              <w:jc w:val="right"/>
              <w:ind w:right="334"/>
              <w:spacing w:after="0"/>
              <w:rPr>
                <w:sz w:val="20"/>
                <w:szCs w:val="20"/>
                <w:color w:val="auto"/>
              </w:rPr>
            </w:pPr>
            <w:r>
              <w:rPr>
                <w:rFonts w:ascii="Arial" w:cs="Arial" w:eastAsia="Arial" w:hAnsi="Arial"/>
                <w:sz w:val="12"/>
                <w:szCs w:val="12"/>
                <w:color w:val="auto"/>
              </w:rPr>
              <w:t>3,086,571</w:t>
            </w:r>
          </w:p>
        </w:tc>
        <w:tc>
          <w:tcPr>
            <w:tcW w:w="940" w:type="dxa"/>
            <w:vAlign w:val="bottom"/>
            <w:tcBorders>
              <w:bottom w:val="single" w:sz="8" w:color="auto"/>
              <w:right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2,878,536</w:t>
            </w:r>
          </w:p>
        </w:tc>
        <w:tc>
          <w:tcPr>
            <w:tcW w:w="4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814"/>
              <w:spacing w:after="0"/>
              <w:rPr>
                <w:sz w:val="20"/>
                <w:szCs w:val="20"/>
                <w:color w:val="auto"/>
              </w:rPr>
            </w:pPr>
            <w:r>
              <w:rPr>
                <w:rFonts w:ascii="Arial" w:cs="Arial" w:eastAsia="Arial" w:hAnsi="Arial"/>
                <w:sz w:val="12"/>
                <w:szCs w:val="12"/>
                <w:color w:val="auto"/>
              </w:rPr>
              <w:t>-6.7%</w:t>
            </w:r>
          </w:p>
        </w:tc>
        <w:tc>
          <w:tcPr>
            <w:tcW w:w="860" w:type="dxa"/>
            <w:vAlign w:val="bottom"/>
            <w:tcBorders>
              <w:bottom w:val="single" w:sz="8" w:color="auto"/>
              <w:right w:val="single" w:sz="8" w:color="auto"/>
            </w:tcBorders>
          </w:tcPr>
          <w:p>
            <w:pPr>
              <w:jc w:val="center"/>
              <w:ind w:right="395"/>
              <w:spacing w:after="0"/>
              <w:rPr>
                <w:sz w:val="20"/>
                <w:szCs w:val="20"/>
                <w:color w:val="auto"/>
              </w:rPr>
            </w:pPr>
            <w:r>
              <w:rPr>
                <w:rFonts w:ascii="Arial" w:cs="Arial" w:eastAsia="Arial" w:hAnsi="Arial"/>
                <w:sz w:val="12"/>
                <w:szCs w:val="12"/>
                <w:color w:val="auto"/>
                <w:w w:val="99"/>
              </w:rPr>
              <w:t>18.4%</w:t>
            </w:r>
          </w:p>
        </w:tc>
        <w:tc>
          <w:tcPr>
            <w:tcW w:w="120" w:type="dxa"/>
            <w:vAlign w:val="bottom"/>
          </w:tcPr>
          <w:p>
            <w:pPr>
              <w:spacing w:after="0"/>
              <w:rPr>
                <w:sz w:val="13"/>
                <w:szCs w:val="13"/>
                <w:color w:val="auto"/>
              </w:rPr>
            </w:pPr>
          </w:p>
        </w:tc>
      </w:tr>
      <w:tr>
        <w:trPr>
          <w:trHeight w:val="288"/>
        </w:trPr>
        <w:tc>
          <w:tcPr>
            <w:tcW w:w="30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20" w:type="dxa"/>
            <w:vAlign w:val="bottom"/>
            <w:gridSpan w:val="2"/>
          </w:tcPr>
          <w:p>
            <w:pPr>
              <w:jc w:val="right"/>
              <w:ind w:right="1014"/>
              <w:spacing w:after="0"/>
              <w:rPr>
                <w:sz w:val="20"/>
                <w:szCs w:val="20"/>
                <w:color w:val="auto"/>
              </w:rPr>
            </w:pPr>
            <w:r>
              <w:rPr>
                <w:rFonts w:ascii="Arial" w:cs="Arial" w:eastAsia="Arial" w:hAnsi="Arial"/>
                <w:sz w:val="14"/>
                <w:szCs w:val="14"/>
                <w:b w:val="1"/>
                <w:bCs w:val="1"/>
                <w:color w:val="auto"/>
              </w:rPr>
              <w:t>Statement of Income</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0"/>
        </w:trPr>
        <w:tc>
          <w:tcPr>
            <w:tcW w:w="3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20" w:type="dxa"/>
            <w:vAlign w:val="bottom"/>
            <w:gridSpan w:val="2"/>
          </w:tcPr>
          <w:p>
            <w:pPr>
              <w:jc w:val="right"/>
              <w:ind w:right="1054"/>
              <w:spacing w:after="0"/>
              <w:rPr>
                <w:sz w:val="20"/>
                <w:szCs w:val="20"/>
                <w:color w:val="auto"/>
              </w:rPr>
            </w:pPr>
            <w:r>
              <w:rPr>
                <w:rFonts w:ascii="Arial" w:cs="Arial" w:eastAsia="Arial" w:hAnsi="Arial"/>
                <w:sz w:val="12"/>
                <w:szCs w:val="12"/>
                <w:b w:val="1"/>
                <w:bCs w:val="1"/>
                <w:color w:val="auto"/>
              </w:rPr>
              <w:t>(S/ Thousands, IFRS)</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39"/>
        </w:trPr>
        <w:tc>
          <w:tcPr>
            <w:tcW w:w="306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r>
      <w:tr>
        <w:trPr>
          <w:trHeight w:val="72"/>
        </w:trPr>
        <w:tc>
          <w:tcPr>
            <w:tcW w:w="3060" w:type="dxa"/>
            <w:vAlign w:val="bottom"/>
            <w:tcBorders>
              <w:right w:val="single" w:sz="8" w:color="auto"/>
            </w:tcBorders>
          </w:tcPr>
          <w:p>
            <w:pPr>
              <w:spacing w:after="0"/>
              <w:rPr>
                <w:sz w:val="6"/>
                <w:szCs w:val="6"/>
                <w:color w:val="auto"/>
              </w:rPr>
            </w:pPr>
          </w:p>
        </w:tc>
        <w:tc>
          <w:tcPr>
            <w:tcW w:w="1240" w:type="dxa"/>
            <w:vAlign w:val="bottom"/>
            <w:tcBorders>
              <w:right w:val="single" w:sz="8" w:color="2AD2C9"/>
            </w:tcBorders>
            <w:shd w:val="clear" w:color="auto" w:fill="2AD2C9"/>
          </w:tcPr>
          <w:p>
            <w:pPr>
              <w:spacing w:after="0"/>
              <w:rPr>
                <w:sz w:val="6"/>
                <w:szCs w:val="6"/>
                <w:color w:val="auto"/>
              </w:rPr>
            </w:pPr>
          </w:p>
        </w:tc>
        <w:tc>
          <w:tcPr>
            <w:tcW w:w="400" w:type="dxa"/>
            <w:vAlign w:val="bottom"/>
            <w:shd w:val="clear" w:color="auto" w:fill="2AD2C9"/>
          </w:tcPr>
          <w:p>
            <w:pPr>
              <w:ind w:left="60"/>
              <w:spacing w:after="0" w:line="73" w:lineRule="exact"/>
              <w:rPr>
                <w:sz w:val="20"/>
                <w:szCs w:val="20"/>
                <w:color w:val="auto"/>
              </w:rPr>
            </w:pPr>
            <w:r>
              <w:rPr>
                <w:rFonts w:ascii="Arial" w:cs="Arial" w:eastAsia="Arial" w:hAnsi="Arial"/>
                <w:sz w:val="8"/>
                <w:szCs w:val="8"/>
                <w:b w:val="1"/>
                <w:bCs w:val="1"/>
                <w:color w:val="FFFFFF"/>
              </w:rPr>
              <w:t>Quarter</w:t>
            </w:r>
          </w:p>
        </w:tc>
        <w:tc>
          <w:tcPr>
            <w:tcW w:w="1280" w:type="dxa"/>
            <w:vAlign w:val="bottom"/>
            <w:tcBorders>
              <w:right w:val="single" w:sz="8" w:color="auto"/>
            </w:tcBorders>
            <w:shd w:val="clear" w:color="auto" w:fill="2AD2C9"/>
          </w:tcPr>
          <w:p>
            <w:pPr>
              <w:spacing w:after="0"/>
              <w:rPr>
                <w:sz w:val="6"/>
                <w:szCs w:val="6"/>
                <w:color w:val="auto"/>
              </w:rPr>
            </w:pPr>
          </w:p>
        </w:tc>
        <w:tc>
          <w:tcPr>
            <w:tcW w:w="1240" w:type="dxa"/>
            <w:vAlign w:val="bottom"/>
            <w:shd w:val="clear" w:color="auto" w:fill="2AD2C9"/>
          </w:tcPr>
          <w:p>
            <w:pPr>
              <w:jc w:val="right"/>
              <w:ind w:right="34"/>
              <w:spacing w:after="0" w:line="73" w:lineRule="exact"/>
              <w:rPr>
                <w:sz w:val="20"/>
                <w:szCs w:val="20"/>
                <w:color w:val="auto"/>
              </w:rPr>
            </w:pPr>
            <w:r>
              <w:rPr>
                <w:rFonts w:ascii="Arial" w:cs="Arial" w:eastAsia="Arial" w:hAnsi="Arial"/>
                <w:sz w:val="8"/>
                <w:szCs w:val="8"/>
                <w:b w:val="1"/>
                <w:bCs w:val="1"/>
                <w:color w:val="FFFFFF"/>
              </w:rPr>
              <w:t>% Change</w:t>
            </w:r>
          </w:p>
        </w:tc>
        <w:tc>
          <w:tcPr>
            <w:tcW w:w="720" w:type="dxa"/>
            <w:vAlign w:val="bottom"/>
            <w:tcBorders>
              <w:right w:val="single" w:sz="8" w:color="auto"/>
            </w:tcBorders>
            <w:shd w:val="clear" w:color="auto" w:fill="2AD2C9"/>
          </w:tcPr>
          <w:p>
            <w:pPr>
              <w:spacing w:after="0"/>
              <w:rPr>
                <w:sz w:val="6"/>
                <w:szCs w:val="6"/>
                <w:color w:val="auto"/>
              </w:rPr>
            </w:pPr>
          </w:p>
        </w:tc>
        <w:tc>
          <w:tcPr>
            <w:tcW w:w="220" w:type="dxa"/>
            <w:vAlign w:val="bottom"/>
            <w:tcBorders>
              <w:right w:val="single" w:sz="8" w:color="2AD2C9"/>
            </w:tcBorders>
            <w:shd w:val="clear" w:color="auto" w:fill="2AD2C9"/>
          </w:tcPr>
          <w:p>
            <w:pPr>
              <w:spacing w:after="0"/>
              <w:rPr>
                <w:sz w:val="6"/>
                <w:szCs w:val="6"/>
                <w:color w:val="auto"/>
              </w:rPr>
            </w:pPr>
          </w:p>
        </w:tc>
        <w:tc>
          <w:tcPr>
            <w:tcW w:w="440" w:type="dxa"/>
            <w:vAlign w:val="bottom"/>
            <w:shd w:val="clear" w:color="auto" w:fill="2AD2C9"/>
          </w:tcPr>
          <w:p>
            <w:pPr>
              <w:spacing w:after="0"/>
              <w:rPr>
                <w:sz w:val="6"/>
                <w:szCs w:val="6"/>
                <w:color w:val="auto"/>
              </w:rPr>
            </w:pPr>
          </w:p>
        </w:tc>
        <w:tc>
          <w:tcPr>
            <w:tcW w:w="1260" w:type="dxa"/>
            <w:vAlign w:val="bottom"/>
            <w:tcBorders>
              <w:right w:val="single" w:sz="8" w:color="auto"/>
            </w:tcBorders>
            <w:shd w:val="clear" w:color="auto" w:fill="2AD2C9"/>
          </w:tcPr>
          <w:p>
            <w:pPr>
              <w:ind w:left="180"/>
              <w:spacing w:after="0" w:line="73" w:lineRule="exact"/>
              <w:rPr>
                <w:sz w:val="20"/>
                <w:szCs w:val="20"/>
                <w:color w:val="auto"/>
              </w:rPr>
            </w:pPr>
            <w:r>
              <w:rPr>
                <w:rFonts w:ascii="Arial" w:cs="Arial" w:eastAsia="Arial" w:hAnsi="Arial"/>
                <w:sz w:val="8"/>
                <w:szCs w:val="8"/>
                <w:b w:val="1"/>
                <w:bCs w:val="1"/>
                <w:color w:val="FFFFFF"/>
              </w:rPr>
              <w:t>Up to</w:t>
            </w:r>
          </w:p>
        </w:tc>
        <w:tc>
          <w:tcPr>
            <w:tcW w:w="860" w:type="dxa"/>
            <w:vAlign w:val="bottom"/>
            <w:tcBorders>
              <w:right w:val="single" w:sz="8" w:color="2AD2C9"/>
            </w:tcBorders>
            <w:shd w:val="clear" w:color="auto" w:fill="2AD2C9"/>
          </w:tcPr>
          <w:p>
            <w:pPr>
              <w:ind w:left="280"/>
              <w:spacing w:after="0" w:line="73" w:lineRule="exact"/>
              <w:rPr>
                <w:sz w:val="20"/>
                <w:szCs w:val="20"/>
                <w:color w:val="auto"/>
              </w:rPr>
            </w:pPr>
            <w:r>
              <w:rPr>
                <w:rFonts w:ascii="Arial" w:cs="Arial" w:eastAsia="Arial" w:hAnsi="Arial"/>
                <w:sz w:val="8"/>
                <w:szCs w:val="8"/>
                <w:b w:val="1"/>
                <w:bCs w:val="1"/>
                <w:color w:val="FFFFFF"/>
              </w:rPr>
              <w:t>% change</w:t>
            </w:r>
          </w:p>
        </w:tc>
        <w:tc>
          <w:tcPr>
            <w:tcW w:w="120" w:type="dxa"/>
            <w:vAlign w:val="bottom"/>
            <w:tcBorders>
              <w:right w:val="single" w:sz="8" w:color="auto"/>
            </w:tcBorders>
            <w:shd w:val="clear" w:color="auto" w:fill="2AD2C9"/>
          </w:tcPr>
          <w:p>
            <w:pPr>
              <w:spacing w:after="0"/>
              <w:rPr>
                <w:sz w:val="6"/>
                <w:szCs w:val="6"/>
                <w:color w:val="auto"/>
              </w:rPr>
            </w:pPr>
          </w:p>
        </w:tc>
      </w:tr>
      <w:tr>
        <w:trPr>
          <w:trHeight w:val="103"/>
        </w:trPr>
        <w:tc>
          <w:tcPr>
            <w:tcW w:w="3060" w:type="dxa"/>
            <w:vAlign w:val="bottom"/>
            <w:tcBorders>
              <w:bottom w:val="single" w:sz="8" w:color="auto"/>
              <w:right w:val="single" w:sz="8" w:color="auto"/>
            </w:tcBorders>
          </w:tcPr>
          <w:p>
            <w:pPr>
              <w:spacing w:after="0"/>
              <w:rPr>
                <w:sz w:val="8"/>
                <w:szCs w:val="8"/>
                <w:color w:val="auto"/>
              </w:rPr>
            </w:pPr>
          </w:p>
        </w:tc>
        <w:tc>
          <w:tcPr>
            <w:tcW w:w="1240" w:type="dxa"/>
            <w:vAlign w:val="bottom"/>
            <w:tcBorders>
              <w:bottom w:val="single" w:sz="8" w:color="auto"/>
              <w:right w:val="single" w:sz="8" w:color="2AD2C9"/>
            </w:tcBorders>
            <w:shd w:val="clear" w:color="auto" w:fill="2AD2C9"/>
          </w:tcPr>
          <w:p>
            <w:pPr>
              <w:jc w:val="center"/>
              <w:ind w:right="279"/>
              <w:spacing w:after="0"/>
              <w:rPr>
                <w:sz w:val="20"/>
                <w:szCs w:val="20"/>
                <w:color w:val="auto"/>
              </w:rPr>
            </w:pPr>
            <w:r>
              <w:rPr>
                <w:rFonts w:ascii="Arial" w:cs="Arial" w:eastAsia="Arial" w:hAnsi="Arial"/>
                <w:sz w:val="8"/>
                <w:szCs w:val="8"/>
                <w:b w:val="1"/>
                <w:bCs w:val="1"/>
                <w:color w:val="FFFFFF"/>
              </w:rPr>
              <w:t>2Q23</w:t>
            </w:r>
          </w:p>
        </w:tc>
        <w:tc>
          <w:tcPr>
            <w:tcW w:w="4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rPr>
              <w:t>1Q24</w:t>
            </w:r>
          </w:p>
        </w:tc>
        <w:tc>
          <w:tcPr>
            <w:tcW w:w="1280" w:type="dxa"/>
            <w:vAlign w:val="bottom"/>
            <w:tcBorders>
              <w:bottom w:val="single" w:sz="8" w:color="auto"/>
              <w:right w:val="single" w:sz="8" w:color="auto"/>
            </w:tcBorders>
            <w:shd w:val="clear" w:color="auto" w:fill="2AD2C9"/>
          </w:tcPr>
          <w:p>
            <w:pPr>
              <w:jc w:val="center"/>
              <w:ind w:left="232"/>
              <w:spacing w:after="0"/>
              <w:rPr>
                <w:sz w:val="20"/>
                <w:szCs w:val="20"/>
                <w:color w:val="auto"/>
              </w:rPr>
            </w:pPr>
            <w:r>
              <w:rPr>
                <w:rFonts w:ascii="Arial" w:cs="Arial" w:eastAsia="Arial" w:hAnsi="Arial"/>
                <w:sz w:val="8"/>
                <w:szCs w:val="8"/>
                <w:b w:val="1"/>
                <w:bCs w:val="1"/>
                <w:color w:val="FFFFFF"/>
              </w:rPr>
              <w:t>2Q24</w:t>
            </w:r>
          </w:p>
        </w:tc>
        <w:tc>
          <w:tcPr>
            <w:tcW w:w="1240" w:type="dxa"/>
            <w:vAlign w:val="bottom"/>
            <w:tcBorders>
              <w:bottom w:val="single" w:sz="8" w:color="auto"/>
            </w:tcBorders>
            <w:shd w:val="clear" w:color="auto" w:fill="2AD2C9"/>
          </w:tcPr>
          <w:p>
            <w:pPr>
              <w:jc w:val="right"/>
              <w:ind w:right="634"/>
              <w:spacing w:after="0"/>
              <w:rPr>
                <w:sz w:val="20"/>
                <w:szCs w:val="20"/>
                <w:color w:val="auto"/>
              </w:rPr>
            </w:pPr>
            <w:r>
              <w:rPr>
                <w:rFonts w:ascii="Arial" w:cs="Arial" w:eastAsia="Arial" w:hAnsi="Arial"/>
                <w:sz w:val="8"/>
                <w:szCs w:val="8"/>
                <w:b w:val="1"/>
                <w:bCs w:val="1"/>
                <w:color w:val="FFFFFF"/>
              </w:rPr>
              <w:t>QoQ</w:t>
            </w:r>
          </w:p>
        </w:tc>
        <w:tc>
          <w:tcPr>
            <w:tcW w:w="720" w:type="dxa"/>
            <w:vAlign w:val="bottom"/>
            <w:tcBorders>
              <w:bottom w:val="single" w:sz="8" w:color="auto"/>
              <w:right w:val="single" w:sz="8" w:color="auto"/>
            </w:tcBorders>
            <w:shd w:val="clear" w:color="auto" w:fill="2AD2C9"/>
          </w:tcPr>
          <w:p>
            <w:pPr>
              <w:jc w:val="right"/>
              <w:ind w:right="394"/>
              <w:spacing w:after="0"/>
              <w:rPr>
                <w:sz w:val="20"/>
                <w:szCs w:val="20"/>
                <w:color w:val="auto"/>
              </w:rPr>
            </w:pPr>
            <w:r>
              <w:rPr>
                <w:rFonts w:ascii="Arial" w:cs="Arial" w:eastAsia="Arial" w:hAnsi="Arial"/>
                <w:sz w:val="8"/>
                <w:szCs w:val="8"/>
                <w:b w:val="1"/>
                <w:bCs w:val="1"/>
                <w:color w:val="FFFFFF"/>
              </w:rPr>
              <w:t>YoY</w:t>
            </w:r>
          </w:p>
        </w:tc>
        <w:tc>
          <w:tcPr>
            <w:tcW w:w="220" w:type="dxa"/>
            <w:vAlign w:val="bottom"/>
            <w:tcBorders>
              <w:bottom w:val="single" w:sz="8" w:color="auto"/>
              <w:right w:val="single" w:sz="8" w:color="2AD2C9"/>
            </w:tcBorders>
            <w:shd w:val="clear" w:color="auto" w:fill="2AD2C9"/>
          </w:tcPr>
          <w:p>
            <w:pPr>
              <w:spacing w:after="0"/>
              <w:rPr>
                <w:sz w:val="8"/>
                <w:szCs w:val="8"/>
                <w:color w:val="auto"/>
              </w:rPr>
            </w:pPr>
          </w:p>
        </w:tc>
        <w:tc>
          <w:tcPr>
            <w:tcW w:w="4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8"/>
                <w:szCs w:val="8"/>
                <w:b w:val="1"/>
                <w:bCs w:val="1"/>
                <w:color w:val="FFFFFF"/>
              </w:rPr>
              <w:t>1H23</w:t>
            </w:r>
          </w:p>
        </w:tc>
        <w:tc>
          <w:tcPr>
            <w:tcW w:w="1260" w:type="dxa"/>
            <w:vAlign w:val="bottom"/>
            <w:tcBorders>
              <w:bottom w:val="single" w:sz="8" w:color="auto"/>
              <w:right w:val="single" w:sz="8" w:color="auto"/>
            </w:tcBorders>
            <w:shd w:val="clear" w:color="auto" w:fill="2AD2C9"/>
          </w:tcPr>
          <w:p>
            <w:pPr>
              <w:jc w:val="center"/>
              <w:ind w:left="234"/>
              <w:spacing w:after="0"/>
              <w:rPr>
                <w:sz w:val="20"/>
                <w:szCs w:val="20"/>
                <w:color w:val="auto"/>
              </w:rPr>
            </w:pPr>
            <w:r>
              <w:rPr>
                <w:rFonts w:ascii="Arial" w:cs="Arial" w:eastAsia="Arial" w:hAnsi="Arial"/>
                <w:sz w:val="8"/>
                <w:szCs w:val="8"/>
                <w:b w:val="1"/>
                <w:bCs w:val="1"/>
                <w:color w:val="FFFFFF"/>
                <w:w w:val="93"/>
              </w:rPr>
              <w:t>1H24</w:t>
            </w:r>
          </w:p>
        </w:tc>
        <w:tc>
          <w:tcPr>
            <w:tcW w:w="860" w:type="dxa"/>
            <w:vAlign w:val="bottom"/>
            <w:tcBorders>
              <w:bottom w:val="single" w:sz="8" w:color="auto"/>
              <w:right w:val="single" w:sz="8" w:color="2AD2C9"/>
            </w:tcBorders>
            <w:shd w:val="clear" w:color="auto" w:fill="2AD2C9"/>
          </w:tcPr>
          <w:p>
            <w:pPr>
              <w:jc w:val="center"/>
              <w:ind w:left="75"/>
              <w:spacing w:after="0"/>
              <w:rPr>
                <w:sz w:val="20"/>
                <w:szCs w:val="20"/>
                <w:color w:val="auto"/>
              </w:rPr>
            </w:pPr>
            <w:r>
              <w:rPr>
                <w:rFonts w:ascii="Arial" w:cs="Arial" w:eastAsia="Arial" w:hAnsi="Arial"/>
                <w:sz w:val="8"/>
                <w:szCs w:val="8"/>
                <w:b w:val="1"/>
                <w:bCs w:val="1"/>
                <w:color w:val="FFFFFF"/>
              </w:rPr>
              <w:t>1H24 / 1H23</w:t>
            </w:r>
          </w:p>
        </w:tc>
        <w:tc>
          <w:tcPr>
            <w:tcW w:w="120" w:type="dxa"/>
            <w:vAlign w:val="bottom"/>
            <w:tcBorders>
              <w:bottom w:val="single" w:sz="8" w:color="auto"/>
              <w:right w:val="single" w:sz="8" w:color="auto"/>
            </w:tcBorders>
            <w:shd w:val="clear" w:color="auto" w:fill="2AD2C9"/>
          </w:tcPr>
          <w:p>
            <w:pPr>
              <w:spacing w:after="0"/>
              <w:rPr>
                <w:sz w:val="8"/>
                <w:szCs w:val="8"/>
                <w:color w:val="auto"/>
              </w:rPr>
            </w:pPr>
          </w:p>
        </w:tc>
      </w:tr>
      <w:tr>
        <w:trPr>
          <w:trHeight w:val="72"/>
        </w:trPr>
        <w:tc>
          <w:tcPr>
            <w:tcW w:w="3060" w:type="dxa"/>
            <w:vAlign w:val="bottom"/>
            <w:tcBorders>
              <w:left w:val="single" w:sz="8" w:color="auto"/>
              <w:right w:val="single" w:sz="8" w:color="auto"/>
            </w:tcBorders>
          </w:tcPr>
          <w:p>
            <w:pPr>
              <w:spacing w:after="0" w:line="73" w:lineRule="exact"/>
              <w:rPr>
                <w:sz w:val="20"/>
                <w:szCs w:val="20"/>
                <w:color w:val="auto"/>
              </w:rPr>
            </w:pPr>
            <w:r>
              <w:rPr>
                <w:rFonts w:ascii="Arial" w:cs="Arial" w:eastAsia="Arial" w:hAnsi="Arial"/>
                <w:sz w:val="8"/>
                <w:szCs w:val="8"/>
                <w:color w:val="auto"/>
              </w:rPr>
              <w:t>Insurance Service Result</w:t>
            </w:r>
          </w:p>
        </w:tc>
        <w:tc>
          <w:tcPr>
            <w:tcW w:w="1240" w:type="dxa"/>
            <w:vAlign w:val="bottom"/>
          </w:tcPr>
          <w:p>
            <w:pPr>
              <w:jc w:val="center"/>
              <w:ind w:right="259"/>
              <w:spacing w:after="0" w:line="73" w:lineRule="exact"/>
              <w:rPr>
                <w:sz w:val="20"/>
                <w:szCs w:val="20"/>
                <w:color w:val="auto"/>
              </w:rPr>
            </w:pPr>
            <w:r>
              <w:rPr>
                <w:rFonts w:ascii="Arial" w:cs="Arial" w:eastAsia="Arial" w:hAnsi="Arial"/>
                <w:sz w:val="8"/>
                <w:szCs w:val="8"/>
                <w:color w:val="auto"/>
              </w:rPr>
              <w:t>275,201</w:t>
            </w:r>
          </w:p>
        </w:tc>
        <w:tc>
          <w:tcPr>
            <w:tcW w:w="400" w:type="dxa"/>
            <w:vAlign w:val="bottom"/>
          </w:tcPr>
          <w:p>
            <w:pPr>
              <w:jc w:val="center"/>
              <w:spacing w:after="0" w:line="73" w:lineRule="exact"/>
              <w:rPr>
                <w:sz w:val="20"/>
                <w:szCs w:val="20"/>
                <w:color w:val="auto"/>
              </w:rPr>
            </w:pPr>
            <w:r>
              <w:rPr>
                <w:rFonts w:ascii="Arial" w:cs="Arial" w:eastAsia="Arial" w:hAnsi="Arial"/>
                <w:sz w:val="8"/>
                <w:szCs w:val="8"/>
                <w:color w:val="auto"/>
                <w:w w:val="96"/>
              </w:rPr>
              <w:t>341,794</w:t>
            </w:r>
          </w:p>
        </w:tc>
        <w:tc>
          <w:tcPr>
            <w:tcW w:w="1280" w:type="dxa"/>
            <w:vAlign w:val="bottom"/>
            <w:tcBorders>
              <w:right w:val="single" w:sz="8" w:color="auto"/>
            </w:tcBorders>
          </w:tcPr>
          <w:p>
            <w:pPr>
              <w:jc w:val="center"/>
              <w:ind w:left="212"/>
              <w:spacing w:after="0" w:line="73" w:lineRule="exact"/>
              <w:rPr>
                <w:sz w:val="20"/>
                <w:szCs w:val="20"/>
                <w:color w:val="auto"/>
              </w:rPr>
            </w:pPr>
            <w:r>
              <w:rPr>
                <w:rFonts w:ascii="Arial" w:cs="Arial" w:eastAsia="Arial" w:hAnsi="Arial"/>
                <w:sz w:val="8"/>
                <w:szCs w:val="8"/>
                <w:color w:val="auto"/>
              </w:rPr>
              <w:t>286,987</w:t>
            </w:r>
          </w:p>
        </w:tc>
        <w:tc>
          <w:tcPr>
            <w:tcW w:w="1240" w:type="dxa"/>
            <w:vAlign w:val="bottom"/>
          </w:tcPr>
          <w:p>
            <w:pPr>
              <w:jc w:val="center"/>
              <w:ind w:right="254"/>
              <w:spacing w:after="0" w:line="73" w:lineRule="exact"/>
              <w:rPr>
                <w:sz w:val="20"/>
                <w:szCs w:val="20"/>
                <w:color w:val="auto"/>
              </w:rPr>
            </w:pPr>
            <w:r>
              <w:rPr>
                <w:rFonts w:ascii="Arial" w:cs="Arial" w:eastAsia="Arial" w:hAnsi="Arial"/>
                <w:sz w:val="8"/>
                <w:szCs w:val="8"/>
                <w:color w:val="auto"/>
              </w:rPr>
              <w:t>-16.0%</w:t>
            </w:r>
          </w:p>
        </w:tc>
        <w:tc>
          <w:tcPr>
            <w:tcW w:w="720" w:type="dxa"/>
            <w:vAlign w:val="bottom"/>
            <w:tcBorders>
              <w:right w:val="single" w:sz="8" w:color="auto"/>
            </w:tcBorders>
          </w:tcPr>
          <w:p>
            <w:pPr>
              <w:jc w:val="center"/>
              <w:ind w:right="254"/>
              <w:spacing w:after="0" w:line="73" w:lineRule="exact"/>
              <w:rPr>
                <w:sz w:val="20"/>
                <w:szCs w:val="20"/>
                <w:color w:val="auto"/>
              </w:rPr>
            </w:pPr>
            <w:r>
              <w:rPr>
                <w:rFonts w:ascii="Arial" w:cs="Arial" w:eastAsia="Arial" w:hAnsi="Arial"/>
                <w:sz w:val="8"/>
                <w:szCs w:val="8"/>
                <w:color w:val="auto"/>
                <w:w w:val="98"/>
              </w:rPr>
              <w:t>4.3%</w:t>
            </w:r>
          </w:p>
        </w:tc>
        <w:tc>
          <w:tcPr>
            <w:tcW w:w="220" w:type="dxa"/>
            <w:vAlign w:val="bottom"/>
          </w:tcPr>
          <w:p>
            <w:pPr>
              <w:spacing w:after="0"/>
              <w:rPr>
                <w:sz w:val="6"/>
                <w:szCs w:val="6"/>
                <w:color w:val="auto"/>
              </w:rPr>
            </w:pPr>
          </w:p>
        </w:tc>
        <w:tc>
          <w:tcPr>
            <w:tcW w:w="440" w:type="dxa"/>
            <w:vAlign w:val="bottom"/>
          </w:tcPr>
          <w:p>
            <w:pPr>
              <w:jc w:val="center"/>
              <w:ind w:left="19"/>
              <w:spacing w:after="0" w:line="73" w:lineRule="exact"/>
              <w:rPr>
                <w:sz w:val="20"/>
                <w:szCs w:val="20"/>
                <w:color w:val="auto"/>
              </w:rPr>
            </w:pPr>
            <w:r>
              <w:rPr>
                <w:rFonts w:ascii="Arial" w:cs="Arial" w:eastAsia="Arial" w:hAnsi="Arial"/>
                <w:sz w:val="8"/>
                <w:szCs w:val="8"/>
                <w:color w:val="auto"/>
              </w:rPr>
              <w:t>571,591</w:t>
            </w:r>
          </w:p>
        </w:tc>
        <w:tc>
          <w:tcPr>
            <w:tcW w:w="1260" w:type="dxa"/>
            <w:vAlign w:val="bottom"/>
            <w:tcBorders>
              <w:right w:val="single" w:sz="8" w:color="auto"/>
            </w:tcBorders>
          </w:tcPr>
          <w:p>
            <w:pPr>
              <w:jc w:val="center"/>
              <w:ind w:left="234"/>
              <w:spacing w:after="0" w:line="73" w:lineRule="exact"/>
              <w:rPr>
                <w:sz w:val="20"/>
                <w:szCs w:val="20"/>
                <w:color w:val="auto"/>
              </w:rPr>
            </w:pPr>
            <w:r>
              <w:rPr>
                <w:rFonts w:ascii="Arial" w:cs="Arial" w:eastAsia="Arial" w:hAnsi="Arial"/>
                <w:sz w:val="8"/>
                <w:szCs w:val="8"/>
                <w:color w:val="auto"/>
              </w:rPr>
              <w:t>628,781</w:t>
            </w:r>
          </w:p>
        </w:tc>
        <w:tc>
          <w:tcPr>
            <w:tcW w:w="860" w:type="dxa"/>
            <w:vAlign w:val="bottom"/>
          </w:tcPr>
          <w:p>
            <w:pPr>
              <w:jc w:val="center"/>
              <w:ind w:left="55"/>
              <w:spacing w:after="0" w:line="73" w:lineRule="exact"/>
              <w:rPr>
                <w:sz w:val="20"/>
                <w:szCs w:val="20"/>
                <w:color w:val="auto"/>
              </w:rPr>
            </w:pPr>
            <w:r>
              <w:rPr>
                <w:rFonts w:ascii="Arial" w:cs="Arial" w:eastAsia="Arial" w:hAnsi="Arial"/>
                <w:sz w:val="8"/>
                <w:szCs w:val="8"/>
                <w:color w:val="auto"/>
              </w:rPr>
              <w:t>10.0%</w:t>
            </w:r>
          </w:p>
        </w:tc>
        <w:tc>
          <w:tcPr>
            <w:tcW w:w="120" w:type="dxa"/>
            <w:vAlign w:val="bottom"/>
            <w:tcBorders>
              <w:right w:val="single" w:sz="8" w:color="auto"/>
            </w:tcBorders>
          </w:tcPr>
          <w:p>
            <w:pPr>
              <w:spacing w:after="0"/>
              <w:rPr>
                <w:sz w:val="6"/>
                <w:szCs w:val="6"/>
                <w:color w:val="auto"/>
              </w:rPr>
            </w:pPr>
          </w:p>
        </w:tc>
      </w:tr>
      <w:tr>
        <w:trPr>
          <w:trHeight w:val="93"/>
        </w:trPr>
        <w:tc>
          <w:tcPr>
            <w:tcW w:w="3060" w:type="dxa"/>
            <w:vAlign w:val="bottom"/>
            <w:tcBorders>
              <w:left w:val="single" w:sz="8" w:color="auto"/>
              <w:right w:val="single" w:sz="8" w:color="auto"/>
            </w:tcBorders>
          </w:tcPr>
          <w:p>
            <w:pPr>
              <w:spacing w:after="0"/>
              <w:rPr>
                <w:sz w:val="20"/>
                <w:szCs w:val="20"/>
                <w:color w:val="auto"/>
              </w:rPr>
            </w:pPr>
            <w:r>
              <w:rPr>
                <w:rFonts w:ascii="Arial" w:cs="Arial" w:eastAsia="Arial" w:hAnsi="Arial"/>
                <w:sz w:val="8"/>
                <w:szCs w:val="8"/>
                <w:color w:val="auto"/>
              </w:rPr>
              <w:t>Reinsurance Result</w:t>
            </w:r>
          </w:p>
        </w:tc>
        <w:tc>
          <w:tcPr>
            <w:tcW w:w="1240" w:type="dxa"/>
            <w:vAlign w:val="bottom"/>
          </w:tcPr>
          <w:p>
            <w:pPr>
              <w:jc w:val="center"/>
              <w:ind w:right="279"/>
              <w:spacing w:after="0"/>
              <w:rPr>
                <w:sz w:val="20"/>
                <w:szCs w:val="20"/>
                <w:color w:val="auto"/>
              </w:rPr>
            </w:pPr>
            <w:r>
              <w:rPr>
                <w:rFonts w:ascii="Arial" w:cs="Arial" w:eastAsia="Arial" w:hAnsi="Arial"/>
                <w:sz w:val="8"/>
                <w:szCs w:val="8"/>
                <w:color w:val="auto"/>
              </w:rPr>
              <w:t>-96,697</w:t>
            </w:r>
          </w:p>
        </w:tc>
        <w:tc>
          <w:tcPr>
            <w:tcW w:w="400" w:type="dxa"/>
            <w:vAlign w:val="bottom"/>
          </w:tcPr>
          <w:p>
            <w:pPr>
              <w:jc w:val="center"/>
              <w:spacing w:after="0"/>
              <w:rPr>
                <w:sz w:val="20"/>
                <w:szCs w:val="20"/>
                <w:color w:val="auto"/>
              </w:rPr>
            </w:pPr>
            <w:r>
              <w:rPr>
                <w:rFonts w:ascii="Arial" w:cs="Arial" w:eastAsia="Arial" w:hAnsi="Arial"/>
                <w:sz w:val="8"/>
                <w:szCs w:val="8"/>
                <w:color w:val="auto"/>
              </w:rPr>
              <w:t>-180,053</w:t>
            </w:r>
          </w:p>
        </w:tc>
        <w:tc>
          <w:tcPr>
            <w:tcW w:w="1280" w:type="dxa"/>
            <w:vAlign w:val="bottom"/>
            <w:tcBorders>
              <w:right w:val="single" w:sz="8" w:color="auto"/>
            </w:tcBorders>
          </w:tcPr>
          <w:p>
            <w:pPr>
              <w:jc w:val="center"/>
              <w:ind w:left="232"/>
              <w:spacing w:after="0"/>
              <w:rPr>
                <w:sz w:val="20"/>
                <w:szCs w:val="20"/>
                <w:color w:val="auto"/>
              </w:rPr>
            </w:pPr>
            <w:r>
              <w:rPr>
                <w:rFonts w:ascii="Arial" w:cs="Arial" w:eastAsia="Arial" w:hAnsi="Arial"/>
                <w:sz w:val="8"/>
                <w:szCs w:val="8"/>
                <w:color w:val="auto"/>
              </w:rPr>
              <w:t>-95,236</w:t>
            </w:r>
          </w:p>
        </w:tc>
        <w:tc>
          <w:tcPr>
            <w:tcW w:w="1240" w:type="dxa"/>
            <w:vAlign w:val="bottom"/>
          </w:tcPr>
          <w:p>
            <w:pPr>
              <w:jc w:val="center"/>
              <w:ind w:right="254"/>
              <w:spacing w:after="0"/>
              <w:rPr>
                <w:sz w:val="20"/>
                <w:szCs w:val="20"/>
                <w:color w:val="auto"/>
              </w:rPr>
            </w:pPr>
            <w:r>
              <w:rPr>
                <w:rFonts w:ascii="Arial" w:cs="Arial" w:eastAsia="Arial" w:hAnsi="Arial"/>
                <w:sz w:val="8"/>
                <w:szCs w:val="8"/>
                <w:color w:val="auto"/>
              </w:rPr>
              <w:t>-47.1%</w:t>
            </w:r>
          </w:p>
        </w:tc>
        <w:tc>
          <w:tcPr>
            <w:tcW w:w="720" w:type="dxa"/>
            <w:vAlign w:val="bottom"/>
            <w:tcBorders>
              <w:right w:val="single" w:sz="8" w:color="auto"/>
            </w:tcBorders>
          </w:tcPr>
          <w:p>
            <w:pPr>
              <w:jc w:val="center"/>
              <w:ind w:right="254"/>
              <w:spacing w:after="0"/>
              <w:rPr>
                <w:sz w:val="20"/>
                <w:szCs w:val="20"/>
                <w:color w:val="auto"/>
              </w:rPr>
            </w:pPr>
            <w:r>
              <w:rPr>
                <w:rFonts w:ascii="Arial" w:cs="Arial" w:eastAsia="Arial" w:hAnsi="Arial"/>
                <w:sz w:val="8"/>
                <w:szCs w:val="8"/>
                <w:color w:val="auto"/>
              </w:rPr>
              <w:t>-1.5%</w:t>
            </w:r>
          </w:p>
        </w:tc>
        <w:tc>
          <w:tcPr>
            <w:tcW w:w="220" w:type="dxa"/>
            <w:vAlign w:val="bottom"/>
          </w:tcPr>
          <w:p>
            <w:pPr>
              <w:spacing w:after="0"/>
              <w:rPr>
                <w:sz w:val="8"/>
                <w:szCs w:val="8"/>
                <w:color w:val="auto"/>
              </w:rPr>
            </w:pPr>
          </w:p>
        </w:tc>
        <w:tc>
          <w:tcPr>
            <w:tcW w:w="440" w:type="dxa"/>
            <w:vAlign w:val="bottom"/>
          </w:tcPr>
          <w:p>
            <w:pPr>
              <w:jc w:val="center"/>
              <w:ind w:left="19"/>
              <w:spacing w:after="0"/>
              <w:rPr>
                <w:sz w:val="20"/>
                <w:szCs w:val="20"/>
                <w:color w:val="auto"/>
              </w:rPr>
            </w:pPr>
            <w:r>
              <w:rPr>
                <w:rFonts w:ascii="Arial" w:cs="Arial" w:eastAsia="Arial" w:hAnsi="Arial"/>
                <w:sz w:val="8"/>
                <w:szCs w:val="8"/>
                <w:color w:val="auto"/>
              </w:rPr>
              <w:t>-210,706</w:t>
            </w:r>
          </w:p>
        </w:tc>
        <w:tc>
          <w:tcPr>
            <w:tcW w:w="1260" w:type="dxa"/>
            <w:vAlign w:val="bottom"/>
            <w:tcBorders>
              <w:right w:val="single" w:sz="8" w:color="auto"/>
            </w:tcBorders>
          </w:tcPr>
          <w:p>
            <w:pPr>
              <w:jc w:val="center"/>
              <w:ind w:left="234"/>
              <w:spacing w:after="0"/>
              <w:rPr>
                <w:sz w:val="20"/>
                <w:szCs w:val="20"/>
                <w:color w:val="auto"/>
              </w:rPr>
            </w:pPr>
            <w:r>
              <w:rPr>
                <w:rFonts w:ascii="Arial" w:cs="Arial" w:eastAsia="Arial" w:hAnsi="Arial"/>
                <w:sz w:val="8"/>
                <w:szCs w:val="8"/>
                <w:color w:val="auto"/>
              </w:rPr>
              <w:t>-275,289</w:t>
            </w:r>
          </w:p>
        </w:tc>
        <w:tc>
          <w:tcPr>
            <w:tcW w:w="860" w:type="dxa"/>
            <w:vAlign w:val="bottom"/>
          </w:tcPr>
          <w:p>
            <w:pPr>
              <w:jc w:val="center"/>
              <w:ind w:left="55"/>
              <w:spacing w:after="0"/>
              <w:rPr>
                <w:sz w:val="20"/>
                <w:szCs w:val="20"/>
                <w:color w:val="auto"/>
              </w:rPr>
            </w:pPr>
            <w:r>
              <w:rPr>
                <w:rFonts w:ascii="Arial" w:cs="Arial" w:eastAsia="Arial" w:hAnsi="Arial"/>
                <w:sz w:val="8"/>
                <w:szCs w:val="8"/>
                <w:color w:val="auto"/>
              </w:rPr>
              <w:t>30.7%</w:t>
            </w:r>
          </w:p>
        </w:tc>
        <w:tc>
          <w:tcPr>
            <w:tcW w:w="120" w:type="dxa"/>
            <w:vAlign w:val="bottom"/>
            <w:tcBorders>
              <w:right w:val="single" w:sz="8" w:color="auto"/>
            </w:tcBorders>
          </w:tcPr>
          <w:p>
            <w:pPr>
              <w:spacing w:after="0"/>
              <w:rPr>
                <w:sz w:val="8"/>
                <w:szCs w:val="8"/>
                <w:color w:val="auto"/>
              </w:rPr>
            </w:pPr>
          </w:p>
        </w:tc>
      </w:tr>
      <w:tr>
        <w:trPr>
          <w:trHeight w:val="93"/>
        </w:trPr>
        <w:tc>
          <w:tcPr>
            <w:tcW w:w="3060" w:type="dxa"/>
            <w:vAlign w:val="bottom"/>
            <w:tcBorders>
              <w:left w:val="single" w:sz="8" w:color="auto"/>
              <w:right w:val="single" w:sz="8" w:color="auto"/>
            </w:tcBorders>
          </w:tcPr>
          <w:p>
            <w:pPr>
              <w:spacing w:after="0"/>
              <w:rPr>
                <w:sz w:val="20"/>
                <w:szCs w:val="20"/>
                <w:color w:val="auto"/>
              </w:rPr>
            </w:pPr>
            <w:r>
              <w:rPr>
                <w:rFonts w:ascii="Arial" w:cs="Arial" w:eastAsia="Arial" w:hAnsi="Arial"/>
                <w:sz w:val="8"/>
                <w:szCs w:val="8"/>
                <w:b w:val="1"/>
                <w:bCs w:val="1"/>
                <w:color w:val="auto"/>
              </w:rPr>
              <w:t>Insurance underwriting result</w:t>
            </w:r>
          </w:p>
        </w:tc>
        <w:tc>
          <w:tcPr>
            <w:tcW w:w="1240" w:type="dxa"/>
            <w:vAlign w:val="bottom"/>
          </w:tcPr>
          <w:p>
            <w:pPr>
              <w:jc w:val="center"/>
              <w:ind w:right="259"/>
              <w:spacing w:after="0"/>
              <w:rPr>
                <w:sz w:val="20"/>
                <w:szCs w:val="20"/>
                <w:color w:val="auto"/>
              </w:rPr>
            </w:pPr>
            <w:r>
              <w:rPr>
                <w:rFonts w:ascii="Arial" w:cs="Arial" w:eastAsia="Arial" w:hAnsi="Arial"/>
                <w:sz w:val="8"/>
                <w:szCs w:val="8"/>
                <w:b w:val="1"/>
                <w:bCs w:val="1"/>
                <w:color w:val="auto"/>
              </w:rPr>
              <w:t>178,504</w:t>
            </w:r>
          </w:p>
        </w:tc>
        <w:tc>
          <w:tcPr>
            <w:tcW w:w="400" w:type="dxa"/>
            <w:vAlign w:val="bottom"/>
          </w:tcPr>
          <w:p>
            <w:pPr>
              <w:jc w:val="center"/>
              <w:spacing w:after="0"/>
              <w:rPr>
                <w:sz w:val="20"/>
                <w:szCs w:val="20"/>
                <w:color w:val="auto"/>
              </w:rPr>
            </w:pPr>
            <w:r>
              <w:rPr>
                <w:rFonts w:ascii="Arial" w:cs="Arial" w:eastAsia="Arial" w:hAnsi="Arial"/>
                <w:sz w:val="8"/>
                <w:szCs w:val="8"/>
                <w:b w:val="1"/>
                <w:bCs w:val="1"/>
                <w:color w:val="auto"/>
                <w:w w:val="96"/>
              </w:rPr>
              <w:t>161,741</w:t>
            </w:r>
          </w:p>
        </w:tc>
        <w:tc>
          <w:tcPr>
            <w:tcW w:w="1280" w:type="dxa"/>
            <w:vAlign w:val="bottom"/>
            <w:tcBorders>
              <w:right w:val="single" w:sz="8" w:color="auto"/>
            </w:tcBorders>
          </w:tcPr>
          <w:p>
            <w:pPr>
              <w:jc w:val="center"/>
              <w:ind w:left="212"/>
              <w:spacing w:after="0"/>
              <w:rPr>
                <w:sz w:val="20"/>
                <w:szCs w:val="20"/>
                <w:color w:val="auto"/>
              </w:rPr>
            </w:pPr>
            <w:r>
              <w:rPr>
                <w:rFonts w:ascii="Arial" w:cs="Arial" w:eastAsia="Arial" w:hAnsi="Arial"/>
                <w:sz w:val="8"/>
                <w:szCs w:val="8"/>
                <w:b w:val="1"/>
                <w:bCs w:val="1"/>
                <w:color w:val="auto"/>
              </w:rPr>
              <w:t>191,751</w:t>
            </w:r>
          </w:p>
        </w:tc>
        <w:tc>
          <w:tcPr>
            <w:tcW w:w="1240" w:type="dxa"/>
            <w:vAlign w:val="bottom"/>
          </w:tcPr>
          <w:p>
            <w:pPr>
              <w:jc w:val="center"/>
              <w:ind w:right="234"/>
              <w:spacing w:after="0"/>
              <w:rPr>
                <w:sz w:val="20"/>
                <w:szCs w:val="20"/>
                <w:color w:val="auto"/>
              </w:rPr>
            </w:pPr>
            <w:r>
              <w:rPr>
                <w:rFonts w:ascii="Arial" w:cs="Arial" w:eastAsia="Arial" w:hAnsi="Arial"/>
                <w:sz w:val="8"/>
                <w:szCs w:val="8"/>
                <w:b w:val="1"/>
                <w:bCs w:val="1"/>
                <w:color w:val="auto"/>
              </w:rPr>
              <w:t>18.6%</w:t>
            </w:r>
          </w:p>
        </w:tc>
        <w:tc>
          <w:tcPr>
            <w:tcW w:w="720" w:type="dxa"/>
            <w:vAlign w:val="bottom"/>
            <w:tcBorders>
              <w:right w:val="single" w:sz="8" w:color="auto"/>
            </w:tcBorders>
          </w:tcPr>
          <w:p>
            <w:pPr>
              <w:jc w:val="center"/>
              <w:ind w:right="254"/>
              <w:spacing w:after="0"/>
              <w:rPr>
                <w:sz w:val="20"/>
                <w:szCs w:val="20"/>
                <w:color w:val="auto"/>
              </w:rPr>
            </w:pPr>
            <w:r>
              <w:rPr>
                <w:rFonts w:ascii="Arial" w:cs="Arial" w:eastAsia="Arial" w:hAnsi="Arial"/>
                <w:sz w:val="8"/>
                <w:szCs w:val="8"/>
                <w:b w:val="1"/>
                <w:bCs w:val="1"/>
                <w:color w:val="auto"/>
                <w:w w:val="98"/>
              </w:rPr>
              <w:t>7.4%</w:t>
            </w:r>
          </w:p>
        </w:tc>
        <w:tc>
          <w:tcPr>
            <w:tcW w:w="220" w:type="dxa"/>
            <w:vAlign w:val="bottom"/>
          </w:tcPr>
          <w:p>
            <w:pPr>
              <w:spacing w:after="0"/>
              <w:rPr>
                <w:sz w:val="8"/>
                <w:szCs w:val="8"/>
                <w:color w:val="auto"/>
              </w:rPr>
            </w:pPr>
          </w:p>
        </w:tc>
        <w:tc>
          <w:tcPr>
            <w:tcW w:w="440" w:type="dxa"/>
            <w:vAlign w:val="bottom"/>
          </w:tcPr>
          <w:p>
            <w:pPr>
              <w:jc w:val="center"/>
              <w:ind w:left="19"/>
              <w:spacing w:after="0"/>
              <w:rPr>
                <w:sz w:val="20"/>
                <w:szCs w:val="20"/>
                <w:color w:val="auto"/>
              </w:rPr>
            </w:pPr>
            <w:r>
              <w:rPr>
                <w:rFonts w:ascii="Arial" w:cs="Arial" w:eastAsia="Arial" w:hAnsi="Arial"/>
                <w:sz w:val="8"/>
                <w:szCs w:val="8"/>
                <w:b w:val="1"/>
                <w:bCs w:val="1"/>
                <w:color w:val="auto"/>
              </w:rPr>
              <w:t>360,885</w:t>
            </w:r>
          </w:p>
        </w:tc>
        <w:tc>
          <w:tcPr>
            <w:tcW w:w="1260" w:type="dxa"/>
            <w:vAlign w:val="bottom"/>
            <w:tcBorders>
              <w:right w:val="single" w:sz="8" w:color="auto"/>
            </w:tcBorders>
          </w:tcPr>
          <w:p>
            <w:pPr>
              <w:jc w:val="center"/>
              <w:ind w:left="234"/>
              <w:spacing w:after="0"/>
              <w:rPr>
                <w:sz w:val="20"/>
                <w:szCs w:val="20"/>
                <w:color w:val="auto"/>
              </w:rPr>
            </w:pPr>
            <w:r>
              <w:rPr>
                <w:rFonts w:ascii="Arial" w:cs="Arial" w:eastAsia="Arial" w:hAnsi="Arial"/>
                <w:sz w:val="8"/>
                <w:szCs w:val="8"/>
                <w:b w:val="1"/>
                <w:bCs w:val="1"/>
                <w:color w:val="auto"/>
              </w:rPr>
              <w:t>353,492</w:t>
            </w:r>
          </w:p>
        </w:tc>
        <w:tc>
          <w:tcPr>
            <w:tcW w:w="860" w:type="dxa"/>
            <w:vAlign w:val="bottom"/>
          </w:tcPr>
          <w:p>
            <w:pPr>
              <w:jc w:val="center"/>
              <w:ind w:left="55"/>
              <w:spacing w:after="0"/>
              <w:rPr>
                <w:sz w:val="20"/>
                <w:szCs w:val="20"/>
                <w:color w:val="auto"/>
              </w:rPr>
            </w:pPr>
            <w:r>
              <w:rPr>
                <w:rFonts w:ascii="Arial" w:cs="Arial" w:eastAsia="Arial" w:hAnsi="Arial"/>
                <w:sz w:val="8"/>
                <w:szCs w:val="8"/>
                <w:b w:val="1"/>
                <w:bCs w:val="1"/>
                <w:color w:val="auto"/>
                <w:w w:val="95"/>
              </w:rPr>
              <w:t>-2.0%</w:t>
            </w:r>
          </w:p>
        </w:tc>
        <w:tc>
          <w:tcPr>
            <w:tcW w:w="120" w:type="dxa"/>
            <w:vAlign w:val="bottom"/>
            <w:tcBorders>
              <w:right w:val="single" w:sz="8" w:color="auto"/>
            </w:tcBorders>
          </w:tcPr>
          <w:p>
            <w:pPr>
              <w:spacing w:after="0"/>
              <w:rPr>
                <w:sz w:val="8"/>
                <w:szCs w:val="8"/>
                <w:color w:val="auto"/>
              </w:rPr>
            </w:pPr>
          </w:p>
        </w:tc>
      </w:tr>
      <w:tr>
        <w:trPr>
          <w:trHeight w:val="93"/>
        </w:trPr>
        <w:tc>
          <w:tcPr>
            <w:tcW w:w="3060" w:type="dxa"/>
            <w:vAlign w:val="bottom"/>
            <w:tcBorders>
              <w:left w:val="single" w:sz="8" w:color="auto"/>
              <w:right w:val="single" w:sz="8" w:color="auto"/>
            </w:tcBorders>
          </w:tcPr>
          <w:p>
            <w:pPr>
              <w:spacing w:after="0"/>
              <w:rPr>
                <w:sz w:val="20"/>
                <w:szCs w:val="20"/>
                <w:color w:val="auto"/>
              </w:rPr>
            </w:pPr>
            <w:r>
              <w:rPr>
                <w:rFonts w:ascii="Arial" w:cs="Arial" w:eastAsia="Arial" w:hAnsi="Arial"/>
                <w:sz w:val="8"/>
                <w:szCs w:val="8"/>
                <w:color w:val="auto"/>
              </w:rPr>
              <w:t>Interest income</w:t>
            </w:r>
          </w:p>
        </w:tc>
        <w:tc>
          <w:tcPr>
            <w:tcW w:w="1240" w:type="dxa"/>
            <w:vAlign w:val="bottom"/>
          </w:tcPr>
          <w:p>
            <w:pPr>
              <w:jc w:val="center"/>
              <w:ind w:right="259"/>
              <w:spacing w:after="0"/>
              <w:rPr>
                <w:sz w:val="20"/>
                <w:szCs w:val="20"/>
                <w:color w:val="auto"/>
              </w:rPr>
            </w:pPr>
            <w:r>
              <w:rPr>
                <w:rFonts w:ascii="Arial" w:cs="Arial" w:eastAsia="Arial" w:hAnsi="Arial"/>
                <w:sz w:val="8"/>
                <w:szCs w:val="8"/>
                <w:color w:val="auto"/>
              </w:rPr>
              <w:t>209,171</w:t>
            </w:r>
          </w:p>
        </w:tc>
        <w:tc>
          <w:tcPr>
            <w:tcW w:w="400" w:type="dxa"/>
            <w:vAlign w:val="bottom"/>
          </w:tcPr>
          <w:p>
            <w:pPr>
              <w:jc w:val="center"/>
              <w:spacing w:after="0"/>
              <w:rPr>
                <w:sz w:val="20"/>
                <w:szCs w:val="20"/>
                <w:color w:val="auto"/>
              </w:rPr>
            </w:pPr>
            <w:r>
              <w:rPr>
                <w:rFonts w:ascii="Arial" w:cs="Arial" w:eastAsia="Arial" w:hAnsi="Arial"/>
                <w:sz w:val="8"/>
                <w:szCs w:val="8"/>
                <w:color w:val="auto"/>
                <w:w w:val="96"/>
              </w:rPr>
              <w:t>219,545</w:t>
            </w:r>
          </w:p>
        </w:tc>
        <w:tc>
          <w:tcPr>
            <w:tcW w:w="1280" w:type="dxa"/>
            <w:vAlign w:val="bottom"/>
            <w:tcBorders>
              <w:right w:val="single" w:sz="8" w:color="auto"/>
            </w:tcBorders>
          </w:tcPr>
          <w:p>
            <w:pPr>
              <w:jc w:val="center"/>
              <w:ind w:left="212"/>
              <w:spacing w:after="0"/>
              <w:rPr>
                <w:sz w:val="20"/>
                <w:szCs w:val="20"/>
                <w:color w:val="auto"/>
              </w:rPr>
            </w:pPr>
            <w:r>
              <w:rPr>
                <w:rFonts w:ascii="Arial" w:cs="Arial" w:eastAsia="Arial" w:hAnsi="Arial"/>
                <w:sz w:val="8"/>
                <w:szCs w:val="8"/>
                <w:color w:val="auto"/>
              </w:rPr>
              <w:t>197,175</w:t>
            </w:r>
          </w:p>
        </w:tc>
        <w:tc>
          <w:tcPr>
            <w:tcW w:w="1240" w:type="dxa"/>
            <w:vAlign w:val="bottom"/>
          </w:tcPr>
          <w:p>
            <w:pPr>
              <w:jc w:val="center"/>
              <w:ind w:right="254"/>
              <w:spacing w:after="0"/>
              <w:rPr>
                <w:sz w:val="20"/>
                <w:szCs w:val="20"/>
                <w:color w:val="auto"/>
              </w:rPr>
            </w:pPr>
            <w:r>
              <w:rPr>
                <w:rFonts w:ascii="Arial" w:cs="Arial" w:eastAsia="Arial" w:hAnsi="Arial"/>
                <w:sz w:val="8"/>
                <w:szCs w:val="8"/>
                <w:color w:val="auto"/>
              </w:rPr>
              <w:t>-10.2%</w:t>
            </w:r>
          </w:p>
        </w:tc>
        <w:tc>
          <w:tcPr>
            <w:tcW w:w="720" w:type="dxa"/>
            <w:vAlign w:val="bottom"/>
            <w:tcBorders>
              <w:right w:val="single" w:sz="8" w:color="auto"/>
            </w:tcBorders>
          </w:tcPr>
          <w:p>
            <w:pPr>
              <w:jc w:val="center"/>
              <w:ind w:right="254"/>
              <w:spacing w:after="0"/>
              <w:rPr>
                <w:sz w:val="20"/>
                <w:szCs w:val="20"/>
                <w:color w:val="auto"/>
              </w:rPr>
            </w:pPr>
            <w:r>
              <w:rPr>
                <w:rFonts w:ascii="Arial" w:cs="Arial" w:eastAsia="Arial" w:hAnsi="Arial"/>
                <w:sz w:val="8"/>
                <w:szCs w:val="8"/>
                <w:color w:val="auto"/>
              </w:rPr>
              <w:t>-5.7%</w:t>
            </w:r>
          </w:p>
        </w:tc>
        <w:tc>
          <w:tcPr>
            <w:tcW w:w="220" w:type="dxa"/>
            <w:vAlign w:val="bottom"/>
          </w:tcPr>
          <w:p>
            <w:pPr>
              <w:spacing w:after="0"/>
              <w:rPr>
                <w:sz w:val="8"/>
                <w:szCs w:val="8"/>
                <w:color w:val="auto"/>
              </w:rPr>
            </w:pPr>
          </w:p>
        </w:tc>
        <w:tc>
          <w:tcPr>
            <w:tcW w:w="440" w:type="dxa"/>
            <w:vAlign w:val="bottom"/>
          </w:tcPr>
          <w:p>
            <w:pPr>
              <w:jc w:val="center"/>
              <w:ind w:left="19"/>
              <w:spacing w:after="0"/>
              <w:rPr>
                <w:sz w:val="20"/>
                <w:szCs w:val="20"/>
                <w:color w:val="auto"/>
              </w:rPr>
            </w:pPr>
            <w:r>
              <w:rPr>
                <w:rFonts w:ascii="Arial" w:cs="Arial" w:eastAsia="Arial" w:hAnsi="Arial"/>
                <w:sz w:val="8"/>
                <w:szCs w:val="8"/>
                <w:color w:val="auto"/>
              </w:rPr>
              <w:t>399,134</w:t>
            </w:r>
          </w:p>
        </w:tc>
        <w:tc>
          <w:tcPr>
            <w:tcW w:w="1260" w:type="dxa"/>
            <w:vAlign w:val="bottom"/>
            <w:tcBorders>
              <w:right w:val="single" w:sz="8" w:color="auto"/>
            </w:tcBorders>
          </w:tcPr>
          <w:p>
            <w:pPr>
              <w:jc w:val="center"/>
              <w:ind w:left="234"/>
              <w:spacing w:after="0"/>
              <w:rPr>
                <w:sz w:val="20"/>
                <w:szCs w:val="20"/>
                <w:color w:val="auto"/>
              </w:rPr>
            </w:pPr>
            <w:r>
              <w:rPr>
                <w:rFonts w:ascii="Arial" w:cs="Arial" w:eastAsia="Arial" w:hAnsi="Arial"/>
                <w:sz w:val="8"/>
                <w:szCs w:val="8"/>
                <w:color w:val="auto"/>
              </w:rPr>
              <w:t>416,720</w:t>
            </w:r>
          </w:p>
        </w:tc>
        <w:tc>
          <w:tcPr>
            <w:tcW w:w="860" w:type="dxa"/>
            <w:vAlign w:val="bottom"/>
          </w:tcPr>
          <w:p>
            <w:pPr>
              <w:jc w:val="center"/>
              <w:ind w:left="55"/>
              <w:spacing w:after="0"/>
              <w:rPr>
                <w:sz w:val="20"/>
                <w:szCs w:val="20"/>
                <w:color w:val="auto"/>
              </w:rPr>
            </w:pPr>
            <w:r>
              <w:rPr>
                <w:rFonts w:ascii="Arial" w:cs="Arial" w:eastAsia="Arial" w:hAnsi="Arial"/>
                <w:sz w:val="8"/>
                <w:szCs w:val="8"/>
                <w:color w:val="auto"/>
              </w:rPr>
              <w:t>4.4%</w:t>
            </w:r>
          </w:p>
        </w:tc>
        <w:tc>
          <w:tcPr>
            <w:tcW w:w="120" w:type="dxa"/>
            <w:vAlign w:val="bottom"/>
            <w:tcBorders>
              <w:right w:val="single" w:sz="8" w:color="auto"/>
            </w:tcBorders>
          </w:tcPr>
          <w:p>
            <w:pPr>
              <w:spacing w:after="0"/>
              <w:rPr>
                <w:sz w:val="8"/>
                <w:szCs w:val="8"/>
                <w:color w:val="auto"/>
              </w:rPr>
            </w:pPr>
          </w:p>
        </w:tc>
      </w:tr>
      <w:tr>
        <w:trPr>
          <w:trHeight w:val="93"/>
        </w:trPr>
        <w:tc>
          <w:tcPr>
            <w:tcW w:w="3060" w:type="dxa"/>
            <w:vAlign w:val="bottom"/>
            <w:tcBorders>
              <w:left w:val="single" w:sz="8" w:color="auto"/>
              <w:right w:val="single" w:sz="8" w:color="auto"/>
            </w:tcBorders>
          </w:tcPr>
          <w:p>
            <w:pPr>
              <w:spacing w:after="0"/>
              <w:rPr>
                <w:sz w:val="20"/>
                <w:szCs w:val="20"/>
                <w:color w:val="auto"/>
              </w:rPr>
            </w:pPr>
            <w:r>
              <w:rPr>
                <w:rFonts w:ascii="Arial" w:cs="Arial" w:eastAsia="Arial" w:hAnsi="Arial"/>
                <w:sz w:val="8"/>
                <w:szCs w:val="8"/>
                <w:i w:val="1"/>
                <w:iCs w:val="1"/>
                <w:color w:val="auto"/>
              </w:rPr>
              <w:t>Interest Expenses</w:t>
            </w:r>
          </w:p>
        </w:tc>
        <w:tc>
          <w:tcPr>
            <w:tcW w:w="1240" w:type="dxa"/>
            <w:vAlign w:val="bottom"/>
          </w:tcPr>
          <w:p>
            <w:pPr>
              <w:jc w:val="center"/>
              <w:ind w:right="279"/>
              <w:spacing w:after="0"/>
              <w:rPr>
                <w:sz w:val="20"/>
                <w:szCs w:val="20"/>
                <w:color w:val="auto"/>
              </w:rPr>
            </w:pPr>
            <w:r>
              <w:rPr>
                <w:rFonts w:ascii="Arial" w:cs="Arial" w:eastAsia="Arial" w:hAnsi="Arial"/>
                <w:sz w:val="8"/>
                <w:szCs w:val="8"/>
                <w:color w:val="auto"/>
              </w:rPr>
              <w:t>-121,294</w:t>
            </w:r>
          </w:p>
        </w:tc>
        <w:tc>
          <w:tcPr>
            <w:tcW w:w="400" w:type="dxa"/>
            <w:vAlign w:val="bottom"/>
          </w:tcPr>
          <w:p>
            <w:pPr>
              <w:jc w:val="center"/>
              <w:spacing w:after="0"/>
              <w:rPr>
                <w:sz w:val="20"/>
                <w:szCs w:val="20"/>
                <w:color w:val="auto"/>
              </w:rPr>
            </w:pPr>
            <w:r>
              <w:rPr>
                <w:rFonts w:ascii="Arial" w:cs="Arial" w:eastAsia="Arial" w:hAnsi="Arial"/>
                <w:sz w:val="8"/>
                <w:szCs w:val="8"/>
                <w:color w:val="auto"/>
              </w:rPr>
              <w:t>-129,114</w:t>
            </w:r>
          </w:p>
        </w:tc>
        <w:tc>
          <w:tcPr>
            <w:tcW w:w="1280" w:type="dxa"/>
            <w:vAlign w:val="bottom"/>
            <w:tcBorders>
              <w:right w:val="single" w:sz="8" w:color="auto"/>
            </w:tcBorders>
          </w:tcPr>
          <w:p>
            <w:pPr>
              <w:jc w:val="center"/>
              <w:ind w:left="232"/>
              <w:spacing w:after="0"/>
              <w:rPr>
                <w:sz w:val="20"/>
                <w:szCs w:val="20"/>
                <w:color w:val="auto"/>
              </w:rPr>
            </w:pPr>
            <w:r>
              <w:rPr>
                <w:rFonts w:ascii="Arial" w:cs="Arial" w:eastAsia="Arial" w:hAnsi="Arial"/>
                <w:sz w:val="8"/>
                <w:szCs w:val="8"/>
                <w:color w:val="auto"/>
              </w:rPr>
              <w:t>-131,448</w:t>
            </w:r>
          </w:p>
        </w:tc>
        <w:tc>
          <w:tcPr>
            <w:tcW w:w="1240" w:type="dxa"/>
            <w:vAlign w:val="bottom"/>
          </w:tcPr>
          <w:p>
            <w:pPr>
              <w:jc w:val="center"/>
              <w:ind w:right="234"/>
              <w:spacing w:after="0"/>
              <w:rPr>
                <w:sz w:val="20"/>
                <w:szCs w:val="20"/>
                <w:color w:val="auto"/>
              </w:rPr>
            </w:pPr>
            <w:r>
              <w:rPr>
                <w:rFonts w:ascii="Arial" w:cs="Arial" w:eastAsia="Arial" w:hAnsi="Arial"/>
                <w:sz w:val="8"/>
                <w:szCs w:val="8"/>
                <w:b w:val="1"/>
                <w:bCs w:val="1"/>
                <w:color w:val="auto"/>
              </w:rPr>
              <w:t>1.8%</w:t>
            </w:r>
          </w:p>
        </w:tc>
        <w:tc>
          <w:tcPr>
            <w:tcW w:w="720" w:type="dxa"/>
            <w:vAlign w:val="bottom"/>
            <w:tcBorders>
              <w:right w:val="single" w:sz="8" w:color="auto"/>
            </w:tcBorders>
          </w:tcPr>
          <w:p>
            <w:pPr>
              <w:jc w:val="center"/>
              <w:ind w:right="254"/>
              <w:spacing w:after="0"/>
              <w:rPr>
                <w:sz w:val="20"/>
                <w:szCs w:val="20"/>
                <w:color w:val="auto"/>
              </w:rPr>
            </w:pPr>
            <w:r>
              <w:rPr>
                <w:rFonts w:ascii="Arial" w:cs="Arial" w:eastAsia="Arial" w:hAnsi="Arial"/>
                <w:sz w:val="8"/>
                <w:szCs w:val="8"/>
                <w:color w:val="auto"/>
                <w:w w:val="98"/>
              </w:rPr>
              <w:t>8.4%</w:t>
            </w:r>
          </w:p>
        </w:tc>
        <w:tc>
          <w:tcPr>
            <w:tcW w:w="220" w:type="dxa"/>
            <w:vAlign w:val="bottom"/>
          </w:tcPr>
          <w:p>
            <w:pPr>
              <w:spacing w:after="0"/>
              <w:rPr>
                <w:sz w:val="8"/>
                <w:szCs w:val="8"/>
                <w:color w:val="auto"/>
              </w:rPr>
            </w:pPr>
          </w:p>
        </w:tc>
        <w:tc>
          <w:tcPr>
            <w:tcW w:w="440" w:type="dxa"/>
            <w:vAlign w:val="bottom"/>
          </w:tcPr>
          <w:p>
            <w:pPr>
              <w:jc w:val="center"/>
              <w:ind w:left="19"/>
              <w:spacing w:after="0"/>
              <w:rPr>
                <w:sz w:val="20"/>
                <w:szCs w:val="20"/>
                <w:color w:val="auto"/>
              </w:rPr>
            </w:pPr>
            <w:r>
              <w:rPr>
                <w:rFonts w:ascii="Arial" w:cs="Arial" w:eastAsia="Arial" w:hAnsi="Arial"/>
                <w:sz w:val="8"/>
                <w:szCs w:val="8"/>
                <w:color w:val="auto"/>
              </w:rPr>
              <w:t>-223,747</w:t>
            </w:r>
          </w:p>
        </w:tc>
        <w:tc>
          <w:tcPr>
            <w:tcW w:w="1260" w:type="dxa"/>
            <w:vAlign w:val="bottom"/>
            <w:tcBorders>
              <w:right w:val="single" w:sz="8" w:color="auto"/>
            </w:tcBorders>
          </w:tcPr>
          <w:p>
            <w:pPr>
              <w:jc w:val="center"/>
              <w:ind w:left="234"/>
              <w:spacing w:after="0"/>
              <w:rPr>
                <w:sz w:val="20"/>
                <w:szCs w:val="20"/>
                <w:color w:val="auto"/>
              </w:rPr>
            </w:pPr>
            <w:r>
              <w:rPr>
                <w:rFonts w:ascii="Arial" w:cs="Arial" w:eastAsia="Arial" w:hAnsi="Arial"/>
                <w:sz w:val="8"/>
                <w:szCs w:val="8"/>
                <w:color w:val="auto"/>
              </w:rPr>
              <w:t>-260,562</w:t>
            </w:r>
          </w:p>
        </w:tc>
        <w:tc>
          <w:tcPr>
            <w:tcW w:w="860" w:type="dxa"/>
            <w:vAlign w:val="bottom"/>
          </w:tcPr>
          <w:p>
            <w:pPr>
              <w:jc w:val="center"/>
              <w:ind w:left="55"/>
              <w:spacing w:after="0"/>
              <w:rPr>
                <w:sz w:val="20"/>
                <w:szCs w:val="20"/>
                <w:color w:val="auto"/>
              </w:rPr>
            </w:pPr>
            <w:r>
              <w:rPr>
                <w:rFonts w:ascii="Arial" w:cs="Arial" w:eastAsia="Arial" w:hAnsi="Arial"/>
                <w:sz w:val="8"/>
                <w:szCs w:val="8"/>
                <w:color w:val="auto"/>
              </w:rPr>
              <w:t>16.5%</w:t>
            </w:r>
          </w:p>
        </w:tc>
        <w:tc>
          <w:tcPr>
            <w:tcW w:w="120" w:type="dxa"/>
            <w:vAlign w:val="bottom"/>
            <w:tcBorders>
              <w:right w:val="single" w:sz="8" w:color="auto"/>
            </w:tcBorders>
          </w:tcPr>
          <w:p>
            <w:pPr>
              <w:spacing w:after="0"/>
              <w:rPr>
                <w:sz w:val="8"/>
                <w:szCs w:val="8"/>
                <w:color w:val="auto"/>
              </w:rPr>
            </w:pPr>
          </w:p>
        </w:tc>
      </w:tr>
      <w:tr>
        <w:trPr>
          <w:trHeight w:val="93"/>
        </w:trPr>
        <w:tc>
          <w:tcPr>
            <w:tcW w:w="3060" w:type="dxa"/>
            <w:vAlign w:val="bottom"/>
            <w:tcBorders>
              <w:left w:val="single" w:sz="8" w:color="auto"/>
              <w:right w:val="single" w:sz="8" w:color="auto"/>
            </w:tcBorders>
          </w:tcPr>
          <w:p>
            <w:pPr>
              <w:spacing w:after="0"/>
              <w:rPr>
                <w:sz w:val="20"/>
                <w:szCs w:val="20"/>
                <w:color w:val="auto"/>
              </w:rPr>
            </w:pPr>
            <w:r>
              <w:rPr>
                <w:rFonts w:ascii="Arial" w:cs="Arial" w:eastAsia="Arial" w:hAnsi="Arial"/>
                <w:sz w:val="8"/>
                <w:szCs w:val="8"/>
                <w:b w:val="1"/>
                <w:bCs w:val="1"/>
                <w:color w:val="auto"/>
              </w:rPr>
              <w:t>Net Interest Income</w:t>
            </w:r>
          </w:p>
        </w:tc>
        <w:tc>
          <w:tcPr>
            <w:tcW w:w="1240" w:type="dxa"/>
            <w:vAlign w:val="bottom"/>
          </w:tcPr>
          <w:p>
            <w:pPr>
              <w:jc w:val="center"/>
              <w:ind w:right="259"/>
              <w:spacing w:after="0"/>
              <w:rPr>
                <w:sz w:val="20"/>
                <w:szCs w:val="20"/>
                <w:color w:val="auto"/>
              </w:rPr>
            </w:pPr>
            <w:r>
              <w:rPr>
                <w:rFonts w:ascii="Arial" w:cs="Arial" w:eastAsia="Arial" w:hAnsi="Arial"/>
                <w:sz w:val="8"/>
                <w:szCs w:val="8"/>
                <w:b w:val="1"/>
                <w:bCs w:val="1"/>
                <w:color w:val="auto"/>
              </w:rPr>
              <w:t>87,877</w:t>
            </w:r>
          </w:p>
        </w:tc>
        <w:tc>
          <w:tcPr>
            <w:tcW w:w="400" w:type="dxa"/>
            <w:vAlign w:val="bottom"/>
          </w:tcPr>
          <w:p>
            <w:pPr>
              <w:jc w:val="center"/>
              <w:spacing w:after="0"/>
              <w:rPr>
                <w:sz w:val="20"/>
                <w:szCs w:val="20"/>
                <w:color w:val="auto"/>
              </w:rPr>
            </w:pPr>
            <w:r>
              <w:rPr>
                <w:rFonts w:ascii="Arial" w:cs="Arial" w:eastAsia="Arial" w:hAnsi="Arial"/>
                <w:sz w:val="8"/>
                <w:szCs w:val="8"/>
                <w:b w:val="1"/>
                <w:bCs w:val="1"/>
                <w:color w:val="auto"/>
                <w:w w:val="97"/>
              </w:rPr>
              <w:t>90,431</w:t>
            </w:r>
          </w:p>
        </w:tc>
        <w:tc>
          <w:tcPr>
            <w:tcW w:w="1280" w:type="dxa"/>
            <w:vAlign w:val="bottom"/>
            <w:tcBorders>
              <w:right w:val="single" w:sz="8" w:color="auto"/>
            </w:tcBorders>
          </w:tcPr>
          <w:p>
            <w:pPr>
              <w:jc w:val="center"/>
              <w:ind w:left="232"/>
              <w:spacing w:after="0"/>
              <w:rPr>
                <w:sz w:val="20"/>
                <w:szCs w:val="20"/>
                <w:color w:val="auto"/>
              </w:rPr>
            </w:pPr>
            <w:r>
              <w:rPr>
                <w:rFonts w:ascii="Arial" w:cs="Arial" w:eastAsia="Arial" w:hAnsi="Arial"/>
                <w:sz w:val="8"/>
                <w:szCs w:val="8"/>
                <w:b w:val="1"/>
                <w:bCs w:val="1"/>
                <w:color w:val="auto"/>
                <w:w w:val="97"/>
              </w:rPr>
              <w:t>65,727</w:t>
            </w:r>
          </w:p>
        </w:tc>
        <w:tc>
          <w:tcPr>
            <w:tcW w:w="1240" w:type="dxa"/>
            <w:vAlign w:val="bottom"/>
          </w:tcPr>
          <w:p>
            <w:pPr>
              <w:jc w:val="center"/>
              <w:ind w:right="254"/>
              <w:spacing w:after="0"/>
              <w:rPr>
                <w:sz w:val="20"/>
                <w:szCs w:val="20"/>
                <w:color w:val="auto"/>
              </w:rPr>
            </w:pPr>
            <w:r>
              <w:rPr>
                <w:rFonts w:ascii="Arial" w:cs="Arial" w:eastAsia="Arial" w:hAnsi="Arial"/>
                <w:sz w:val="8"/>
                <w:szCs w:val="8"/>
                <w:b w:val="1"/>
                <w:bCs w:val="1"/>
                <w:color w:val="auto"/>
              </w:rPr>
              <w:t>-27.3%</w:t>
            </w:r>
          </w:p>
        </w:tc>
        <w:tc>
          <w:tcPr>
            <w:tcW w:w="720" w:type="dxa"/>
            <w:vAlign w:val="bottom"/>
            <w:tcBorders>
              <w:right w:val="single" w:sz="8" w:color="auto"/>
            </w:tcBorders>
          </w:tcPr>
          <w:p>
            <w:pPr>
              <w:jc w:val="center"/>
              <w:ind w:right="254"/>
              <w:spacing w:after="0"/>
              <w:rPr>
                <w:sz w:val="20"/>
                <w:szCs w:val="20"/>
                <w:color w:val="auto"/>
              </w:rPr>
            </w:pPr>
            <w:r>
              <w:rPr>
                <w:rFonts w:ascii="Arial" w:cs="Arial" w:eastAsia="Arial" w:hAnsi="Arial"/>
                <w:sz w:val="8"/>
                <w:szCs w:val="8"/>
                <w:b w:val="1"/>
                <w:bCs w:val="1"/>
                <w:color w:val="auto"/>
              </w:rPr>
              <w:t>-25.2%</w:t>
            </w:r>
          </w:p>
        </w:tc>
        <w:tc>
          <w:tcPr>
            <w:tcW w:w="220" w:type="dxa"/>
            <w:vAlign w:val="bottom"/>
          </w:tcPr>
          <w:p>
            <w:pPr>
              <w:spacing w:after="0"/>
              <w:rPr>
                <w:sz w:val="8"/>
                <w:szCs w:val="8"/>
                <w:color w:val="auto"/>
              </w:rPr>
            </w:pPr>
          </w:p>
        </w:tc>
        <w:tc>
          <w:tcPr>
            <w:tcW w:w="440" w:type="dxa"/>
            <w:vAlign w:val="bottom"/>
          </w:tcPr>
          <w:p>
            <w:pPr>
              <w:jc w:val="center"/>
              <w:ind w:left="19"/>
              <w:spacing w:after="0"/>
              <w:rPr>
                <w:sz w:val="20"/>
                <w:szCs w:val="20"/>
                <w:color w:val="auto"/>
              </w:rPr>
            </w:pPr>
            <w:r>
              <w:rPr>
                <w:rFonts w:ascii="Arial" w:cs="Arial" w:eastAsia="Arial" w:hAnsi="Arial"/>
                <w:sz w:val="8"/>
                <w:szCs w:val="8"/>
                <w:b w:val="1"/>
                <w:bCs w:val="1"/>
                <w:color w:val="auto"/>
              </w:rPr>
              <w:t>175,387</w:t>
            </w:r>
          </w:p>
        </w:tc>
        <w:tc>
          <w:tcPr>
            <w:tcW w:w="1260" w:type="dxa"/>
            <w:vAlign w:val="bottom"/>
            <w:tcBorders>
              <w:right w:val="single" w:sz="8" w:color="auto"/>
            </w:tcBorders>
          </w:tcPr>
          <w:p>
            <w:pPr>
              <w:jc w:val="center"/>
              <w:ind w:left="234"/>
              <w:spacing w:after="0"/>
              <w:rPr>
                <w:sz w:val="20"/>
                <w:szCs w:val="20"/>
                <w:color w:val="auto"/>
              </w:rPr>
            </w:pPr>
            <w:r>
              <w:rPr>
                <w:rFonts w:ascii="Arial" w:cs="Arial" w:eastAsia="Arial" w:hAnsi="Arial"/>
                <w:sz w:val="8"/>
                <w:szCs w:val="8"/>
                <w:b w:val="1"/>
                <w:bCs w:val="1"/>
                <w:color w:val="auto"/>
              </w:rPr>
              <w:t>156,158</w:t>
            </w:r>
          </w:p>
        </w:tc>
        <w:tc>
          <w:tcPr>
            <w:tcW w:w="860" w:type="dxa"/>
            <w:vAlign w:val="bottom"/>
          </w:tcPr>
          <w:p>
            <w:pPr>
              <w:jc w:val="center"/>
              <w:ind w:left="55"/>
              <w:spacing w:after="0"/>
              <w:rPr>
                <w:sz w:val="20"/>
                <w:szCs w:val="20"/>
                <w:color w:val="auto"/>
              </w:rPr>
            </w:pPr>
            <w:r>
              <w:rPr>
                <w:rFonts w:ascii="Arial" w:cs="Arial" w:eastAsia="Arial" w:hAnsi="Arial"/>
                <w:sz w:val="8"/>
                <w:szCs w:val="8"/>
                <w:b w:val="1"/>
                <w:bCs w:val="1"/>
                <w:color w:val="auto"/>
                <w:w w:val="94"/>
              </w:rPr>
              <w:t>-11.0%</w:t>
            </w:r>
          </w:p>
        </w:tc>
        <w:tc>
          <w:tcPr>
            <w:tcW w:w="120" w:type="dxa"/>
            <w:vAlign w:val="bottom"/>
            <w:tcBorders>
              <w:right w:val="single" w:sz="8" w:color="auto"/>
            </w:tcBorders>
          </w:tcPr>
          <w:p>
            <w:pPr>
              <w:spacing w:after="0"/>
              <w:rPr>
                <w:sz w:val="8"/>
                <w:szCs w:val="8"/>
                <w:color w:val="auto"/>
              </w:rPr>
            </w:pPr>
          </w:p>
        </w:tc>
      </w:tr>
      <w:tr>
        <w:trPr>
          <w:trHeight w:val="93"/>
        </w:trPr>
        <w:tc>
          <w:tcPr>
            <w:tcW w:w="3060" w:type="dxa"/>
            <w:vAlign w:val="bottom"/>
            <w:tcBorders>
              <w:left w:val="single" w:sz="8" w:color="auto"/>
              <w:right w:val="single" w:sz="8" w:color="auto"/>
            </w:tcBorders>
          </w:tcPr>
          <w:p>
            <w:pPr>
              <w:spacing w:after="0"/>
              <w:rPr>
                <w:sz w:val="20"/>
                <w:szCs w:val="20"/>
                <w:color w:val="auto"/>
              </w:rPr>
            </w:pPr>
            <w:r>
              <w:rPr>
                <w:rFonts w:ascii="Arial" w:cs="Arial" w:eastAsia="Arial" w:hAnsi="Arial"/>
                <w:sz w:val="8"/>
                <w:szCs w:val="8"/>
                <w:color w:val="auto"/>
              </w:rPr>
              <w:t>Fee Income and Gain in FX</w:t>
            </w:r>
          </w:p>
        </w:tc>
        <w:tc>
          <w:tcPr>
            <w:tcW w:w="1240" w:type="dxa"/>
            <w:vAlign w:val="bottom"/>
          </w:tcPr>
          <w:p>
            <w:pPr>
              <w:jc w:val="center"/>
              <w:ind w:right="259"/>
              <w:spacing w:after="0"/>
              <w:rPr>
                <w:sz w:val="20"/>
                <w:szCs w:val="20"/>
                <w:color w:val="auto"/>
              </w:rPr>
            </w:pPr>
            <w:r>
              <w:rPr>
                <w:rFonts w:ascii="Arial" w:cs="Arial" w:eastAsia="Arial" w:hAnsi="Arial"/>
                <w:sz w:val="8"/>
                <w:szCs w:val="8"/>
                <w:color w:val="auto"/>
                <w:w w:val="96"/>
              </w:rPr>
              <w:t>-3,462</w:t>
            </w:r>
          </w:p>
        </w:tc>
        <w:tc>
          <w:tcPr>
            <w:tcW w:w="400" w:type="dxa"/>
            <w:vAlign w:val="bottom"/>
          </w:tcPr>
          <w:p>
            <w:pPr>
              <w:jc w:val="center"/>
              <w:spacing w:after="0"/>
              <w:rPr>
                <w:sz w:val="20"/>
                <w:szCs w:val="20"/>
                <w:color w:val="auto"/>
              </w:rPr>
            </w:pPr>
            <w:r>
              <w:rPr>
                <w:rFonts w:ascii="Arial" w:cs="Arial" w:eastAsia="Arial" w:hAnsi="Arial"/>
                <w:sz w:val="8"/>
                <w:szCs w:val="8"/>
                <w:color w:val="auto"/>
              </w:rPr>
              <w:t>-3,262</w:t>
            </w:r>
          </w:p>
        </w:tc>
        <w:tc>
          <w:tcPr>
            <w:tcW w:w="1280" w:type="dxa"/>
            <w:vAlign w:val="bottom"/>
            <w:tcBorders>
              <w:right w:val="single" w:sz="8" w:color="auto"/>
            </w:tcBorders>
          </w:tcPr>
          <w:p>
            <w:pPr>
              <w:jc w:val="center"/>
              <w:ind w:left="232"/>
              <w:spacing w:after="0"/>
              <w:rPr>
                <w:sz w:val="20"/>
                <w:szCs w:val="20"/>
                <w:color w:val="auto"/>
              </w:rPr>
            </w:pPr>
            <w:r>
              <w:rPr>
                <w:rFonts w:ascii="Arial" w:cs="Arial" w:eastAsia="Arial" w:hAnsi="Arial"/>
                <w:sz w:val="8"/>
                <w:szCs w:val="8"/>
                <w:color w:val="auto"/>
              </w:rPr>
              <w:t>-2,262</w:t>
            </w:r>
          </w:p>
        </w:tc>
        <w:tc>
          <w:tcPr>
            <w:tcW w:w="1240" w:type="dxa"/>
            <w:vAlign w:val="bottom"/>
          </w:tcPr>
          <w:p>
            <w:pPr>
              <w:jc w:val="center"/>
              <w:ind w:right="254"/>
              <w:spacing w:after="0"/>
              <w:rPr>
                <w:sz w:val="20"/>
                <w:szCs w:val="20"/>
                <w:color w:val="auto"/>
              </w:rPr>
            </w:pPr>
            <w:r>
              <w:rPr>
                <w:rFonts w:ascii="Arial" w:cs="Arial" w:eastAsia="Arial" w:hAnsi="Arial"/>
                <w:sz w:val="8"/>
                <w:szCs w:val="8"/>
                <w:color w:val="auto"/>
              </w:rPr>
              <w:t>-30.7%</w:t>
            </w:r>
          </w:p>
        </w:tc>
        <w:tc>
          <w:tcPr>
            <w:tcW w:w="720" w:type="dxa"/>
            <w:vAlign w:val="bottom"/>
            <w:tcBorders>
              <w:right w:val="single" w:sz="8" w:color="auto"/>
            </w:tcBorders>
          </w:tcPr>
          <w:p>
            <w:pPr>
              <w:jc w:val="center"/>
              <w:ind w:right="254"/>
              <w:spacing w:after="0"/>
              <w:rPr>
                <w:sz w:val="20"/>
                <w:szCs w:val="20"/>
                <w:color w:val="auto"/>
              </w:rPr>
            </w:pPr>
            <w:r>
              <w:rPr>
                <w:rFonts w:ascii="Arial" w:cs="Arial" w:eastAsia="Arial" w:hAnsi="Arial"/>
                <w:sz w:val="8"/>
                <w:szCs w:val="8"/>
                <w:color w:val="auto"/>
              </w:rPr>
              <w:t>-34.7%</w:t>
            </w:r>
          </w:p>
        </w:tc>
        <w:tc>
          <w:tcPr>
            <w:tcW w:w="220" w:type="dxa"/>
            <w:vAlign w:val="bottom"/>
          </w:tcPr>
          <w:p>
            <w:pPr>
              <w:spacing w:after="0"/>
              <w:rPr>
                <w:sz w:val="8"/>
                <w:szCs w:val="8"/>
                <w:color w:val="auto"/>
              </w:rPr>
            </w:pPr>
          </w:p>
        </w:tc>
        <w:tc>
          <w:tcPr>
            <w:tcW w:w="440" w:type="dxa"/>
            <w:vAlign w:val="bottom"/>
          </w:tcPr>
          <w:p>
            <w:pPr>
              <w:jc w:val="center"/>
              <w:ind w:left="19"/>
              <w:spacing w:after="0"/>
              <w:rPr>
                <w:sz w:val="20"/>
                <w:szCs w:val="20"/>
                <w:color w:val="auto"/>
              </w:rPr>
            </w:pPr>
            <w:r>
              <w:rPr>
                <w:rFonts w:ascii="Arial" w:cs="Arial" w:eastAsia="Arial" w:hAnsi="Arial"/>
                <w:sz w:val="8"/>
                <w:szCs w:val="8"/>
                <w:color w:val="auto"/>
                <w:w w:val="96"/>
              </w:rPr>
              <w:t>-6,646</w:t>
            </w:r>
          </w:p>
        </w:tc>
        <w:tc>
          <w:tcPr>
            <w:tcW w:w="1260" w:type="dxa"/>
            <w:vAlign w:val="bottom"/>
            <w:tcBorders>
              <w:right w:val="single" w:sz="8" w:color="auto"/>
            </w:tcBorders>
          </w:tcPr>
          <w:p>
            <w:pPr>
              <w:jc w:val="center"/>
              <w:ind w:left="234"/>
              <w:spacing w:after="0"/>
              <w:rPr>
                <w:sz w:val="20"/>
                <w:szCs w:val="20"/>
                <w:color w:val="auto"/>
              </w:rPr>
            </w:pPr>
            <w:r>
              <w:rPr>
                <w:rFonts w:ascii="Arial" w:cs="Arial" w:eastAsia="Arial" w:hAnsi="Arial"/>
                <w:sz w:val="8"/>
                <w:szCs w:val="8"/>
                <w:color w:val="auto"/>
                <w:w w:val="96"/>
              </w:rPr>
              <w:t>-5,524</w:t>
            </w:r>
          </w:p>
        </w:tc>
        <w:tc>
          <w:tcPr>
            <w:tcW w:w="860" w:type="dxa"/>
            <w:vAlign w:val="bottom"/>
          </w:tcPr>
          <w:p>
            <w:pPr>
              <w:jc w:val="center"/>
              <w:ind w:left="75"/>
              <w:spacing w:after="0"/>
              <w:rPr>
                <w:sz w:val="20"/>
                <w:szCs w:val="20"/>
                <w:color w:val="auto"/>
              </w:rPr>
            </w:pPr>
            <w:r>
              <w:rPr>
                <w:rFonts w:ascii="Arial" w:cs="Arial" w:eastAsia="Arial" w:hAnsi="Arial"/>
                <w:sz w:val="8"/>
                <w:szCs w:val="8"/>
                <w:color w:val="auto"/>
              </w:rPr>
              <w:t>-16.9%</w:t>
            </w:r>
          </w:p>
        </w:tc>
        <w:tc>
          <w:tcPr>
            <w:tcW w:w="120" w:type="dxa"/>
            <w:vAlign w:val="bottom"/>
            <w:tcBorders>
              <w:right w:val="single" w:sz="8" w:color="auto"/>
            </w:tcBorders>
          </w:tcPr>
          <w:p>
            <w:pPr>
              <w:spacing w:after="0"/>
              <w:rPr>
                <w:sz w:val="8"/>
                <w:szCs w:val="8"/>
                <w:color w:val="auto"/>
              </w:rPr>
            </w:pPr>
          </w:p>
        </w:tc>
      </w:tr>
      <w:tr>
        <w:trPr>
          <w:trHeight w:val="93"/>
        </w:trPr>
        <w:tc>
          <w:tcPr>
            <w:tcW w:w="3060" w:type="dxa"/>
            <w:vAlign w:val="bottom"/>
            <w:tcBorders>
              <w:left w:val="single" w:sz="8" w:color="auto"/>
              <w:right w:val="single" w:sz="8" w:color="auto"/>
            </w:tcBorders>
          </w:tcPr>
          <w:p>
            <w:pPr>
              <w:spacing w:after="0"/>
              <w:rPr>
                <w:sz w:val="20"/>
                <w:szCs w:val="20"/>
                <w:color w:val="auto"/>
              </w:rPr>
            </w:pPr>
            <w:r>
              <w:rPr>
                <w:rFonts w:ascii="Arial" w:cs="Arial" w:eastAsia="Arial" w:hAnsi="Arial"/>
                <w:sz w:val="8"/>
                <w:szCs w:val="8"/>
                <w:i w:val="1"/>
                <w:iCs w:val="1"/>
                <w:color w:val="auto"/>
              </w:rPr>
              <w:t>Other Income No Core:</w:t>
            </w:r>
          </w:p>
        </w:tc>
        <w:tc>
          <w:tcPr>
            <w:tcW w:w="1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Borders>
              <w:right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jc w:val="center"/>
              <w:ind w:left="19"/>
              <w:spacing w:after="0"/>
              <w:rPr>
                <w:sz w:val="20"/>
                <w:szCs w:val="20"/>
                <w:color w:val="auto"/>
              </w:rPr>
            </w:pPr>
            <w:r>
              <w:rPr>
                <w:rFonts w:ascii="Arial" w:cs="Arial" w:eastAsia="Arial" w:hAnsi="Arial"/>
                <w:sz w:val="8"/>
                <w:szCs w:val="8"/>
                <w:color w:val="auto"/>
              </w:rPr>
              <w:t>0</w:t>
            </w:r>
          </w:p>
        </w:tc>
        <w:tc>
          <w:tcPr>
            <w:tcW w:w="1260" w:type="dxa"/>
            <w:vAlign w:val="bottom"/>
            <w:tcBorders>
              <w:right w:val="single" w:sz="8" w:color="auto"/>
            </w:tcBorders>
          </w:tcPr>
          <w:p>
            <w:pPr>
              <w:jc w:val="center"/>
              <w:ind w:left="234"/>
              <w:spacing w:after="0"/>
              <w:rPr>
                <w:sz w:val="20"/>
                <w:szCs w:val="20"/>
                <w:color w:val="auto"/>
              </w:rPr>
            </w:pPr>
            <w:r>
              <w:rPr>
                <w:rFonts w:ascii="Arial" w:cs="Arial" w:eastAsia="Arial" w:hAnsi="Arial"/>
                <w:sz w:val="8"/>
                <w:szCs w:val="8"/>
                <w:color w:val="auto"/>
              </w:rPr>
              <w:t>0</w:t>
            </w:r>
          </w:p>
        </w:tc>
        <w:tc>
          <w:tcPr>
            <w:tcW w:w="860" w:type="dxa"/>
            <w:vAlign w:val="bottom"/>
          </w:tcPr>
          <w:p>
            <w:pPr>
              <w:jc w:val="center"/>
              <w:ind w:left="55"/>
              <w:spacing w:after="0"/>
              <w:rPr>
                <w:sz w:val="20"/>
                <w:szCs w:val="20"/>
                <w:color w:val="auto"/>
              </w:rPr>
            </w:pPr>
            <w:r>
              <w:rPr>
                <w:rFonts w:ascii="Arial" w:cs="Arial" w:eastAsia="Arial" w:hAnsi="Arial"/>
                <w:sz w:val="8"/>
                <w:szCs w:val="8"/>
                <w:color w:val="auto"/>
              </w:rPr>
              <w:t>0.0%</w:t>
            </w:r>
          </w:p>
        </w:tc>
        <w:tc>
          <w:tcPr>
            <w:tcW w:w="120" w:type="dxa"/>
            <w:vAlign w:val="bottom"/>
            <w:tcBorders>
              <w:right w:val="single" w:sz="8" w:color="auto"/>
            </w:tcBorders>
          </w:tcPr>
          <w:p>
            <w:pPr>
              <w:spacing w:after="0"/>
              <w:rPr>
                <w:sz w:val="8"/>
                <w:szCs w:val="8"/>
                <w:color w:val="auto"/>
              </w:rPr>
            </w:pPr>
          </w:p>
        </w:tc>
      </w:tr>
      <w:tr>
        <w:trPr>
          <w:trHeight w:val="93"/>
        </w:trPr>
        <w:tc>
          <w:tcPr>
            <w:tcW w:w="3060" w:type="dxa"/>
            <w:vAlign w:val="bottom"/>
            <w:tcBorders>
              <w:left w:val="single" w:sz="8" w:color="auto"/>
              <w:right w:val="single" w:sz="8" w:color="auto"/>
            </w:tcBorders>
          </w:tcPr>
          <w:p>
            <w:pPr>
              <w:spacing w:after="0"/>
              <w:rPr>
                <w:sz w:val="20"/>
                <w:szCs w:val="20"/>
                <w:color w:val="auto"/>
              </w:rPr>
            </w:pPr>
            <w:r>
              <w:rPr>
                <w:rFonts w:ascii="Arial" w:cs="Arial" w:eastAsia="Arial" w:hAnsi="Arial"/>
                <w:sz w:val="8"/>
                <w:szCs w:val="8"/>
                <w:color w:val="auto"/>
              </w:rPr>
              <w:t>Net gain (loss) from exchange differences</w:t>
            </w:r>
          </w:p>
        </w:tc>
        <w:tc>
          <w:tcPr>
            <w:tcW w:w="1240" w:type="dxa"/>
            <w:vAlign w:val="bottom"/>
          </w:tcPr>
          <w:p>
            <w:pPr>
              <w:jc w:val="center"/>
              <w:ind w:right="259"/>
              <w:spacing w:after="0"/>
              <w:rPr>
                <w:sz w:val="20"/>
                <w:szCs w:val="20"/>
                <w:color w:val="auto"/>
              </w:rPr>
            </w:pPr>
            <w:r>
              <w:rPr>
                <w:rFonts w:ascii="Arial" w:cs="Arial" w:eastAsia="Arial" w:hAnsi="Arial"/>
                <w:sz w:val="8"/>
                <w:szCs w:val="8"/>
                <w:color w:val="auto"/>
                <w:w w:val="96"/>
              </w:rPr>
              <w:t>-4,334</w:t>
            </w:r>
          </w:p>
        </w:tc>
        <w:tc>
          <w:tcPr>
            <w:tcW w:w="400" w:type="dxa"/>
            <w:vAlign w:val="bottom"/>
          </w:tcPr>
          <w:p>
            <w:pPr>
              <w:jc w:val="center"/>
              <w:spacing w:after="0"/>
              <w:rPr>
                <w:sz w:val="20"/>
                <w:szCs w:val="20"/>
                <w:color w:val="auto"/>
              </w:rPr>
            </w:pPr>
            <w:r>
              <w:rPr>
                <w:rFonts w:ascii="Arial" w:cs="Arial" w:eastAsia="Arial" w:hAnsi="Arial"/>
                <w:sz w:val="8"/>
                <w:szCs w:val="8"/>
                <w:color w:val="auto"/>
                <w:w w:val="99"/>
              </w:rPr>
              <w:t>-182</w:t>
            </w:r>
          </w:p>
        </w:tc>
        <w:tc>
          <w:tcPr>
            <w:tcW w:w="1280" w:type="dxa"/>
            <w:vAlign w:val="bottom"/>
            <w:tcBorders>
              <w:right w:val="single" w:sz="8" w:color="auto"/>
            </w:tcBorders>
          </w:tcPr>
          <w:p>
            <w:pPr>
              <w:jc w:val="center"/>
              <w:ind w:left="232"/>
              <w:spacing w:after="0"/>
              <w:rPr>
                <w:sz w:val="20"/>
                <w:szCs w:val="20"/>
                <w:color w:val="auto"/>
              </w:rPr>
            </w:pPr>
            <w:r>
              <w:rPr>
                <w:rFonts w:ascii="Arial" w:cs="Arial" w:eastAsia="Arial" w:hAnsi="Arial"/>
                <w:sz w:val="8"/>
                <w:szCs w:val="8"/>
                <w:color w:val="auto"/>
              </w:rPr>
              <w:t>-1,817</w:t>
            </w:r>
          </w:p>
        </w:tc>
        <w:tc>
          <w:tcPr>
            <w:tcW w:w="1240" w:type="dxa"/>
            <w:vAlign w:val="bottom"/>
          </w:tcPr>
          <w:p>
            <w:pPr>
              <w:jc w:val="center"/>
              <w:ind w:right="234"/>
              <w:spacing w:after="0"/>
              <w:rPr>
                <w:sz w:val="20"/>
                <w:szCs w:val="20"/>
                <w:color w:val="auto"/>
              </w:rPr>
            </w:pPr>
            <w:r>
              <w:rPr>
                <w:rFonts w:ascii="Arial" w:cs="Arial" w:eastAsia="Arial" w:hAnsi="Arial"/>
                <w:sz w:val="8"/>
                <w:szCs w:val="8"/>
                <w:color w:val="auto"/>
              </w:rPr>
              <w:t>898.4%</w:t>
            </w:r>
          </w:p>
        </w:tc>
        <w:tc>
          <w:tcPr>
            <w:tcW w:w="720" w:type="dxa"/>
            <w:vAlign w:val="bottom"/>
            <w:tcBorders>
              <w:right w:val="single" w:sz="8" w:color="auto"/>
            </w:tcBorders>
          </w:tcPr>
          <w:p>
            <w:pPr>
              <w:jc w:val="center"/>
              <w:ind w:right="254"/>
              <w:spacing w:after="0"/>
              <w:rPr>
                <w:sz w:val="20"/>
                <w:szCs w:val="20"/>
                <w:color w:val="auto"/>
              </w:rPr>
            </w:pPr>
            <w:r>
              <w:rPr>
                <w:rFonts w:ascii="Arial" w:cs="Arial" w:eastAsia="Arial" w:hAnsi="Arial"/>
                <w:sz w:val="8"/>
                <w:szCs w:val="8"/>
                <w:color w:val="auto"/>
              </w:rPr>
              <w:t>-58.1%</w:t>
            </w:r>
          </w:p>
        </w:tc>
        <w:tc>
          <w:tcPr>
            <w:tcW w:w="220" w:type="dxa"/>
            <w:vAlign w:val="bottom"/>
          </w:tcPr>
          <w:p>
            <w:pPr>
              <w:spacing w:after="0"/>
              <w:rPr>
                <w:sz w:val="8"/>
                <w:szCs w:val="8"/>
                <w:color w:val="auto"/>
              </w:rPr>
            </w:pPr>
          </w:p>
        </w:tc>
        <w:tc>
          <w:tcPr>
            <w:tcW w:w="440" w:type="dxa"/>
            <w:vAlign w:val="bottom"/>
          </w:tcPr>
          <w:p>
            <w:pPr>
              <w:jc w:val="center"/>
              <w:ind w:left="19"/>
              <w:spacing w:after="0"/>
              <w:rPr>
                <w:sz w:val="20"/>
                <w:szCs w:val="20"/>
                <w:color w:val="auto"/>
              </w:rPr>
            </w:pPr>
            <w:r>
              <w:rPr>
                <w:rFonts w:ascii="Arial" w:cs="Arial" w:eastAsia="Arial" w:hAnsi="Arial"/>
                <w:sz w:val="8"/>
                <w:szCs w:val="8"/>
                <w:color w:val="auto"/>
                <w:w w:val="96"/>
              </w:rPr>
              <w:t>-5,677</w:t>
            </w:r>
          </w:p>
        </w:tc>
        <w:tc>
          <w:tcPr>
            <w:tcW w:w="1260" w:type="dxa"/>
            <w:vAlign w:val="bottom"/>
            <w:tcBorders>
              <w:right w:val="single" w:sz="8" w:color="auto"/>
            </w:tcBorders>
          </w:tcPr>
          <w:p>
            <w:pPr>
              <w:jc w:val="center"/>
              <w:ind w:left="234"/>
              <w:spacing w:after="0"/>
              <w:rPr>
                <w:sz w:val="20"/>
                <w:szCs w:val="20"/>
                <w:color w:val="auto"/>
              </w:rPr>
            </w:pPr>
            <w:r>
              <w:rPr>
                <w:rFonts w:ascii="Arial" w:cs="Arial" w:eastAsia="Arial" w:hAnsi="Arial"/>
                <w:sz w:val="8"/>
                <w:szCs w:val="8"/>
                <w:color w:val="auto"/>
                <w:w w:val="96"/>
              </w:rPr>
              <w:t>-1,999</w:t>
            </w:r>
          </w:p>
        </w:tc>
        <w:tc>
          <w:tcPr>
            <w:tcW w:w="860" w:type="dxa"/>
            <w:vAlign w:val="bottom"/>
          </w:tcPr>
          <w:p>
            <w:pPr>
              <w:jc w:val="center"/>
              <w:ind w:left="75"/>
              <w:spacing w:after="0"/>
              <w:rPr>
                <w:sz w:val="20"/>
                <w:szCs w:val="20"/>
                <w:color w:val="auto"/>
              </w:rPr>
            </w:pPr>
            <w:r>
              <w:rPr>
                <w:rFonts w:ascii="Arial" w:cs="Arial" w:eastAsia="Arial" w:hAnsi="Arial"/>
                <w:sz w:val="8"/>
                <w:szCs w:val="8"/>
                <w:color w:val="auto"/>
              </w:rPr>
              <w:t>-64.8%</w:t>
            </w:r>
          </w:p>
        </w:tc>
        <w:tc>
          <w:tcPr>
            <w:tcW w:w="120" w:type="dxa"/>
            <w:vAlign w:val="bottom"/>
            <w:tcBorders>
              <w:right w:val="single" w:sz="8" w:color="auto"/>
            </w:tcBorders>
          </w:tcPr>
          <w:p>
            <w:pPr>
              <w:spacing w:after="0"/>
              <w:rPr>
                <w:sz w:val="8"/>
                <w:szCs w:val="8"/>
                <w:color w:val="auto"/>
              </w:rPr>
            </w:pPr>
          </w:p>
        </w:tc>
      </w:tr>
      <w:tr>
        <w:trPr>
          <w:trHeight w:val="93"/>
        </w:trPr>
        <w:tc>
          <w:tcPr>
            <w:tcW w:w="3060" w:type="dxa"/>
            <w:vAlign w:val="bottom"/>
            <w:tcBorders>
              <w:left w:val="single" w:sz="8" w:color="auto"/>
              <w:right w:val="single" w:sz="8" w:color="auto"/>
            </w:tcBorders>
          </w:tcPr>
          <w:p>
            <w:pPr>
              <w:spacing w:after="0"/>
              <w:rPr>
                <w:sz w:val="20"/>
                <w:szCs w:val="20"/>
                <w:color w:val="auto"/>
              </w:rPr>
            </w:pPr>
            <w:r>
              <w:rPr>
                <w:rFonts w:ascii="Arial" w:cs="Arial" w:eastAsia="Arial" w:hAnsi="Arial"/>
                <w:sz w:val="8"/>
                <w:szCs w:val="8"/>
                <w:color w:val="auto"/>
              </w:rPr>
              <w:t>Net loss on securities and associates</w:t>
            </w:r>
          </w:p>
        </w:tc>
        <w:tc>
          <w:tcPr>
            <w:tcW w:w="1240" w:type="dxa"/>
            <w:vAlign w:val="bottom"/>
          </w:tcPr>
          <w:p>
            <w:pPr>
              <w:jc w:val="center"/>
              <w:ind w:right="259"/>
              <w:spacing w:after="0"/>
              <w:rPr>
                <w:sz w:val="20"/>
                <w:szCs w:val="20"/>
                <w:color w:val="auto"/>
              </w:rPr>
            </w:pPr>
            <w:r>
              <w:rPr>
                <w:rFonts w:ascii="Arial" w:cs="Arial" w:eastAsia="Arial" w:hAnsi="Arial"/>
                <w:sz w:val="8"/>
                <w:szCs w:val="8"/>
                <w:color w:val="auto"/>
              </w:rPr>
              <w:t>21,536</w:t>
            </w:r>
          </w:p>
        </w:tc>
        <w:tc>
          <w:tcPr>
            <w:tcW w:w="400" w:type="dxa"/>
            <w:vAlign w:val="bottom"/>
          </w:tcPr>
          <w:p>
            <w:pPr>
              <w:jc w:val="center"/>
              <w:spacing w:after="0"/>
              <w:rPr>
                <w:sz w:val="20"/>
                <w:szCs w:val="20"/>
                <w:color w:val="auto"/>
              </w:rPr>
            </w:pPr>
            <w:r>
              <w:rPr>
                <w:rFonts w:ascii="Arial" w:cs="Arial" w:eastAsia="Arial" w:hAnsi="Arial"/>
                <w:sz w:val="8"/>
                <w:szCs w:val="8"/>
                <w:color w:val="auto"/>
                <w:w w:val="97"/>
              </w:rPr>
              <w:t>23,222</w:t>
            </w:r>
          </w:p>
        </w:tc>
        <w:tc>
          <w:tcPr>
            <w:tcW w:w="1280" w:type="dxa"/>
            <w:vAlign w:val="bottom"/>
            <w:tcBorders>
              <w:right w:val="single" w:sz="8" w:color="auto"/>
            </w:tcBorders>
          </w:tcPr>
          <w:p>
            <w:pPr>
              <w:jc w:val="center"/>
              <w:ind w:left="232"/>
              <w:spacing w:after="0"/>
              <w:rPr>
                <w:sz w:val="20"/>
                <w:szCs w:val="20"/>
                <w:color w:val="auto"/>
              </w:rPr>
            </w:pPr>
            <w:r>
              <w:rPr>
                <w:rFonts w:ascii="Arial" w:cs="Arial" w:eastAsia="Arial" w:hAnsi="Arial"/>
                <w:sz w:val="8"/>
                <w:szCs w:val="8"/>
                <w:color w:val="auto"/>
                <w:w w:val="97"/>
              </w:rPr>
              <w:t>24,856</w:t>
            </w:r>
          </w:p>
        </w:tc>
        <w:tc>
          <w:tcPr>
            <w:tcW w:w="1240" w:type="dxa"/>
            <w:vAlign w:val="bottom"/>
          </w:tcPr>
          <w:p>
            <w:pPr>
              <w:jc w:val="center"/>
              <w:ind w:right="234"/>
              <w:spacing w:after="0"/>
              <w:rPr>
                <w:sz w:val="20"/>
                <w:szCs w:val="20"/>
                <w:color w:val="auto"/>
              </w:rPr>
            </w:pPr>
            <w:r>
              <w:rPr>
                <w:rFonts w:ascii="Arial" w:cs="Arial" w:eastAsia="Arial" w:hAnsi="Arial"/>
                <w:sz w:val="8"/>
                <w:szCs w:val="8"/>
                <w:color w:val="auto"/>
              </w:rPr>
              <w:t>7.0%</w:t>
            </w:r>
          </w:p>
        </w:tc>
        <w:tc>
          <w:tcPr>
            <w:tcW w:w="720" w:type="dxa"/>
            <w:vAlign w:val="bottom"/>
            <w:tcBorders>
              <w:right w:val="single" w:sz="8" w:color="auto"/>
            </w:tcBorders>
          </w:tcPr>
          <w:p>
            <w:pPr>
              <w:jc w:val="center"/>
              <w:ind w:right="254"/>
              <w:spacing w:after="0"/>
              <w:rPr>
                <w:sz w:val="20"/>
                <w:szCs w:val="20"/>
                <w:color w:val="auto"/>
              </w:rPr>
            </w:pPr>
            <w:r>
              <w:rPr>
                <w:rFonts w:ascii="Arial" w:cs="Arial" w:eastAsia="Arial" w:hAnsi="Arial"/>
                <w:sz w:val="8"/>
                <w:szCs w:val="8"/>
                <w:color w:val="auto"/>
                <w:w w:val="96"/>
              </w:rPr>
              <w:t>15.4%</w:t>
            </w:r>
          </w:p>
        </w:tc>
        <w:tc>
          <w:tcPr>
            <w:tcW w:w="220" w:type="dxa"/>
            <w:vAlign w:val="bottom"/>
          </w:tcPr>
          <w:p>
            <w:pPr>
              <w:spacing w:after="0"/>
              <w:rPr>
                <w:sz w:val="8"/>
                <w:szCs w:val="8"/>
                <w:color w:val="auto"/>
              </w:rPr>
            </w:pPr>
          </w:p>
        </w:tc>
        <w:tc>
          <w:tcPr>
            <w:tcW w:w="440" w:type="dxa"/>
            <w:vAlign w:val="bottom"/>
          </w:tcPr>
          <w:p>
            <w:pPr>
              <w:jc w:val="center"/>
              <w:ind w:left="19"/>
              <w:spacing w:after="0"/>
              <w:rPr>
                <w:sz w:val="20"/>
                <w:szCs w:val="20"/>
                <w:color w:val="auto"/>
              </w:rPr>
            </w:pPr>
            <w:r>
              <w:rPr>
                <w:rFonts w:ascii="Arial" w:cs="Arial" w:eastAsia="Arial" w:hAnsi="Arial"/>
                <w:sz w:val="8"/>
                <w:szCs w:val="8"/>
                <w:color w:val="auto"/>
              </w:rPr>
              <w:t>51,626</w:t>
            </w:r>
          </w:p>
        </w:tc>
        <w:tc>
          <w:tcPr>
            <w:tcW w:w="1260" w:type="dxa"/>
            <w:vAlign w:val="bottom"/>
            <w:tcBorders>
              <w:right w:val="single" w:sz="8" w:color="auto"/>
            </w:tcBorders>
          </w:tcPr>
          <w:p>
            <w:pPr>
              <w:jc w:val="center"/>
              <w:ind w:left="234"/>
              <w:spacing w:after="0"/>
              <w:rPr>
                <w:sz w:val="20"/>
                <w:szCs w:val="20"/>
                <w:color w:val="auto"/>
              </w:rPr>
            </w:pPr>
            <w:r>
              <w:rPr>
                <w:rFonts w:ascii="Arial" w:cs="Arial" w:eastAsia="Arial" w:hAnsi="Arial"/>
                <w:sz w:val="8"/>
                <w:szCs w:val="8"/>
                <w:color w:val="auto"/>
              </w:rPr>
              <w:t>48,078</w:t>
            </w:r>
          </w:p>
        </w:tc>
        <w:tc>
          <w:tcPr>
            <w:tcW w:w="860" w:type="dxa"/>
            <w:vAlign w:val="bottom"/>
          </w:tcPr>
          <w:p>
            <w:pPr>
              <w:jc w:val="center"/>
              <w:ind w:left="55"/>
              <w:spacing w:after="0"/>
              <w:rPr>
                <w:sz w:val="20"/>
                <w:szCs w:val="20"/>
                <w:color w:val="auto"/>
              </w:rPr>
            </w:pPr>
            <w:r>
              <w:rPr>
                <w:rFonts w:ascii="Arial" w:cs="Arial" w:eastAsia="Arial" w:hAnsi="Arial"/>
                <w:sz w:val="8"/>
                <w:szCs w:val="8"/>
                <w:color w:val="auto"/>
                <w:w w:val="95"/>
              </w:rPr>
              <w:t>-6.9%</w:t>
            </w:r>
          </w:p>
        </w:tc>
        <w:tc>
          <w:tcPr>
            <w:tcW w:w="120" w:type="dxa"/>
            <w:vAlign w:val="bottom"/>
            <w:tcBorders>
              <w:right w:val="single" w:sz="8" w:color="auto"/>
            </w:tcBorders>
          </w:tcPr>
          <w:p>
            <w:pPr>
              <w:spacing w:after="0"/>
              <w:rPr>
                <w:sz w:val="8"/>
                <w:szCs w:val="8"/>
                <w:color w:val="auto"/>
              </w:rPr>
            </w:pPr>
          </w:p>
        </w:tc>
      </w:tr>
      <w:tr>
        <w:trPr>
          <w:trHeight w:val="93"/>
        </w:trPr>
        <w:tc>
          <w:tcPr>
            <w:tcW w:w="3060" w:type="dxa"/>
            <w:vAlign w:val="bottom"/>
            <w:tcBorders>
              <w:left w:val="single" w:sz="8" w:color="auto"/>
              <w:right w:val="single" w:sz="8" w:color="auto"/>
            </w:tcBorders>
          </w:tcPr>
          <w:p>
            <w:pPr>
              <w:spacing w:after="0"/>
              <w:rPr>
                <w:sz w:val="20"/>
                <w:szCs w:val="20"/>
                <w:color w:val="auto"/>
              </w:rPr>
            </w:pPr>
            <w:r>
              <w:rPr>
                <w:rFonts w:ascii="Arial" w:cs="Arial" w:eastAsia="Arial" w:hAnsi="Arial"/>
                <w:sz w:val="8"/>
                <w:szCs w:val="8"/>
                <w:color w:val="auto"/>
              </w:rPr>
              <w:t>Other Income not operational</w:t>
            </w:r>
          </w:p>
        </w:tc>
        <w:tc>
          <w:tcPr>
            <w:tcW w:w="1240" w:type="dxa"/>
            <w:vAlign w:val="bottom"/>
          </w:tcPr>
          <w:p>
            <w:pPr>
              <w:jc w:val="center"/>
              <w:ind w:right="259"/>
              <w:spacing w:after="0"/>
              <w:rPr>
                <w:sz w:val="20"/>
                <w:szCs w:val="20"/>
                <w:color w:val="auto"/>
              </w:rPr>
            </w:pPr>
            <w:r>
              <w:rPr>
                <w:rFonts w:ascii="Arial" w:cs="Arial" w:eastAsia="Arial" w:hAnsi="Arial"/>
                <w:sz w:val="8"/>
                <w:szCs w:val="8"/>
                <w:color w:val="auto"/>
              </w:rPr>
              <w:t>23,682</w:t>
            </w:r>
          </w:p>
        </w:tc>
        <w:tc>
          <w:tcPr>
            <w:tcW w:w="400" w:type="dxa"/>
            <w:vAlign w:val="bottom"/>
          </w:tcPr>
          <w:p>
            <w:pPr>
              <w:jc w:val="center"/>
              <w:spacing w:after="0"/>
              <w:rPr>
                <w:sz w:val="20"/>
                <w:szCs w:val="20"/>
                <w:color w:val="auto"/>
              </w:rPr>
            </w:pPr>
            <w:r>
              <w:rPr>
                <w:rFonts w:ascii="Arial" w:cs="Arial" w:eastAsia="Arial" w:hAnsi="Arial"/>
                <w:sz w:val="8"/>
                <w:szCs w:val="8"/>
                <w:color w:val="auto"/>
                <w:w w:val="97"/>
              </w:rPr>
              <w:t>29,751</w:t>
            </w:r>
          </w:p>
        </w:tc>
        <w:tc>
          <w:tcPr>
            <w:tcW w:w="1280" w:type="dxa"/>
            <w:vAlign w:val="bottom"/>
            <w:tcBorders>
              <w:right w:val="single" w:sz="8" w:color="auto"/>
            </w:tcBorders>
          </w:tcPr>
          <w:p>
            <w:pPr>
              <w:jc w:val="center"/>
              <w:ind w:left="232"/>
              <w:spacing w:after="0"/>
              <w:rPr>
                <w:sz w:val="20"/>
                <w:szCs w:val="20"/>
                <w:color w:val="auto"/>
              </w:rPr>
            </w:pPr>
            <w:r>
              <w:rPr>
                <w:rFonts w:ascii="Arial" w:cs="Arial" w:eastAsia="Arial" w:hAnsi="Arial"/>
                <w:sz w:val="8"/>
                <w:szCs w:val="8"/>
                <w:color w:val="auto"/>
                <w:w w:val="97"/>
              </w:rPr>
              <w:t>44,208</w:t>
            </w:r>
          </w:p>
        </w:tc>
        <w:tc>
          <w:tcPr>
            <w:tcW w:w="1240" w:type="dxa"/>
            <w:vAlign w:val="bottom"/>
          </w:tcPr>
          <w:p>
            <w:pPr>
              <w:jc w:val="center"/>
              <w:ind w:right="234"/>
              <w:spacing w:after="0"/>
              <w:rPr>
                <w:sz w:val="20"/>
                <w:szCs w:val="20"/>
                <w:color w:val="auto"/>
              </w:rPr>
            </w:pPr>
            <w:r>
              <w:rPr>
                <w:rFonts w:ascii="Arial" w:cs="Arial" w:eastAsia="Arial" w:hAnsi="Arial"/>
                <w:sz w:val="8"/>
                <w:szCs w:val="8"/>
                <w:color w:val="auto"/>
              </w:rPr>
              <w:t>48.6%</w:t>
            </w:r>
          </w:p>
        </w:tc>
        <w:tc>
          <w:tcPr>
            <w:tcW w:w="720" w:type="dxa"/>
            <w:vAlign w:val="bottom"/>
            <w:tcBorders>
              <w:right w:val="single" w:sz="8" w:color="auto"/>
            </w:tcBorders>
          </w:tcPr>
          <w:p>
            <w:pPr>
              <w:jc w:val="center"/>
              <w:ind w:right="254"/>
              <w:spacing w:after="0"/>
              <w:rPr>
                <w:sz w:val="20"/>
                <w:szCs w:val="20"/>
                <w:color w:val="auto"/>
              </w:rPr>
            </w:pPr>
            <w:r>
              <w:rPr>
                <w:rFonts w:ascii="Arial" w:cs="Arial" w:eastAsia="Arial" w:hAnsi="Arial"/>
                <w:sz w:val="8"/>
                <w:szCs w:val="8"/>
                <w:color w:val="auto"/>
                <w:w w:val="96"/>
              </w:rPr>
              <w:t>86.7%</w:t>
            </w:r>
          </w:p>
        </w:tc>
        <w:tc>
          <w:tcPr>
            <w:tcW w:w="220" w:type="dxa"/>
            <w:vAlign w:val="bottom"/>
          </w:tcPr>
          <w:p>
            <w:pPr>
              <w:spacing w:after="0"/>
              <w:rPr>
                <w:sz w:val="8"/>
                <w:szCs w:val="8"/>
                <w:color w:val="auto"/>
              </w:rPr>
            </w:pPr>
          </w:p>
        </w:tc>
        <w:tc>
          <w:tcPr>
            <w:tcW w:w="440" w:type="dxa"/>
            <w:vAlign w:val="bottom"/>
          </w:tcPr>
          <w:p>
            <w:pPr>
              <w:jc w:val="center"/>
              <w:ind w:left="19"/>
              <w:spacing w:after="0"/>
              <w:rPr>
                <w:sz w:val="20"/>
                <w:szCs w:val="20"/>
                <w:color w:val="auto"/>
              </w:rPr>
            </w:pPr>
            <w:r>
              <w:rPr>
                <w:rFonts w:ascii="Arial" w:cs="Arial" w:eastAsia="Arial" w:hAnsi="Arial"/>
                <w:sz w:val="8"/>
                <w:szCs w:val="8"/>
                <w:color w:val="auto"/>
              </w:rPr>
              <w:t>36,183</w:t>
            </w:r>
          </w:p>
        </w:tc>
        <w:tc>
          <w:tcPr>
            <w:tcW w:w="1260" w:type="dxa"/>
            <w:vAlign w:val="bottom"/>
            <w:tcBorders>
              <w:right w:val="single" w:sz="8" w:color="auto"/>
            </w:tcBorders>
          </w:tcPr>
          <w:p>
            <w:pPr>
              <w:jc w:val="center"/>
              <w:ind w:left="234"/>
              <w:spacing w:after="0"/>
              <w:rPr>
                <w:sz w:val="20"/>
                <w:szCs w:val="20"/>
                <w:color w:val="auto"/>
              </w:rPr>
            </w:pPr>
            <w:r>
              <w:rPr>
                <w:rFonts w:ascii="Arial" w:cs="Arial" w:eastAsia="Arial" w:hAnsi="Arial"/>
                <w:sz w:val="8"/>
                <w:szCs w:val="8"/>
                <w:color w:val="auto"/>
              </w:rPr>
              <w:t>73,959</w:t>
            </w:r>
          </w:p>
        </w:tc>
        <w:tc>
          <w:tcPr>
            <w:tcW w:w="860" w:type="dxa"/>
            <w:vAlign w:val="bottom"/>
          </w:tcPr>
          <w:p>
            <w:pPr>
              <w:jc w:val="center"/>
              <w:ind w:left="55"/>
              <w:spacing w:after="0"/>
              <w:rPr>
                <w:sz w:val="20"/>
                <w:szCs w:val="20"/>
                <w:color w:val="auto"/>
              </w:rPr>
            </w:pPr>
            <w:r>
              <w:rPr>
                <w:rFonts w:ascii="Arial" w:cs="Arial" w:eastAsia="Arial" w:hAnsi="Arial"/>
                <w:sz w:val="8"/>
                <w:szCs w:val="8"/>
                <w:color w:val="auto"/>
              </w:rPr>
              <w:t>104.4%</w:t>
            </w:r>
          </w:p>
        </w:tc>
        <w:tc>
          <w:tcPr>
            <w:tcW w:w="120" w:type="dxa"/>
            <w:vAlign w:val="bottom"/>
            <w:tcBorders>
              <w:right w:val="single" w:sz="8" w:color="auto"/>
            </w:tcBorders>
          </w:tcPr>
          <w:p>
            <w:pPr>
              <w:spacing w:after="0"/>
              <w:rPr>
                <w:sz w:val="8"/>
                <w:szCs w:val="8"/>
                <w:color w:val="auto"/>
              </w:rPr>
            </w:pPr>
          </w:p>
        </w:tc>
      </w:tr>
      <w:tr>
        <w:trPr>
          <w:trHeight w:val="93"/>
        </w:trPr>
        <w:tc>
          <w:tcPr>
            <w:tcW w:w="3060" w:type="dxa"/>
            <w:vAlign w:val="bottom"/>
            <w:tcBorders>
              <w:left w:val="single" w:sz="8" w:color="auto"/>
              <w:right w:val="single" w:sz="8" w:color="auto"/>
            </w:tcBorders>
          </w:tcPr>
          <w:p>
            <w:pPr>
              <w:spacing w:after="0"/>
              <w:rPr>
                <w:sz w:val="20"/>
                <w:szCs w:val="20"/>
                <w:color w:val="auto"/>
              </w:rPr>
            </w:pPr>
            <w:r>
              <w:rPr>
                <w:rFonts w:ascii="Arial" w:cs="Arial" w:eastAsia="Arial" w:hAnsi="Arial"/>
                <w:sz w:val="8"/>
                <w:szCs w:val="8"/>
                <w:b w:val="1"/>
                <w:bCs w:val="1"/>
                <w:color w:val="auto"/>
              </w:rPr>
              <w:t>Other Income</w:t>
            </w:r>
          </w:p>
        </w:tc>
        <w:tc>
          <w:tcPr>
            <w:tcW w:w="1240" w:type="dxa"/>
            <w:vAlign w:val="bottom"/>
          </w:tcPr>
          <w:p>
            <w:pPr>
              <w:jc w:val="center"/>
              <w:ind w:right="259"/>
              <w:spacing w:after="0"/>
              <w:rPr>
                <w:sz w:val="20"/>
                <w:szCs w:val="20"/>
                <w:color w:val="auto"/>
              </w:rPr>
            </w:pPr>
            <w:r>
              <w:rPr>
                <w:rFonts w:ascii="Arial" w:cs="Arial" w:eastAsia="Arial" w:hAnsi="Arial"/>
                <w:sz w:val="8"/>
                <w:szCs w:val="8"/>
                <w:b w:val="1"/>
                <w:bCs w:val="1"/>
                <w:color w:val="auto"/>
              </w:rPr>
              <w:t>37,422</w:t>
            </w:r>
          </w:p>
        </w:tc>
        <w:tc>
          <w:tcPr>
            <w:tcW w:w="400" w:type="dxa"/>
            <w:vAlign w:val="bottom"/>
          </w:tcPr>
          <w:p>
            <w:pPr>
              <w:jc w:val="center"/>
              <w:spacing w:after="0"/>
              <w:rPr>
                <w:sz w:val="20"/>
                <w:szCs w:val="20"/>
                <w:color w:val="auto"/>
              </w:rPr>
            </w:pPr>
            <w:r>
              <w:rPr>
                <w:rFonts w:ascii="Arial" w:cs="Arial" w:eastAsia="Arial" w:hAnsi="Arial"/>
                <w:sz w:val="8"/>
                <w:szCs w:val="8"/>
                <w:b w:val="1"/>
                <w:bCs w:val="1"/>
                <w:color w:val="auto"/>
                <w:w w:val="97"/>
              </w:rPr>
              <w:t>49,529</w:t>
            </w:r>
          </w:p>
        </w:tc>
        <w:tc>
          <w:tcPr>
            <w:tcW w:w="1280" w:type="dxa"/>
            <w:vAlign w:val="bottom"/>
            <w:tcBorders>
              <w:right w:val="single" w:sz="8" w:color="auto"/>
            </w:tcBorders>
          </w:tcPr>
          <w:p>
            <w:pPr>
              <w:jc w:val="center"/>
              <w:ind w:left="232"/>
              <w:spacing w:after="0"/>
              <w:rPr>
                <w:sz w:val="20"/>
                <w:szCs w:val="20"/>
                <w:color w:val="auto"/>
              </w:rPr>
            </w:pPr>
            <w:r>
              <w:rPr>
                <w:rFonts w:ascii="Arial" w:cs="Arial" w:eastAsia="Arial" w:hAnsi="Arial"/>
                <w:sz w:val="8"/>
                <w:szCs w:val="8"/>
                <w:b w:val="1"/>
                <w:bCs w:val="1"/>
                <w:color w:val="auto"/>
                <w:w w:val="97"/>
              </w:rPr>
              <w:t>64,985</w:t>
            </w:r>
          </w:p>
        </w:tc>
        <w:tc>
          <w:tcPr>
            <w:tcW w:w="1240" w:type="dxa"/>
            <w:vAlign w:val="bottom"/>
          </w:tcPr>
          <w:p>
            <w:pPr>
              <w:jc w:val="center"/>
              <w:ind w:right="234"/>
              <w:spacing w:after="0"/>
              <w:rPr>
                <w:sz w:val="20"/>
                <w:szCs w:val="20"/>
                <w:color w:val="auto"/>
              </w:rPr>
            </w:pPr>
            <w:r>
              <w:rPr>
                <w:rFonts w:ascii="Arial" w:cs="Arial" w:eastAsia="Arial" w:hAnsi="Arial"/>
                <w:sz w:val="8"/>
                <w:szCs w:val="8"/>
                <w:b w:val="1"/>
                <w:bCs w:val="1"/>
                <w:color w:val="auto"/>
              </w:rPr>
              <w:t>31.2%</w:t>
            </w:r>
          </w:p>
        </w:tc>
        <w:tc>
          <w:tcPr>
            <w:tcW w:w="720" w:type="dxa"/>
            <w:vAlign w:val="bottom"/>
            <w:tcBorders>
              <w:right w:val="single" w:sz="8" w:color="auto"/>
            </w:tcBorders>
          </w:tcPr>
          <w:p>
            <w:pPr>
              <w:jc w:val="center"/>
              <w:ind w:right="254"/>
              <w:spacing w:after="0"/>
              <w:rPr>
                <w:sz w:val="20"/>
                <w:szCs w:val="20"/>
                <w:color w:val="auto"/>
              </w:rPr>
            </w:pPr>
            <w:r>
              <w:rPr>
                <w:rFonts w:ascii="Arial" w:cs="Arial" w:eastAsia="Arial" w:hAnsi="Arial"/>
                <w:sz w:val="8"/>
                <w:szCs w:val="8"/>
                <w:b w:val="1"/>
                <w:bCs w:val="1"/>
                <w:color w:val="auto"/>
                <w:w w:val="96"/>
              </w:rPr>
              <w:t>73.7%</w:t>
            </w:r>
          </w:p>
        </w:tc>
        <w:tc>
          <w:tcPr>
            <w:tcW w:w="220" w:type="dxa"/>
            <w:vAlign w:val="bottom"/>
          </w:tcPr>
          <w:p>
            <w:pPr>
              <w:spacing w:after="0"/>
              <w:rPr>
                <w:sz w:val="8"/>
                <w:szCs w:val="8"/>
                <w:color w:val="auto"/>
              </w:rPr>
            </w:pPr>
          </w:p>
        </w:tc>
        <w:tc>
          <w:tcPr>
            <w:tcW w:w="440" w:type="dxa"/>
            <w:vAlign w:val="bottom"/>
          </w:tcPr>
          <w:p>
            <w:pPr>
              <w:jc w:val="center"/>
              <w:ind w:left="19"/>
              <w:spacing w:after="0"/>
              <w:rPr>
                <w:sz w:val="20"/>
                <w:szCs w:val="20"/>
                <w:color w:val="auto"/>
              </w:rPr>
            </w:pPr>
            <w:r>
              <w:rPr>
                <w:rFonts w:ascii="Arial" w:cs="Arial" w:eastAsia="Arial" w:hAnsi="Arial"/>
                <w:sz w:val="8"/>
                <w:szCs w:val="8"/>
                <w:b w:val="1"/>
                <w:bCs w:val="1"/>
                <w:color w:val="auto"/>
              </w:rPr>
              <w:t>75,486</w:t>
            </w:r>
          </w:p>
        </w:tc>
        <w:tc>
          <w:tcPr>
            <w:tcW w:w="1260" w:type="dxa"/>
            <w:vAlign w:val="bottom"/>
            <w:tcBorders>
              <w:right w:val="single" w:sz="8" w:color="auto"/>
            </w:tcBorders>
          </w:tcPr>
          <w:p>
            <w:pPr>
              <w:jc w:val="center"/>
              <w:ind w:left="234"/>
              <w:spacing w:after="0"/>
              <w:rPr>
                <w:sz w:val="20"/>
                <w:szCs w:val="20"/>
                <w:color w:val="auto"/>
              </w:rPr>
            </w:pPr>
            <w:r>
              <w:rPr>
                <w:rFonts w:ascii="Arial" w:cs="Arial" w:eastAsia="Arial" w:hAnsi="Arial"/>
                <w:sz w:val="8"/>
                <w:szCs w:val="8"/>
                <w:b w:val="1"/>
                <w:bCs w:val="1"/>
                <w:color w:val="auto"/>
              </w:rPr>
              <w:t>114,514</w:t>
            </w:r>
          </w:p>
        </w:tc>
        <w:tc>
          <w:tcPr>
            <w:tcW w:w="860" w:type="dxa"/>
            <w:vAlign w:val="bottom"/>
          </w:tcPr>
          <w:p>
            <w:pPr>
              <w:jc w:val="center"/>
              <w:ind w:left="55"/>
              <w:spacing w:after="0"/>
              <w:rPr>
                <w:sz w:val="20"/>
                <w:szCs w:val="20"/>
                <w:color w:val="auto"/>
              </w:rPr>
            </w:pPr>
            <w:r>
              <w:rPr>
                <w:rFonts w:ascii="Arial" w:cs="Arial" w:eastAsia="Arial" w:hAnsi="Arial"/>
                <w:sz w:val="8"/>
                <w:szCs w:val="8"/>
                <w:b w:val="1"/>
                <w:bCs w:val="1"/>
                <w:color w:val="auto"/>
              </w:rPr>
              <w:t>51.7%</w:t>
            </w:r>
          </w:p>
        </w:tc>
        <w:tc>
          <w:tcPr>
            <w:tcW w:w="120" w:type="dxa"/>
            <w:vAlign w:val="bottom"/>
            <w:tcBorders>
              <w:right w:val="single" w:sz="8" w:color="auto"/>
            </w:tcBorders>
          </w:tcPr>
          <w:p>
            <w:pPr>
              <w:spacing w:after="0"/>
              <w:rPr>
                <w:sz w:val="8"/>
                <w:szCs w:val="8"/>
                <w:color w:val="auto"/>
              </w:rPr>
            </w:pPr>
          </w:p>
        </w:tc>
      </w:tr>
      <w:tr>
        <w:trPr>
          <w:trHeight w:val="93"/>
        </w:trPr>
        <w:tc>
          <w:tcPr>
            <w:tcW w:w="3060" w:type="dxa"/>
            <w:vAlign w:val="bottom"/>
            <w:tcBorders>
              <w:left w:val="single" w:sz="8" w:color="auto"/>
              <w:right w:val="single" w:sz="8" w:color="auto"/>
            </w:tcBorders>
          </w:tcPr>
          <w:p>
            <w:pPr>
              <w:spacing w:after="0"/>
              <w:rPr>
                <w:sz w:val="20"/>
                <w:szCs w:val="20"/>
                <w:color w:val="auto"/>
              </w:rPr>
            </w:pPr>
            <w:r>
              <w:rPr>
                <w:rFonts w:ascii="Arial" w:cs="Arial" w:eastAsia="Arial" w:hAnsi="Arial"/>
                <w:sz w:val="8"/>
                <w:szCs w:val="8"/>
                <w:color w:val="auto"/>
              </w:rPr>
              <w:t>Operating expenses</w:t>
            </w:r>
          </w:p>
        </w:tc>
        <w:tc>
          <w:tcPr>
            <w:tcW w:w="1240" w:type="dxa"/>
            <w:vAlign w:val="bottom"/>
          </w:tcPr>
          <w:p>
            <w:pPr>
              <w:jc w:val="center"/>
              <w:ind w:right="279"/>
              <w:spacing w:after="0"/>
              <w:rPr>
                <w:sz w:val="20"/>
                <w:szCs w:val="20"/>
                <w:color w:val="auto"/>
              </w:rPr>
            </w:pPr>
            <w:r>
              <w:rPr>
                <w:rFonts w:ascii="Arial" w:cs="Arial" w:eastAsia="Arial" w:hAnsi="Arial"/>
                <w:sz w:val="8"/>
                <w:szCs w:val="8"/>
                <w:color w:val="auto"/>
              </w:rPr>
              <w:t>-72,708</w:t>
            </w:r>
          </w:p>
        </w:tc>
        <w:tc>
          <w:tcPr>
            <w:tcW w:w="400" w:type="dxa"/>
            <w:vAlign w:val="bottom"/>
          </w:tcPr>
          <w:p>
            <w:pPr>
              <w:jc w:val="center"/>
              <w:spacing w:after="0"/>
              <w:rPr>
                <w:sz w:val="20"/>
                <w:szCs w:val="20"/>
                <w:color w:val="auto"/>
              </w:rPr>
            </w:pPr>
            <w:r>
              <w:rPr>
                <w:rFonts w:ascii="Arial" w:cs="Arial" w:eastAsia="Arial" w:hAnsi="Arial"/>
                <w:sz w:val="8"/>
                <w:szCs w:val="8"/>
                <w:color w:val="auto"/>
              </w:rPr>
              <w:t>-76,174</w:t>
            </w:r>
          </w:p>
        </w:tc>
        <w:tc>
          <w:tcPr>
            <w:tcW w:w="1280" w:type="dxa"/>
            <w:vAlign w:val="bottom"/>
            <w:tcBorders>
              <w:right w:val="single" w:sz="8" w:color="auto"/>
            </w:tcBorders>
          </w:tcPr>
          <w:p>
            <w:pPr>
              <w:jc w:val="center"/>
              <w:ind w:left="232"/>
              <w:spacing w:after="0"/>
              <w:rPr>
                <w:sz w:val="20"/>
                <w:szCs w:val="20"/>
                <w:color w:val="auto"/>
              </w:rPr>
            </w:pPr>
            <w:r>
              <w:rPr>
                <w:rFonts w:ascii="Arial" w:cs="Arial" w:eastAsia="Arial" w:hAnsi="Arial"/>
                <w:sz w:val="8"/>
                <w:szCs w:val="8"/>
                <w:color w:val="auto"/>
              </w:rPr>
              <w:t>-75,397</w:t>
            </w:r>
          </w:p>
        </w:tc>
        <w:tc>
          <w:tcPr>
            <w:tcW w:w="1240" w:type="dxa"/>
            <w:vAlign w:val="bottom"/>
          </w:tcPr>
          <w:p>
            <w:pPr>
              <w:jc w:val="center"/>
              <w:ind w:right="234"/>
              <w:spacing w:after="0"/>
              <w:rPr>
                <w:sz w:val="20"/>
                <w:szCs w:val="20"/>
                <w:color w:val="auto"/>
              </w:rPr>
            </w:pPr>
            <w:r>
              <w:rPr>
                <w:rFonts w:ascii="Arial" w:cs="Arial" w:eastAsia="Arial" w:hAnsi="Arial"/>
                <w:sz w:val="8"/>
                <w:szCs w:val="8"/>
                <w:color w:val="auto"/>
                <w:w w:val="95"/>
              </w:rPr>
              <w:t>-1.0%</w:t>
            </w:r>
          </w:p>
        </w:tc>
        <w:tc>
          <w:tcPr>
            <w:tcW w:w="720" w:type="dxa"/>
            <w:vAlign w:val="bottom"/>
            <w:tcBorders>
              <w:right w:val="single" w:sz="8" w:color="auto"/>
            </w:tcBorders>
          </w:tcPr>
          <w:p>
            <w:pPr>
              <w:jc w:val="center"/>
              <w:ind w:right="254"/>
              <w:spacing w:after="0"/>
              <w:rPr>
                <w:sz w:val="20"/>
                <w:szCs w:val="20"/>
                <w:color w:val="auto"/>
              </w:rPr>
            </w:pPr>
            <w:r>
              <w:rPr>
                <w:rFonts w:ascii="Arial" w:cs="Arial" w:eastAsia="Arial" w:hAnsi="Arial"/>
                <w:sz w:val="8"/>
                <w:szCs w:val="8"/>
                <w:color w:val="auto"/>
                <w:w w:val="98"/>
              </w:rPr>
              <w:t>3.7%</w:t>
            </w:r>
          </w:p>
        </w:tc>
        <w:tc>
          <w:tcPr>
            <w:tcW w:w="220" w:type="dxa"/>
            <w:vAlign w:val="bottom"/>
          </w:tcPr>
          <w:p>
            <w:pPr>
              <w:spacing w:after="0"/>
              <w:rPr>
                <w:sz w:val="8"/>
                <w:szCs w:val="8"/>
                <w:color w:val="auto"/>
              </w:rPr>
            </w:pPr>
          </w:p>
        </w:tc>
        <w:tc>
          <w:tcPr>
            <w:tcW w:w="440" w:type="dxa"/>
            <w:vAlign w:val="bottom"/>
          </w:tcPr>
          <w:p>
            <w:pPr>
              <w:jc w:val="center"/>
              <w:ind w:left="19"/>
              <w:spacing w:after="0"/>
              <w:rPr>
                <w:sz w:val="20"/>
                <w:szCs w:val="20"/>
                <w:color w:val="auto"/>
              </w:rPr>
            </w:pPr>
            <w:r>
              <w:rPr>
                <w:rFonts w:ascii="Arial" w:cs="Arial" w:eastAsia="Arial" w:hAnsi="Arial"/>
                <w:sz w:val="8"/>
                <w:szCs w:val="8"/>
                <w:color w:val="auto"/>
              </w:rPr>
              <w:t>-136,976</w:t>
            </w:r>
          </w:p>
        </w:tc>
        <w:tc>
          <w:tcPr>
            <w:tcW w:w="1260" w:type="dxa"/>
            <w:vAlign w:val="bottom"/>
            <w:tcBorders>
              <w:right w:val="single" w:sz="8" w:color="auto"/>
            </w:tcBorders>
          </w:tcPr>
          <w:p>
            <w:pPr>
              <w:jc w:val="center"/>
              <w:ind w:left="234"/>
              <w:spacing w:after="0"/>
              <w:rPr>
                <w:sz w:val="20"/>
                <w:szCs w:val="20"/>
                <w:color w:val="auto"/>
              </w:rPr>
            </w:pPr>
            <w:r>
              <w:rPr>
                <w:rFonts w:ascii="Arial" w:cs="Arial" w:eastAsia="Arial" w:hAnsi="Arial"/>
                <w:sz w:val="8"/>
                <w:szCs w:val="8"/>
                <w:color w:val="auto"/>
              </w:rPr>
              <w:t>-151,571</w:t>
            </w:r>
          </w:p>
        </w:tc>
        <w:tc>
          <w:tcPr>
            <w:tcW w:w="860" w:type="dxa"/>
            <w:vAlign w:val="bottom"/>
          </w:tcPr>
          <w:p>
            <w:pPr>
              <w:jc w:val="center"/>
              <w:ind w:left="55"/>
              <w:spacing w:after="0"/>
              <w:rPr>
                <w:sz w:val="20"/>
                <w:szCs w:val="20"/>
                <w:color w:val="auto"/>
              </w:rPr>
            </w:pPr>
            <w:r>
              <w:rPr>
                <w:rFonts w:ascii="Arial" w:cs="Arial" w:eastAsia="Arial" w:hAnsi="Arial"/>
                <w:sz w:val="8"/>
                <w:szCs w:val="8"/>
                <w:color w:val="auto"/>
              </w:rPr>
              <w:t>10.7%</w:t>
            </w:r>
          </w:p>
        </w:tc>
        <w:tc>
          <w:tcPr>
            <w:tcW w:w="120" w:type="dxa"/>
            <w:vAlign w:val="bottom"/>
            <w:tcBorders>
              <w:right w:val="single" w:sz="8" w:color="auto"/>
            </w:tcBorders>
          </w:tcPr>
          <w:p>
            <w:pPr>
              <w:spacing w:after="0"/>
              <w:rPr>
                <w:sz w:val="8"/>
                <w:szCs w:val="8"/>
                <w:color w:val="auto"/>
              </w:rPr>
            </w:pPr>
          </w:p>
        </w:tc>
      </w:tr>
      <w:tr>
        <w:trPr>
          <w:trHeight w:val="93"/>
        </w:trPr>
        <w:tc>
          <w:tcPr>
            <w:tcW w:w="3060" w:type="dxa"/>
            <w:vAlign w:val="bottom"/>
            <w:tcBorders>
              <w:left w:val="single" w:sz="8" w:color="auto"/>
              <w:right w:val="single" w:sz="8" w:color="auto"/>
            </w:tcBorders>
          </w:tcPr>
          <w:p>
            <w:pPr>
              <w:spacing w:after="0"/>
              <w:rPr>
                <w:sz w:val="20"/>
                <w:szCs w:val="20"/>
                <w:color w:val="auto"/>
              </w:rPr>
            </w:pPr>
            <w:r>
              <w:rPr>
                <w:rFonts w:ascii="Arial" w:cs="Arial" w:eastAsia="Arial" w:hAnsi="Arial"/>
                <w:sz w:val="8"/>
                <w:szCs w:val="8"/>
                <w:color w:val="auto"/>
              </w:rPr>
              <w:t>Other expenses</w:t>
            </w:r>
          </w:p>
        </w:tc>
        <w:tc>
          <w:tcPr>
            <w:tcW w:w="1240" w:type="dxa"/>
            <w:vAlign w:val="bottom"/>
          </w:tcPr>
          <w:p>
            <w:pPr>
              <w:jc w:val="center"/>
              <w:ind w:right="279"/>
              <w:spacing w:after="0"/>
              <w:rPr>
                <w:sz w:val="20"/>
                <w:szCs w:val="20"/>
                <w:color w:val="auto"/>
              </w:rPr>
            </w:pPr>
            <w:r>
              <w:rPr>
                <w:rFonts w:ascii="Arial" w:cs="Arial" w:eastAsia="Arial" w:hAnsi="Arial"/>
                <w:sz w:val="8"/>
                <w:szCs w:val="8"/>
                <w:color w:val="auto"/>
              </w:rPr>
              <w:t>-21,292</w:t>
            </w:r>
          </w:p>
        </w:tc>
        <w:tc>
          <w:tcPr>
            <w:tcW w:w="400" w:type="dxa"/>
            <w:vAlign w:val="bottom"/>
          </w:tcPr>
          <w:p>
            <w:pPr>
              <w:jc w:val="center"/>
              <w:spacing w:after="0"/>
              <w:rPr>
                <w:sz w:val="20"/>
                <w:szCs w:val="20"/>
                <w:color w:val="auto"/>
              </w:rPr>
            </w:pPr>
            <w:r>
              <w:rPr>
                <w:rFonts w:ascii="Arial" w:cs="Arial" w:eastAsia="Arial" w:hAnsi="Arial"/>
                <w:sz w:val="8"/>
                <w:szCs w:val="8"/>
                <w:color w:val="auto"/>
              </w:rPr>
              <w:t>-4,979</w:t>
            </w:r>
          </w:p>
        </w:tc>
        <w:tc>
          <w:tcPr>
            <w:tcW w:w="1280" w:type="dxa"/>
            <w:vAlign w:val="bottom"/>
            <w:tcBorders>
              <w:right w:val="single" w:sz="8" w:color="auto"/>
            </w:tcBorders>
          </w:tcPr>
          <w:p>
            <w:pPr>
              <w:jc w:val="center"/>
              <w:ind w:left="232"/>
              <w:spacing w:after="0"/>
              <w:rPr>
                <w:sz w:val="20"/>
                <w:szCs w:val="20"/>
                <w:color w:val="auto"/>
              </w:rPr>
            </w:pPr>
            <w:r>
              <w:rPr>
                <w:rFonts w:ascii="Arial" w:cs="Arial" w:eastAsia="Arial" w:hAnsi="Arial"/>
                <w:sz w:val="8"/>
                <w:szCs w:val="8"/>
                <w:color w:val="auto"/>
              </w:rPr>
              <w:t>-29,351</w:t>
            </w:r>
          </w:p>
        </w:tc>
        <w:tc>
          <w:tcPr>
            <w:tcW w:w="1240" w:type="dxa"/>
            <w:vAlign w:val="bottom"/>
          </w:tcPr>
          <w:p>
            <w:pPr>
              <w:jc w:val="center"/>
              <w:ind w:right="234"/>
              <w:spacing w:after="0"/>
              <w:rPr>
                <w:sz w:val="20"/>
                <w:szCs w:val="20"/>
                <w:color w:val="auto"/>
              </w:rPr>
            </w:pPr>
            <w:r>
              <w:rPr>
                <w:rFonts w:ascii="Arial" w:cs="Arial" w:eastAsia="Arial" w:hAnsi="Arial"/>
                <w:sz w:val="8"/>
                <w:szCs w:val="8"/>
                <w:color w:val="auto"/>
              </w:rPr>
              <w:t>489.5%</w:t>
            </w:r>
          </w:p>
        </w:tc>
        <w:tc>
          <w:tcPr>
            <w:tcW w:w="720" w:type="dxa"/>
            <w:vAlign w:val="bottom"/>
            <w:tcBorders>
              <w:right w:val="single" w:sz="8" w:color="auto"/>
            </w:tcBorders>
          </w:tcPr>
          <w:p>
            <w:pPr>
              <w:jc w:val="center"/>
              <w:ind w:right="254"/>
              <w:spacing w:after="0"/>
              <w:rPr>
                <w:sz w:val="20"/>
                <w:szCs w:val="20"/>
                <w:color w:val="auto"/>
              </w:rPr>
            </w:pPr>
            <w:r>
              <w:rPr>
                <w:rFonts w:ascii="Arial" w:cs="Arial" w:eastAsia="Arial" w:hAnsi="Arial"/>
                <w:sz w:val="8"/>
                <w:szCs w:val="8"/>
                <w:color w:val="auto"/>
                <w:w w:val="96"/>
              </w:rPr>
              <w:t>37.8%</w:t>
            </w:r>
          </w:p>
        </w:tc>
        <w:tc>
          <w:tcPr>
            <w:tcW w:w="220" w:type="dxa"/>
            <w:vAlign w:val="bottom"/>
          </w:tcPr>
          <w:p>
            <w:pPr>
              <w:spacing w:after="0"/>
              <w:rPr>
                <w:sz w:val="8"/>
                <w:szCs w:val="8"/>
                <w:color w:val="auto"/>
              </w:rPr>
            </w:pPr>
          </w:p>
        </w:tc>
        <w:tc>
          <w:tcPr>
            <w:tcW w:w="440" w:type="dxa"/>
            <w:vAlign w:val="bottom"/>
          </w:tcPr>
          <w:p>
            <w:pPr>
              <w:jc w:val="center"/>
              <w:spacing w:after="0"/>
              <w:rPr>
                <w:sz w:val="20"/>
                <w:szCs w:val="20"/>
                <w:color w:val="auto"/>
              </w:rPr>
            </w:pPr>
            <w:r>
              <w:rPr>
                <w:rFonts w:ascii="Arial" w:cs="Arial" w:eastAsia="Arial" w:hAnsi="Arial"/>
                <w:sz w:val="8"/>
                <w:szCs w:val="8"/>
                <w:color w:val="auto"/>
              </w:rPr>
              <w:t>-20,638</w:t>
            </w:r>
          </w:p>
        </w:tc>
        <w:tc>
          <w:tcPr>
            <w:tcW w:w="1260" w:type="dxa"/>
            <w:vAlign w:val="bottom"/>
            <w:tcBorders>
              <w:right w:val="single" w:sz="8" w:color="auto"/>
            </w:tcBorders>
          </w:tcPr>
          <w:p>
            <w:pPr>
              <w:jc w:val="center"/>
              <w:ind w:left="234"/>
              <w:spacing w:after="0"/>
              <w:rPr>
                <w:sz w:val="20"/>
                <w:szCs w:val="20"/>
                <w:color w:val="auto"/>
              </w:rPr>
            </w:pPr>
            <w:r>
              <w:rPr>
                <w:rFonts w:ascii="Arial" w:cs="Arial" w:eastAsia="Arial" w:hAnsi="Arial"/>
                <w:sz w:val="8"/>
                <w:szCs w:val="8"/>
                <w:color w:val="auto"/>
                <w:w w:val="95"/>
              </w:rPr>
              <w:t>-34,330</w:t>
            </w:r>
          </w:p>
        </w:tc>
        <w:tc>
          <w:tcPr>
            <w:tcW w:w="860" w:type="dxa"/>
            <w:vAlign w:val="bottom"/>
          </w:tcPr>
          <w:p>
            <w:pPr>
              <w:jc w:val="center"/>
              <w:ind w:left="55"/>
              <w:spacing w:after="0"/>
              <w:rPr>
                <w:sz w:val="20"/>
                <w:szCs w:val="20"/>
                <w:color w:val="auto"/>
              </w:rPr>
            </w:pPr>
            <w:r>
              <w:rPr>
                <w:rFonts w:ascii="Arial" w:cs="Arial" w:eastAsia="Arial" w:hAnsi="Arial"/>
                <w:sz w:val="8"/>
                <w:szCs w:val="8"/>
                <w:color w:val="auto"/>
              </w:rPr>
              <w:t>66.3%</w:t>
            </w:r>
          </w:p>
        </w:tc>
        <w:tc>
          <w:tcPr>
            <w:tcW w:w="120" w:type="dxa"/>
            <w:vAlign w:val="bottom"/>
            <w:tcBorders>
              <w:right w:val="single" w:sz="8" w:color="auto"/>
            </w:tcBorders>
          </w:tcPr>
          <w:p>
            <w:pPr>
              <w:spacing w:after="0"/>
              <w:rPr>
                <w:sz w:val="8"/>
                <w:szCs w:val="8"/>
                <w:color w:val="auto"/>
              </w:rPr>
            </w:pPr>
          </w:p>
        </w:tc>
      </w:tr>
      <w:tr>
        <w:trPr>
          <w:trHeight w:val="93"/>
        </w:trPr>
        <w:tc>
          <w:tcPr>
            <w:tcW w:w="3060" w:type="dxa"/>
            <w:vAlign w:val="bottom"/>
            <w:tcBorders>
              <w:left w:val="single" w:sz="8" w:color="auto"/>
              <w:right w:val="single" w:sz="8" w:color="auto"/>
            </w:tcBorders>
          </w:tcPr>
          <w:p>
            <w:pPr>
              <w:spacing w:after="0"/>
              <w:rPr>
                <w:sz w:val="20"/>
                <w:szCs w:val="20"/>
                <w:color w:val="auto"/>
              </w:rPr>
            </w:pPr>
            <w:r>
              <w:rPr>
                <w:rFonts w:ascii="Arial" w:cs="Arial" w:eastAsia="Arial" w:hAnsi="Arial"/>
                <w:sz w:val="8"/>
                <w:szCs w:val="8"/>
                <w:b w:val="1"/>
                <w:bCs w:val="1"/>
                <w:color w:val="auto"/>
              </w:rPr>
              <w:t>Total Expenses</w:t>
            </w:r>
          </w:p>
        </w:tc>
        <w:tc>
          <w:tcPr>
            <w:tcW w:w="1240" w:type="dxa"/>
            <w:vAlign w:val="bottom"/>
          </w:tcPr>
          <w:p>
            <w:pPr>
              <w:jc w:val="center"/>
              <w:ind w:right="279"/>
              <w:spacing w:after="0"/>
              <w:rPr>
                <w:sz w:val="20"/>
                <w:szCs w:val="20"/>
                <w:color w:val="auto"/>
              </w:rPr>
            </w:pPr>
            <w:r>
              <w:rPr>
                <w:rFonts w:ascii="Arial" w:cs="Arial" w:eastAsia="Arial" w:hAnsi="Arial"/>
                <w:sz w:val="8"/>
                <w:szCs w:val="8"/>
                <w:b w:val="1"/>
                <w:bCs w:val="1"/>
                <w:color w:val="auto"/>
              </w:rPr>
              <w:t>-94,000</w:t>
            </w:r>
          </w:p>
        </w:tc>
        <w:tc>
          <w:tcPr>
            <w:tcW w:w="400" w:type="dxa"/>
            <w:vAlign w:val="bottom"/>
          </w:tcPr>
          <w:p>
            <w:pPr>
              <w:jc w:val="center"/>
              <w:spacing w:after="0"/>
              <w:rPr>
                <w:sz w:val="20"/>
                <w:szCs w:val="20"/>
                <w:color w:val="auto"/>
              </w:rPr>
            </w:pPr>
            <w:r>
              <w:rPr>
                <w:rFonts w:ascii="Arial" w:cs="Arial" w:eastAsia="Arial" w:hAnsi="Arial"/>
                <w:sz w:val="8"/>
                <w:szCs w:val="8"/>
                <w:b w:val="1"/>
                <w:bCs w:val="1"/>
                <w:color w:val="auto"/>
              </w:rPr>
              <w:t>-81,153</w:t>
            </w:r>
          </w:p>
        </w:tc>
        <w:tc>
          <w:tcPr>
            <w:tcW w:w="1280" w:type="dxa"/>
            <w:vAlign w:val="bottom"/>
            <w:tcBorders>
              <w:right w:val="single" w:sz="8" w:color="auto"/>
            </w:tcBorders>
          </w:tcPr>
          <w:p>
            <w:pPr>
              <w:jc w:val="center"/>
              <w:ind w:left="232"/>
              <w:spacing w:after="0"/>
              <w:rPr>
                <w:sz w:val="20"/>
                <w:szCs w:val="20"/>
                <w:color w:val="auto"/>
              </w:rPr>
            </w:pPr>
            <w:r>
              <w:rPr>
                <w:rFonts w:ascii="Arial" w:cs="Arial" w:eastAsia="Arial" w:hAnsi="Arial"/>
                <w:sz w:val="8"/>
                <w:szCs w:val="8"/>
                <w:b w:val="1"/>
                <w:bCs w:val="1"/>
                <w:color w:val="auto"/>
              </w:rPr>
              <w:t>-104,748</w:t>
            </w:r>
          </w:p>
        </w:tc>
        <w:tc>
          <w:tcPr>
            <w:tcW w:w="1240" w:type="dxa"/>
            <w:vAlign w:val="bottom"/>
          </w:tcPr>
          <w:p>
            <w:pPr>
              <w:jc w:val="center"/>
              <w:ind w:right="234"/>
              <w:spacing w:after="0"/>
              <w:rPr>
                <w:sz w:val="20"/>
                <w:szCs w:val="20"/>
                <w:color w:val="auto"/>
              </w:rPr>
            </w:pPr>
            <w:r>
              <w:rPr>
                <w:rFonts w:ascii="Arial" w:cs="Arial" w:eastAsia="Arial" w:hAnsi="Arial"/>
                <w:sz w:val="8"/>
                <w:szCs w:val="8"/>
                <w:b w:val="1"/>
                <w:bCs w:val="1"/>
                <w:color w:val="auto"/>
              </w:rPr>
              <w:t>29.1%</w:t>
            </w:r>
          </w:p>
        </w:tc>
        <w:tc>
          <w:tcPr>
            <w:tcW w:w="720" w:type="dxa"/>
            <w:vAlign w:val="bottom"/>
            <w:tcBorders>
              <w:right w:val="single" w:sz="8" w:color="auto"/>
            </w:tcBorders>
          </w:tcPr>
          <w:p>
            <w:pPr>
              <w:jc w:val="center"/>
              <w:ind w:right="254"/>
              <w:spacing w:after="0"/>
              <w:rPr>
                <w:sz w:val="20"/>
                <w:szCs w:val="20"/>
                <w:color w:val="auto"/>
              </w:rPr>
            </w:pPr>
            <w:r>
              <w:rPr>
                <w:rFonts w:ascii="Arial" w:cs="Arial" w:eastAsia="Arial" w:hAnsi="Arial"/>
                <w:sz w:val="8"/>
                <w:szCs w:val="8"/>
                <w:b w:val="1"/>
                <w:bCs w:val="1"/>
                <w:color w:val="auto"/>
                <w:w w:val="96"/>
              </w:rPr>
              <w:t>11.4%</w:t>
            </w:r>
          </w:p>
        </w:tc>
        <w:tc>
          <w:tcPr>
            <w:tcW w:w="220" w:type="dxa"/>
            <w:vAlign w:val="bottom"/>
          </w:tcPr>
          <w:p>
            <w:pPr>
              <w:spacing w:after="0"/>
              <w:rPr>
                <w:sz w:val="8"/>
                <w:szCs w:val="8"/>
                <w:color w:val="auto"/>
              </w:rPr>
            </w:pPr>
          </w:p>
        </w:tc>
        <w:tc>
          <w:tcPr>
            <w:tcW w:w="440" w:type="dxa"/>
            <w:vAlign w:val="bottom"/>
          </w:tcPr>
          <w:p>
            <w:pPr>
              <w:jc w:val="center"/>
              <w:ind w:left="19"/>
              <w:spacing w:after="0"/>
              <w:rPr>
                <w:sz w:val="20"/>
                <w:szCs w:val="20"/>
                <w:color w:val="auto"/>
              </w:rPr>
            </w:pPr>
            <w:r>
              <w:rPr>
                <w:rFonts w:ascii="Arial" w:cs="Arial" w:eastAsia="Arial" w:hAnsi="Arial"/>
                <w:sz w:val="8"/>
                <w:szCs w:val="8"/>
                <w:b w:val="1"/>
                <w:bCs w:val="1"/>
                <w:color w:val="auto"/>
              </w:rPr>
              <w:t>-157,614</w:t>
            </w:r>
          </w:p>
        </w:tc>
        <w:tc>
          <w:tcPr>
            <w:tcW w:w="1260" w:type="dxa"/>
            <w:vAlign w:val="bottom"/>
            <w:tcBorders>
              <w:right w:val="single" w:sz="8" w:color="auto"/>
            </w:tcBorders>
          </w:tcPr>
          <w:p>
            <w:pPr>
              <w:jc w:val="center"/>
              <w:ind w:left="234"/>
              <w:spacing w:after="0"/>
              <w:rPr>
                <w:sz w:val="20"/>
                <w:szCs w:val="20"/>
                <w:color w:val="auto"/>
              </w:rPr>
            </w:pPr>
            <w:r>
              <w:rPr>
                <w:rFonts w:ascii="Arial" w:cs="Arial" w:eastAsia="Arial" w:hAnsi="Arial"/>
                <w:sz w:val="8"/>
                <w:szCs w:val="8"/>
                <w:b w:val="1"/>
                <w:bCs w:val="1"/>
                <w:color w:val="auto"/>
              </w:rPr>
              <w:t>-185,901</w:t>
            </w:r>
          </w:p>
        </w:tc>
        <w:tc>
          <w:tcPr>
            <w:tcW w:w="860" w:type="dxa"/>
            <w:vAlign w:val="bottom"/>
          </w:tcPr>
          <w:p>
            <w:pPr>
              <w:jc w:val="center"/>
              <w:ind w:left="55"/>
              <w:spacing w:after="0"/>
              <w:rPr>
                <w:sz w:val="20"/>
                <w:szCs w:val="20"/>
                <w:color w:val="auto"/>
              </w:rPr>
            </w:pPr>
            <w:r>
              <w:rPr>
                <w:rFonts w:ascii="Arial" w:cs="Arial" w:eastAsia="Arial" w:hAnsi="Arial"/>
                <w:sz w:val="8"/>
                <w:szCs w:val="8"/>
                <w:b w:val="1"/>
                <w:bCs w:val="1"/>
                <w:color w:val="auto"/>
              </w:rPr>
              <w:t>17.9%</w:t>
            </w:r>
          </w:p>
        </w:tc>
        <w:tc>
          <w:tcPr>
            <w:tcW w:w="120" w:type="dxa"/>
            <w:vAlign w:val="bottom"/>
            <w:tcBorders>
              <w:right w:val="single" w:sz="8" w:color="auto"/>
            </w:tcBorders>
          </w:tcPr>
          <w:p>
            <w:pPr>
              <w:spacing w:after="0"/>
              <w:rPr>
                <w:sz w:val="8"/>
                <w:szCs w:val="8"/>
                <w:color w:val="auto"/>
              </w:rPr>
            </w:pPr>
          </w:p>
        </w:tc>
      </w:tr>
      <w:tr>
        <w:trPr>
          <w:trHeight w:val="93"/>
        </w:trPr>
        <w:tc>
          <w:tcPr>
            <w:tcW w:w="3060" w:type="dxa"/>
            <w:vAlign w:val="bottom"/>
            <w:tcBorders>
              <w:left w:val="single" w:sz="8" w:color="auto"/>
              <w:right w:val="single" w:sz="8" w:color="auto"/>
            </w:tcBorders>
          </w:tcPr>
          <w:p>
            <w:pPr>
              <w:spacing w:after="0"/>
              <w:rPr>
                <w:sz w:val="20"/>
                <w:szCs w:val="20"/>
                <w:color w:val="auto"/>
              </w:rPr>
            </w:pPr>
            <w:r>
              <w:rPr>
                <w:rFonts w:ascii="Arial" w:cs="Arial" w:eastAsia="Arial" w:hAnsi="Arial"/>
                <w:sz w:val="8"/>
                <w:szCs w:val="8"/>
                <w:color w:val="auto"/>
              </w:rPr>
              <w:t>Income tax</w:t>
            </w:r>
          </w:p>
        </w:tc>
        <w:tc>
          <w:tcPr>
            <w:tcW w:w="1240" w:type="dxa"/>
            <w:vAlign w:val="bottom"/>
          </w:tcPr>
          <w:p>
            <w:pPr>
              <w:jc w:val="center"/>
              <w:ind w:right="259"/>
              <w:spacing w:after="0"/>
              <w:rPr>
                <w:sz w:val="20"/>
                <w:szCs w:val="20"/>
                <w:color w:val="auto"/>
              </w:rPr>
            </w:pPr>
            <w:r>
              <w:rPr>
                <w:rFonts w:ascii="Arial" w:cs="Arial" w:eastAsia="Arial" w:hAnsi="Arial"/>
                <w:sz w:val="8"/>
                <w:szCs w:val="8"/>
                <w:color w:val="auto"/>
                <w:w w:val="96"/>
              </w:rPr>
              <w:t>-3,116</w:t>
            </w:r>
          </w:p>
        </w:tc>
        <w:tc>
          <w:tcPr>
            <w:tcW w:w="400" w:type="dxa"/>
            <w:vAlign w:val="bottom"/>
          </w:tcPr>
          <w:p>
            <w:pPr>
              <w:jc w:val="center"/>
              <w:spacing w:after="0"/>
              <w:rPr>
                <w:sz w:val="20"/>
                <w:szCs w:val="20"/>
                <w:color w:val="auto"/>
              </w:rPr>
            </w:pPr>
            <w:r>
              <w:rPr>
                <w:rFonts w:ascii="Arial" w:cs="Arial" w:eastAsia="Arial" w:hAnsi="Arial"/>
                <w:sz w:val="8"/>
                <w:szCs w:val="8"/>
                <w:color w:val="auto"/>
              </w:rPr>
              <w:t>-3,795</w:t>
            </w:r>
          </w:p>
        </w:tc>
        <w:tc>
          <w:tcPr>
            <w:tcW w:w="1280" w:type="dxa"/>
            <w:vAlign w:val="bottom"/>
            <w:tcBorders>
              <w:right w:val="single" w:sz="8" w:color="auto"/>
            </w:tcBorders>
          </w:tcPr>
          <w:p>
            <w:pPr>
              <w:jc w:val="center"/>
              <w:ind w:left="232"/>
              <w:spacing w:after="0"/>
              <w:rPr>
                <w:sz w:val="20"/>
                <w:szCs w:val="20"/>
                <w:color w:val="auto"/>
              </w:rPr>
            </w:pPr>
            <w:r>
              <w:rPr>
                <w:rFonts w:ascii="Arial" w:cs="Arial" w:eastAsia="Arial" w:hAnsi="Arial"/>
                <w:sz w:val="8"/>
                <w:szCs w:val="8"/>
                <w:color w:val="auto"/>
              </w:rPr>
              <w:t>-23,596</w:t>
            </w:r>
          </w:p>
        </w:tc>
        <w:tc>
          <w:tcPr>
            <w:tcW w:w="1240" w:type="dxa"/>
            <w:vAlign w:val="bottom"/>
          </w:tcPr>
          <w:p>
            <w:pPr>
              <w:jc w:val="center"/>
              <w:ind w:right="234"/>
              <w:spacing w:after="0"/>
              <w:rPr>
                <w:sz w:val="20"/>
                <w:szCs w:val="20"/>
                <w:color w:val="auto"/>
              </w:rPr>
            </w:pPr>
            <w:r>
              <w:rPr>
                <w:rFonts w:ascii="Arial" w:cs="Arial" w:eastAsia="Arial" w:hAnsi="Arial"/>
                <w:sz w:val="8"/>
                <w:szCs w:val="8"/>
                <w:color w:val="auto"/>
              </w:rPr>
              <w:t>521.8%</w:t>
            </w:r>
          </w:p>
        </w:tc>
        <w:tc>
          <w:tcPr>
            <w:tcW w:w="720" w:type="dxa"/>
            <w:vAlign w:val="bottom"/>
            <w:tcBorders>
              <w:right w:val="single" w:sz="8" w:color="auto"/>
            </w:tcBorders>
          </w:tcPr>
          <w:p>
            <w:pPr>
              <w:jc w:val="center"/>
              <w:ind w:right="234"/>
              <w:spacing w:after="0"/>
              <w:rPr>
                <w:sz w:val="20"/>
                <w:szCs w:val="20"/>
                <w:color w:val="auto"/>
              </w:rPr>
            </w:pPr>
            <w:r>
              <w:rPr>
                <w:rFonts w:ascii="Arial" w:cs="Arial" w:eastAsia="Arial" w:hAnsi="Arial"/>
                <w:sz w:val="8"/>
                <w:szCs w:val="8"/>
                <w:color w:val="auto"/>
              </w:rPr>
              <w:t>657.3%</w:t>
            </w:r>
          </w:p>
        </w:tc>
        <w:tc>
          <w:tcPr>
            <w:tcW w:w="220" w:type="dxa"/>
            <w:vAlign w:val="bottom"/>
          </w:tcPr>
          <w:p>
            <w:pPr>
              <w:spacing w:after="0"/>
              <w:rPr>
                <w:sz w:val="8"/>
                <w:szCs w:val="8"/>
                <w:color w:val="auto"/>
              </w:rPr>
            </w:pPr>
          </w:p>
        </w:tc>
        <w:tc>
          <w:tcPr>
            <w:tcW w:w="440" w:type="dxa"/>
            <w:vAlign w:val="bottom"/>
          </w:tcPr>
          <w:p>
            <w:pPr>
              <w:jc w:val="center"/>
              <w:ind w:left="19"/>
              <w:spacing w:after="0"/>
              <w:rPr>
                <w:sz w:val="20"/>
                <w:szCs w:val="20"/>
                <w:color w:val="auto"/>
              </w:rPr>
            </w:pPr>
            <w:r>
              <w:rPr>
                <w:rFonts w:ascii="Arial" w:cs="Arial" w:eastAsia="Arial" w:hAnsi="Arial"/>
                <w:sz w:val="8"/>
                <w:szCs w:val="8"/>
                <w:color w:val="auto"/>
                <w:w w:val="96"/>
              </w:rPr>
              <w:t>-6,316</w:t>
            </w:r>
          </w:p>
        </w:tc>
        <w:tc>
          <w:tcPr>
            <w:tcW w:w="1260" w:type="dxa"/>
            <w:vAlign w:val="bottom"/>
            <w:tcBorders>
              <w:right w:val="single" w:sz="8" w:color="auto"/>
            </w:tcBorders>
          </w:tcPr>
          <w:p>
            <w:pPr>
              <w:jc w:val="center"/>
              <w:ind w:left="234"/>
              <w:spacing w:after="0"/>
              <w:rPr>
                <w:sz w:val="20"/>
                <w:szCs w:val="20"/>
                <w:color w:val="auto"/>
              </w:rPr>
            </w:pPr>
            <w:r>
              <w:rPr>
                <w:rFonts w:ascii="Arial" w:cs="Arial" w:eastAsia="Arial" w:hAnsi="Arial"/>
                <w:sz w:val="8"/>
                <w:szCs w:val="8"/>
                <w:color w:val="auto"/>
                <w:w w:val="95"/>
              </w:rPr>
              <w:t>-27,391</w:t>
            </w:r>
          </w:p>
        </w:tc>
        <w:tc>
          <w:tcPr>
            <w:tcW w:w="860" w:type="dxa"/>
            <w:vAlign w:val="bottom"/>
          </w:tcPr>
          <w:p>
            <w:pPr>
              <w:jc w:val="center"/>
              <w:ind w:left="55"/>
              <w:spacing w:after="0"/>
              <w:rPr>
                <w:sz w:val="20"/>
                <w:szCs w:val="20"/>
                <w:color w:val="auto"/>
              </w:rPr>
            </w:pPr>
            <w:r>
              <w:rPr>
                <w:rFonts w:ascii="Arial" w:cs="Arial" w:eastAsia="Arial" w:hAnsi="Arial"/>
                <w:sz w:val="8"/>
                <w:szCs w:val="8"/>
                <w:color w:val="auto"/>
              </w:rPr>
              <w:t>333.7%</w:t>
            </w:r>
          </w:p>
        </w:tc>
        <w:tc>
          <w:tcPr>
            <w:tcW w:w="120" w:type="dxa"/>
            <w:vAlign w:val="bottom"/>
            <w:tcBorders>
              <w:right w:val="single" w:sz="8" w:color="auto"/>
            </w:tcBorders>
          </w:tcPr>
          <w:p>
            <w:pPr>
              <w:spacing w:after="0"/>
              <w:rPr>
                <w:sz w:val="8"/>
                <w:szCs w:val="8"/>
                <w:color w:val="auto"/>
              </w:rPr>
            </w:pPr>
          </w:p>
        </w:tc>
      </w:tr>
      <w:tr>
        <w:trPr>
          <w:trHeight w:val="103"/>
        </w:trPr>
        <w:tc>
          <w:tcPr>
            <w:tcW w:w="30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8"/>
                <w:szCs w:val="8"/>
                <w:b w:val="1"/>
                <w:bCs w:val="1"/>
                <w:color w:val="auto"/>
              </w:rPr>
              <w:t>Net income</w:t>
            </w:r>
          </w:p>
        </w:tc>
        <w:tc>
          <w:tcPr>
            <w:tcW w:w="1240" w:type="dxa"/>
            <w:vAlign w:val="bottom"/>
            <w:tcBorders>
              <w:bottom w:val="single" w:sz="8" w:color="auto"/>
            </w:tcBorders>
          </w:tcPr>
          <w:p>
            <w:pPr>
              <w:jc w:val="center"/>
              <w:ind w:right="259"/>
              <w:spacing w:after="0"/>
              <w:rPr>
                <w:sz w:val="20"/>
                <w:szCs w:val="20"/>
                <w:color w:val="auto"/>
              </w:rPr>
            </w:pPr>
            <w:r>
              <w:rPr>
                <w:rFonts w:ascii="Arial" w:cs="Arial" w:eastAsia="Arial" w:hAnsi="Arial"/>
                <w:sz w:val="8"/>
                <w:szCs w:val="8"/>
                <w:b w:val="1"/>
                <w:bCs w:val="1"/>
                <w:color w:val="auto"/>
              </w:rPr>
              <w:t>206,687</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6"/>
              </w:rPr>
              <w:t>216,753</w:t>
            </w:r>
          </w:p>
        </w:tc>
        <w:tc>
          <w:tcPr>
            <w:tcW w:w="1280" w:type="dxa"/>
            <w:vAlign w:val="bottom"/>
            <w:tcBorders>
              <w:bottom w:val="single" w:sz="8" w:color="auto"/>
              <w:right w:val="single" w:sz="8" w:color="auto"/>
            </w:tcBorders>
          </w:tcPr>
          <w:p>
            <w:pPr>
              <w:jc w:val="center"/>
              <w:ind w:left="232"/>
              <w:spacing w:after="0"/>
              <w:rPr>
                <w:sz w:val="20"/>
                <w:szCs w:val="20"/>
                <w:color w:val="auto"/>
              </w:rPr>
            </w:pPr>
            <w:r>
              <w:rPr>
                <w:rFonts w:ascii="Arial" w:cs="Arial" w:eastAsia="Arial" w:hAnsi="Arial"/>
                <w:sz w:val="8"/>
                <w:szCs w:val="8"/>
                <w:b w:val="1"/>
                <w:bCs w:val="1"/>
                <w:color w:val="auto"/>
                <w:w w:val="96"/>
              </w:rPr>
              <w:t>194,119</w:t>
            </w:r>
          </w:p>
        </w:tc>
        <w:tc>
          <w:tcPr>
            <w:tcW w:w="1240" w:type="dxa"/>
            <w:vAlign w:val="bottom"/>
            <w:tcBorders>
              <w:bottom w:val="single" w:sz="8" w:color="auto"/>
            </w:tcBorders>
          </w:tcPr>
          <w:p>
            <w:pPr>
              <w:jc w:val="center"/>
              <w:ind w:right="254"/>
              <w:spacing w:after="0"/>
              <w:rPr>
                <w:sz w:val="20"/>
                <w:szCs w:val="20"/>
                <w:color w:val="auto"/>
              </w:rPr>
            </w:pPr>
            <w:r>
              <w:rPr>
                <w:rFonts w:ascii="Arial" w:cs="Arial" w:eastAsia="Arial" w:hAnsi="Arial"/>
                <w:sz w:val="8"/>
                <w:szCs w:val="8"/>
                <w:b w:val="1"/>
                <w:bCs w:val="1"/>
                <w:color w:val="auto"/>
              </w:rPr>
              <w:t>-10.4%</w:t>
            </w:r>
          </w:p>
        </w:tc>
        <w:tc>
          <w:tcPr>
            <w:tcW w:w="720" w:type="dxa"/>
            <w:vAlign w:val="bottom"/>
            <w:tcBorders>
              <w:bottom w:val="single" w:sz="8" w:color="auto"/>
              <w:right w:val="single" w:sz="8" w:color="auto"/>
            </w:tcBorders>
          </w:tcPr>
          <w:p>
            <w:pPr>
              <w:jc w:val="center"/>
              <w:ind w:right="254"/>
              <w:spacing w:after="0"/>
              <w:rPr>
                <w:sz w:val="20"/>
                <w:szCs w:val="20"/>
                <w:color w:val="auto"/>
              </w:rPr>
            </w:pPr>
            <w:r>
              <w:rPr>
                <w:rFonts w:ascii="Arial" w:cs="Arial" w:eastAsia="Arial" w:hAnsi="Arial"/>
                <w:sz w:val="8"/>
                <w:szCs w:val="8"/>
                <w:b w:val="1"/>
                <w:bCs w:val="1"/>
                <w:color w:val="auto"/>
              </w:rPr>
              <w:t>-6.1%</w:t>
            </w:r>
          </w:p>
        </w:tc>
        <w:tc>
          <w:tcPr>
            <w:tcW w:w="2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center"/>
              <w:ind w:left="19"/>
              <w:spacing w:after="0"/>
              <w:rPr>
                <w:sz w:val="20"/>
                <w:szCs w:val="20"/>
                <w:color w:val="auto"/>
              </w:rPr>
            </w:pPr>
            <w:r>
              <w:rPr>
                <w:rFonts w:ascii="Arial" w:cs="Arial" w:eastAsia="Arial" w:hAnsi="Arial"/>
                <w:sz w:val="8"/>
                <w:szCs w:val="8"/>
                <w:b w:val="1"/>
                <w:bCs w:val="1"/>
                <w:color w:val="auto"/>
              </w:rPr>
              <w:t>447,828</w:t>
            </w:r>
          </w:p>
        </w:tc>
        <w:tc>
          <w:tcPr>
            <w:tcW w:w="1260" w:type="dxa"/>
            <w:vAlign w:val="bottom"/>
            <w:tcBorders>
              <w:bottom w:val="single" w:sz="8" w:color="auto"/>
              <w:right w:val="single" w:sz="8" w:color="auto"/>
            </w:tcBorders>
          </w:tcPr>
          <w:p>
            <w:pPr>
              <w:jc w:val="center"/>
              <w:ind w:left="234"/>
              <w:spacing w:after="0"/>
              <w:rPr>
                <w:sz w:val="20"/>
                <w:szCs w:val="20"/>
                <w:color w:val="auto"/>
              </w:rPr>
            </w:pPr>
            <w:r>
              <w:rPr>
                <w:rFonts w:ascii="Arial" w:cs="Arial" w:eastAsia="Arial" w:hAnsi="Arial"/>
                <w:sz w:val="8"/>
                <w:szCs w:val="8"/>
                <w:b w:val="1"/>
                <w:bCs w:val="1"/>
                <w:color w:val="auto"/>
              </w:rPr>
              <w:t>410,872</w:t>
            </w:r>
          </w:p>
        </w:tc>
        <w:tc>
          <w:tcPr>
            <w:tcW w:w="860" w:type="dxa"/>
            <w:vAlign w:val="bottom"/>
            <w:tcBorders>
              <w:bottom w:val="single" w:sz="8" w:color="auto"/>
            </w:tcBorders>
          </w:tcPr>
          <w:p>
            <w:pPr>
              <w:jc w:val="center"/>
              <w:ind w:left="55"/>
              <w:spacing w:after="0"/>
              <w:rPr>
                <w:sz w:val="20"/>
                <w:szCs w:val="20"/>
                <w:color w:val="auto"/>
              </w:rPr>
            </w:pPr>
            <w:r>
              <w:rPr>
                <w:rFonts w:ascii="Arial" w:cs="Arial" w:eastAsia="Arial" w:hAnsi="Arial"/>
                <w:sz w:val="8"/>
                <w:szCs w:val="8"/>
                <w:b w:val="1"/>
                <w:bCs w:val="1"/>
                <w:color w:val="auto"/>
                <w:w w:val="95"/>
              </w:rPr>
              <w:t>-8.3%</w:t>
            </w:r>
          </w:p>
        </w:tc>
        <w:tc>
          <w:tcPr>
            <w:tcW w:w="120" w:type="dxa"/>
            <w:vAlign w:val="bottom"/>
            <w:tcBorders>
              <w:bottom w:val="single" w:sz="8" w:color="auto"/>
              <w:right w:val="single" w:sz="8" w:color="auto"/>
            </w:tcBorders>
          </w:tcPr>
          <w:p>
            <w:pPr>
              <w:spacing w:after="0"/>
              <w:rPr>
                <w:sz w:val="8"/>
                <w:szCs w:val="8"/>
                <w:color w:val="auto"/>
              </w:rPr>
            </w:pPr>
          </w:p>
        </w:tc>
      </w:tr>
    </w:tbl>
    <w:p>
      <w:pPr>
        <w:spacing w:after="0" w:line="138" w:lineRule="exact"/>
        <w:rPr>
          <w:sz w:val="20"/>
          <w:szCs w:val="20"/>
          <w:color w:val="auto"/>
        </w:rPr>
      </w:pPr>
    </w:p>
    <w:p>
      <w:pPr>
        <w:spacing w:after="0"/>
        <w:rPr>
          <w:sz w:val="20"/>
          <w:szCs w:val="20"/>
          <w:color w:val="auto"/>
        </w:rPr>
      </w:pPr>
      <w:r>
        <w:rPr>
          <w:rFonts w:ascii="Arial" w:cs="Arial" w:eastAsia="Arial" w:hAnsi="Arial"/>
          <w:sz w:val="10"/>
          <w:szCs w:val="10"/>
          <w:color w:val="auto"/>
        </w:rPr>
        <w:t>*Financial statements without consolidation adjustments.</w:t>
      </w:r>
    </w:p>
    <w:p>
      <w:pPr>
        <w:spacing w:after="0"/>
        <w:rPr>
          <w:sz w:val="20"/>
          <w:szCs w:val="20"/>
          <w:color w:val="auto"/>
        </w:rPr>
      </w:pPr>
      <w:r>
        <w:rPr>
          <w:rFonts w:ascii="Arial" w:cs="Arial" w:eastAsia="Arial" w:hAnsi="Arial"/>
          <w:sz w:val="10"/>
          <w:szCs w:val="10"/>
          <w:color w:val="auto"/>
        </w:rPr>
        <w:t>(1) Excluding investments in real estate.</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From 1Q15 and on, Grupo Pacifico’s financial statements reflect the agreement with Banmedica (in equal parts) of the businesses of:</w:t>
      </w:r>
    </w:p>
    <w:p>
      <w:pPr>
        <w:spacing w:after="0" w:line="18" w:lineRule="exact"/>
        <w:rPr>
          <w:sz w:val="20"/>
          <w:szCs w:val="20"/>
          <w:color w:val="auto"/>
        </w:rPr>
      </w:pPr>
    </w:p>
    <w:p>
      <w:pPr>
        <w:ind w:left="480" w:hanging="237"/>
        <w:spacing w:after="0"/>
        <w:tabs>
          <w:tab w:leader="none" w:pos="4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private health insurance managed by Grupo Pacifico and included in its Financial Statements in each of the accounting lines;</w:t>
      </w:r>
    </w:p>
    <w:p>
      <w:pPr>
        <w:spacing w:after="0" w:line="6" w:lineRule="exact"/>
        <w:rPr>
          <w:rFonts w:ascii="Arial" w:cs="Arial" w:eastAsia="Arial" w:hAnsi="Arial"/>
          <w:sz w:val="12"/>
          <w:szCs w:val="12"/>
          <w:color w:val="auto"/>
        </w:rPr>
      </w:pPr>
    </w:p>
    <w:p>
      <w:pPr>
        <w:ind w:left="480" w:hanging="237"/>
        <w:spacing w:after="0"/>
        <w:tabs>
          <w:tab w:leader="none" w:pos="4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corporate health insurance (dependent workers); and</w:t>
      </w:r>
    </w:p>
    <w:p>
      <w:pPr>
        <w:spacing w:after="0" w:line="6" w:lineRule="exact"/>
        <w:rPr>
          <w:rFonts w:ascii="Arial" w:cs="Arial" w:eastAsia="Arial" w:hAnsi="Arial"/>
          <w:sz w:val="12"/>
          <w:szCs w:val="12"/>
          <w:color w:val="auto"/>
        </w:rPr>
      </w:pPr>
    </w:p>
    <w:p>
      <w:pPr>
        <w:ind w:left="480" w:hanging="237"/>
        <w:spacing w:after="0"/>
        <w:tabs>
          <w:tab w:leader="none" w:pos="4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medical services.</w:t>
      </w:r>
    </w:p>
    <w:p>
      <w:pPr>
        <w:spacing w:after="0" w:line="138" w:lineRule="exact"/>
        <w:rPr>
          <w:sz w:val="20"/>
          <w:szCs w:val="20"/>
          <w:color w:val="auto"/>
        </w:rPr>
      </w:pPr>
    </w:p>
    <w:p>
      <w:pPr>
        <w:ind w:right="440"/>
        <w:spacing w:after="0" w:line="291" w:lineRule="auto"/>
        <w:rPr>
          <w:sz w:val="20"/>
          <w:szCs w:val="20"/>
          <w:color w:val="auto"/>
        </w:rPr>
      </w:pPr>
      <w:r>
        <w:rPr>
          <w:rFonts w:ascii="Arial" w:cs="Arial" w:eastAsia="Arial" w:hAnsi="Arial"/>
          <w:sz w:val="12"/>
          <w:szCs w:val="12"/>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97" w:lineRule="exact"/>
        <w:rPr>
          <w:sz w:val="20"/>
          <w:szCs w:val="20"/>
          <w:color w:val="auto"/>
        </w:rPr>
      </w:pPr>
    </w:p>
    <w:p>
      <w:pPr>
        <w:ind w:left="460" w:hanging="465"/>
        <w:spacing w:after="0" w:line="291" w:lineRule="auto"/>
        <w:rPr>
          <w:sz w:val="20"/>
          <w:szCs w:val="20"/>
          <w:color w:val="auto"/>
        </w:rPr>
      </w:pPr>
      <w:r>
        <w:rPr>
          <w:rFonts w:ascii="Arial" w:cs="Arial" w:eastAsia="Arial" w:hAnsi="Arial"/>
          <w:sz w:val="12"/>
          <w:szCs w:val="12"/>
          <w:color w:val="auto"/>
        </w:rPr>
        <w:t>As explained before, corporate health insurance and medical services businesses are consolidated by Banmedica. The following table reflects the consolidated results from which Grupo Pacifico receives the 50%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603885</wp:posOffset>
            </wp:positionV>
            <wp:extent cx="7164705" cy="133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-86995</wp:posOffset>
            </wp:positionH>
            <wp:positionV relativeFrom="paragraph">
              <wp:posOffset>74930</wp:posOffset>
            </wp:positionV>
            <wp:extent cx="1502410" cy="4438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192405</wp:posOffset>
            </wp:positionV>
            <wp:extent cx="1750695" cy="3263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750695" cy="326390"/>
                    </a:xfrm>
                    <a:prstGeom prst="rect">
                      <a:avLst/>
                    </a:prstGeom>
                    <a:noFill/>
                  </pic:spPr>
                </pic:pic>
              </a:graphicData>
            </a:graphic>
          </wp:anchor>
        </w:drawing>
      </w:r>
    </w:p>
    <w:p>
      <w:pPr>
        <w:sectPr>
          <w:pgSz w:w="11900" w:h="16838" w:orient="portrait"/>
          <w:cols w:equalWidth="0" w:num="1">
            <w:col w:w="11040"/>
          </w:cols>
          <w:pgMar w:left="440" w:top="300" w:right="419" w:bottom="1440" w:gutter="0" w:footer="0" w:header="0"/>
        </w:sectPr>
      </w:pPr>
    </w:p>
    <w:bookmarkStart w:id="69" w:name="page70"/>
    <w:bookmarkEnd w:id="69"/>
    <w:p>
      <w:pPr>
        <w:jc w:val="both"/>
        <w:ind w:left="2480"/>
        <w:spacing w:after="0"/>
        <w:tabs>
          <w:tab w:leader="none" w:pos="2680" w:val="left"/>
          <w:tab w:leader="none" w:pos="7680"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102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64705" cy="581025"/>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12. Appendix</w:t>
      </w:r>
    </w:p>
    <w:p>
      <w:pPr>
        <w:spacing w:after="0" w:line="258" w:lineRule="exact"/>
        <w:rPr>
          <w:sz w:val="20"/>
          <w:szCs w:val="20"/>
          <w:color w:val="auto"/>
        </w:rPr>
      </w:pPr>
    </w:p>
    <w:p>
      <w:pPr>
        <w:jc w:val="center"/>
        <w:ind w:right="-579"/>
        <w:spacing w:after="0"/>
        <w:rPr>
          <w:sz w:val="20"/>
          <w:szCs w:val="20"/>
          <w:color w:val="auto"/>
        </w:rPr>
      </w:pPr>
      <w:r>
        <w:rPr>
          <w:rFonts w:ascii="Arial" w:cs="Arial" w:eastAsia="Arial" w:hAnsi="Arial"/>
          <w:sz w:val="12"/>
          <w:szCs w:val="12"/>
          <w:b w:val="1"/>
          <w:bCs w:val="1"/>
          <w:color w:val="auto"/>
        </w:rPr>
        <w:t>Corporate health insurance and Medical Services (1)</w:t>
      </w:r>
    </w:p>
    <w:p>
      <w:pPr>
        <w:spacing w:after="0" w:line="18" w:lineRule="exact"/>
        <w:rPr>
          <w:sz w:val="20"/>
          <w:szCs w:val="20"/>
          <w:color w:val="auto"/>
        </w:rPr>
      </w:pPr>
    </w:p>
    <w:p>
      <w:pPr>
        <w:jc w:val="center"/>
        <w:ind w:right="-579"/>
        <w:spacing w:after="0"/>
        <w:rPr>
          <w:sz w:val="20"/>
          <w:szCs w:val="20"/>
          <w:color w:val="auto"/>
        </w:rPr>
      </w:pPr>
      <w:r>
        <w:rPr>
          <w:rFonts w:ascii="Arial" w:cs="Arial" w:eastAsia="Arial" w:hAnsi="Arial"/>
          <w:sz w:val="12"/>
          <w:szCs w:val="12"/>
          <w:b w:val="1"/>
          <w:bCs w:val="1"/>
          <w:color w:val="auto"/>
        </w:rPr>
        <w:t>(S/ in thousands)</w:t>
      </w:r>
    </w:p>
    <w:p>
      <w:pPr>
        <w:spacing w:after="0" w:line="149" w:lineRule="exact"/>
        <w:rPr>
          <w:sz w:val="20"/>
          <w:szCs w:val="20"/>
          <w:color w:val="auto"/>
        </w:rPr>
      </w:pPr>
    </w:p>
    <w:tbl>
      <w:tblPr>
        <w:tblLayout w:type="fixed"/>
        <w:tblInd w:w="630" w:type="dxa"/>
        <w:tblCellMar>
          <w:top w:w="0" w:type="dxa"/>
          <w:left w:w="0" w:type="dxa"/>
          <w:bottom w:w="0" w:type="dxa"/>
          <w:right w:w="0" w:type="dxa"/>
        </w:tblCellMar>
      </w:tblPr>
      <w:tr>
        <w:trPr>
          <w:trHeight w:val="103"/>
        </w:trPr>
        <w:tc>
          <w:tcPr>
            <w:tcW w:w="2320" w:type="dxa"/>
            <w:vAlign w:val="bottom"/>
            <w:tcBorders>
              <w:right w:val="single" w:sz="8" w:color="auto"/>
            </w:tcBorders>
          </w:tcPr>
          <w:p>
            <w:pPr>
              <w:spacing w:after="0"/>
              <w:rPr>
                <w:sz w:val="8"/>
                <w:szCs w:val="8"/>
                <w:color w:val="auto"/>
              </w:rPr>
            </w:pPr>
          </w:p>
        </w:tc>
        <w:tc>
          <w:tcPr>
            <w:tcW w:w="940" w:type="dxa"/>
            <w:vAlign w:val="bottom"/>
            <w:tcBorders>
              <w:top w:val="single" w:sz="8" w:color="auto"/>
            </w:tcBorders>
            <w:shd w:val="clear" w:color="auto" w:fill="2AD2C9"/>
          </w:tcPr>
          <w:p>
            <w:pPr>
              <w:spacing w:after="0"/>
              <w:rPr>
                <w:sz w:val="8"/>
                <w:szCs w:val="8"/>
                <w:color w:val="auto"/>
              </w:rPr>
            </w:pPr>
          </w:p>
        </w:tc>
        <w:tc>
          <w:tcPr>
            <w:tcW w:w="960" w:type="dxa"/>
            <w:vAlign w:val="bottom"/>
            <w:tcBorders>
              <w:top w:val="single" w:sz="8" w:color="auto"/>
            </w:tcBorders>
            <w:shd w:val="clear" w:color="auto" w:fill="2AD2C9"/>
          </w:tcPr>
          <w:p>
            <w:pPr>
              <w:ind w:left="300"/>
              <w:spacing w:after="0"/>
              <w:rPr>
                <w:sz w:val="20"/>
                <w:szCs w:val="20"/>
                <w:color w:val="auto"/>
              </w:rPr>
            </w:pPr>
            <w:r>
              <w:rPr>
                <w:rFonts w:ascii="Arial" w:cs="Arial" w:eastAsia="Arial" w:hAnsi="Arial"/>
                <w:sz w:val="8"/>
                <w:szCs w:val="8"/>
                <w:b w:val="1"/>
                <w:bCs w:val="1"/>
                <w:color w:val="FFFFFF"/>
              </w:rPr>
              <w:t>Quarterly</w:t>
            </w:r>
          </w:p>
        </w:tc>
        <w:tc>
          <w:tcPr>
            <w:tcW w:w="1000" w:type="dxa"/>
            <w:vAlign w:val="bottom"/>
            <w:tcBorders>
              <w:top w:val="single" w:sz="8" w:color="auto"/>
              <w:right w:val="single" w:sz="8" w:color="auto"/>
            </w:tcBorders>
            <w:shd w:val="clear" w:color="auto" w:fill="2AD2C9"/>
          </w:tcPr>
          <w:p>
            <w:pPr>
              <w:spacing w:after="0"/>
              <w:rPr>
                <w:sz w:val="8"/>
                <w:szCs w:val="8"/>
                <w:color w:val="auto"/>
              </w:rPr>
            </w:pPr>
          </w:p>
        </w:tc>
        <w:tc>
          <w:tcPr>
            <w:tcW w:w="1080" w:type="dxa"/>
            <w:vAlign w:val="bottom"/>
            <w:tcBorders>
              <w:top w:val="single" w:sz="8" w:color="auto"/>
            </w:tcBorders>
            <w:shd w:val="clear" w:color="auto" w:fill="2AD2C9"/>
          </w:tcPr>
          <w:p>
            <w:pPr>
              <w:ind w:left="640"/>
              <w:spacing w:after="0"/>
              <w:rPr>
                <w:sz w:val="20"/>
                <w:szCs w:val="20"/>
                <w:color w:val="auto"/>
              </w:rPr>
            </w:pPr>
            <w:r>
              <w:rPr>
                <w:rFonts w:ascii="Arial" w:cs="Arial" w:eastAsia="Arial" w:hAnsi="Arial"/>
                <w:sz w:val="8"/>
                <w:szCs w:val="8"/>
                <w:b w:val="1"/>
                <w:bCs w:val="1"/>
                <w:color w:val="FFFFFF"/>
              </w:rPr>
              <w:t>% change</w:t>
            </w:r>
          </w:p>
        </w:tc>
        <w:tc>
          <w:tcPr>
            <w:tcW w:w="620" w:type="dxa"/>
            <w:vAlign w:val="bottom"/>
            <w:tcBorders>
              <w:top w:val="single" w:sz="8" w:color="auto"/>
              <w:right w:val="single" w:sz="8" w:color="auto"/>
            </w:tcBorders>
            <w:shd w:val="clear" w:color="auto" w:fill="2AD2C9"/>
          </w:tcPr>
          <w:p>
            <w:pPr>
              <w:spacing w:after="0"/>
              <w:rPr>
                <w:sz w:val="8"/>
                <w:szCs w:val="8"/>
                <w:color w:val="auto"/>
              </w:rPr>
            </w:pPr>
          </w:p>
        </w:tc>
        <w:tc>
          <w:tcPr>
            <w:tcW w:w="660" w:type="dxa"/>
            <w:vAlign w:val="bottom"/>
            <w:tcBorders>
              <w:top w:val="single" w:sz="8" w:color="auto"/>
            </w:tcBorders>
            <w:shd w:val="clear" w:color="auto" w:fill="2AD2C9"/>
          </w:tcPr>
          <w:p>
            <w:pPr>
              <w:spacing w:after="0"/>
              <w:rPr>
                <w:sz w:val="8"/>
                <w:szCs w:val="8"/>
                <w:color w:val="auto"/>
              </w:rPr>
            </w:pPr>
          </w:p>
        </w:tc>
        <w:tc>
          <w:tcPr>
            <w:tcW w:w="1060" w:type="dxa"/>
            <w:vAlign w:val="bottom"/>
            <w:tcBorders>
              <w:top w:val="single" w:sz="8" w:color="auto"/>
              <w:right w:val="single" w:sz="8" w:color="auto"/>
            </w:tcBorders>
            <w:shd w:val="clear" w:color="auto" w:fill="2AD2C9"/>
          </w:tcPr>
          <w:p>
            <w:pPr>
              <w:ind w:left="80"/>
              <w:spacing w:after="0"/>
              <w:rPr>
                <w:sz w:val="20"/>
                <w:szCs w:val="20"/>
                <w:color w:val="auto"/>
              </w:rPr>
            </w:pPr>
            <w:r>
              <w:rPr>
                <w:rFonts w:ascii="Arial" w:cs="Arial" w:eastAsia="Arial" w:hAnsi="Arial"/>
                <w:sz w:val="8"/>
                <w:szCs w:val="8"/>
                <w:b w:val="1"/>
                <w:bCs w:val="1"/>
                <w:color w:val="FFFFFF"/>
              </w:rPr>
              <w:t>Up to</w:t>
            </w:r>
          </w:p>
        </w:tc>
        <w:tc>
          <w:tcPr>
            <w:tcW w:w="960" w:type="dxa"/>
            <w:vAlign w:val="bottom"/>
            <w:tcBorders>
              <w:top w:val="single" w:sz="8" w:color="auto"/>
              <w:right w:val="single" w:sz="8" w:color="auto"/>
            </w:tcBorders>
            <w:shd w:val="clear" w:color="auto" w:fill="2AD2C9"/>
          </w:tcPr>
          <w:p>
            <w:pPr>
              <w:ind w:left="260"/>
              <w:spacing w:after="0"/>
              <w:rPr>
                <w:sz w:val="20"/>
                <w:szCs w:val="20"/>
                <w:color w:val="auto"/>
              </w:rPr>
            </w:pPr>
            <w:r>
              <w:rPr>
                <w:rFonts w:ascii="Arial" w:cs="Arial" w:eastAsia="Arial" w:hAnsi="Arial"/>
                <w:sz w:val="8"/>
                <w:szCs w:val="8"/>
                <w:b w:val="1"/>
                <w:bCs w:val="1"/>
                <w:color w:val="FFFFFF"/>
              </w:rPr>
              <w:t>% change</w:t>
            </w:r>
          </w:p>
        </w:tc>
      </w:tr>
      <w:tr>
        <w:trPr>
          <w:trHeight w:val="93"/>
        </w:trPr>
        <w:tc>
          <w:tcPr>
            <w:tcW w:w="2320" w:type="dxa"/>
            <w:vAlign w:val="bottom"/>
            <w:tcBorders>
              <w:bottom w:val="single" w:sz="8" w:color="auto"/>
              <w:right w:val="single" w:sz="8" w:color="auto"/>
            </w:tcBorders>
          </w:tcPr>
          <w:p>
            <w:pPr>
              <w:spacing w:after="0"/>
              <w:rPr>
                <w:sz w:val="8"/>
                <w:szCs w:val="8"/>
                <w:color w:val="auto"/>
              </w:rPr>
            </w:pPr>
          </w:p>
        </w:tc>
        <w:tc>
          <w:tcPr>
            <w:tcW w:w="940" w:type="dxa"/>
            <w:vAlign w:val="bottom"/>
            <w:tcBorders>
              <w:bottom w:val="single" w:sz="8" w:color="auto"/>
            </w:tcBorders>
            <w:shd w:val="clear" w:color="auto" w:fill="29D2C9"/>
          </w:tcPr>
          <w:p>
            <w:pPr>
              <w:jc w:val="center"/>
              <w:spacing w:after="0"/>
              <w:rPr>
                <w:sz w:val="20"/>
                <w:szCs w:val="20"/>
                <w:color w:val="auto"/>
              </w:rPr>
            </w:pPr>
            <w:r>
              <w:rPr>
                <w:rFonts w:ascii="Arial" w:cs="Arial" w:eastAsia="Arial" w:hAnsi="Arial"/>
                <w:sz w:val="8"/>
                <w:szCs w:val="8"/>
                <w:b w:val="1"/>
                <w:bCs w:val="1"/>
                <w:color w:val="FFFFFF"/>
              </w:rPr>
              <w:t>2Q22</w:t>
            </w:r>
          </w:p>
        </w:tc>
        <w:tc>
          <w:tcPr>
            <w:tcW w:w="960" w:type="dxa"/>
            <w:vAlign w:val="bottom"/>
            <w:tcBorders>
              <w:bottom w:val="single" w:sz="8" w:color="auto"/>
            </w:tcBorders>
            <w:shd w:val="clear" w:color="auto" w:fill="29D2C9"/>
          </w:tcPr>
          <w:p>
            <w:pPr>
              <w:jc w:val="center"/>
              <w:spacing w:after="0"/>
              <w:rPr>
                <w:sz w:val="20"/>
                <w:szCs w:val="20"/>
                <w:color w:val="auto"/>
              </w:rPr>
            </w:pPr>
            <w:r>
              <w:rPr>
                <w:rFonts w:ascii="Arial" w:cs="Arial" w:eastAsia="Arial" w:hAnsi="Arial"/>
                <w:sz w:val="8"/>
                <w:szCs w:val="8"/>
                <w:b w:val="1"/>
                <w:bCs w:val="1"/>
                <w:color w:val="FFFFFF"/>
              </w:rPr>
              <w:t>1Q23</w:t>
            </w:r>
          </w:p>
        </w:tc>
        <w:tc>
          <w:tcPr>
            <w:tcW w:w="1000" w:type="dxa"/>
            <w:vAlign w:val="bottom"/>
            <w:tcBorders>
              <w:bottom w:val="single" w:sz="8" w:color="auto"/>
              <w:right w:val="single" w:sz="8" w:color="auto"/>
            </w:tcBorders>
            <w:shd w:val="clear" w:color="auto" w:fill="29D2C9"/>
          </w:tcPr>
          <w:p>
            <w:pPr>
              <w:jc w:val="center"/>
              <w:spacing w:after="0"/>
              <w:rPr>
                <w:sz w:val="20"/>
                <w:szCs w:val="20"/>
                <w:color w:val="auto"/>
              </w:rPr>
            </w:pPr>
            <w:r>
              <w:rPr>
                <w:rFonts w:ascii="Arial" w:cs="Arial" w:eastAsia="Arial" w:hAnsi="Arial"/>
                <w:sz w:val="8"/>
                <w:szCs w:val="8"/>
                <w:b w:val="1"/>
                <w:bCs w:val="1"/>
                <w:color w:val="FFFFFF"/>
              </w:rPr>
              <w:t>2Q24</w:t>
            </w:r>
          </w:p>
        </w:tc>
        <w:tc>
          <w:tcPr>
            <w:tcW w:w="1080" w:type="dxa"/>
            <w:vAlign w:val="bottom"/>
            <w:tcBorders>
              <w:bottom w:val="single" w:sz="8" w:color="auto"/>
            </w:tcBorders>
            <w:shd w:val="clear" w:color="auto" w:fill="29D2C9"/>
          </w:tcPr>
          <w:p>
            <w:pPr>
              <w:ind w:left="360"/>
              <w:spacing w:after="0"/>
              <w:rPr>
                <w:sz w:val="20"/>
                <w:szCs w:val="20"/>
                <w:color w:val="auto"/>
              </w:rPr>
            </w:pPr>
            <w:r>
              <w:rPr>
                <w:rFonts w:ascii="Arial" w:cs="Arial" w:eastAsia="Arial" w:hAnsi="Arial"/>
                <w:sz w:val="8"/>
                <w:szCs w:val="8"/>
                <w:b w:val="1"/>
                <w:bCs w:val="1"/>
                <w:color w:val="FFFFFF"/>
              </w:rPr>
              <w:t>QoQ</w:t>
            </w:r>
          </w:p>
        </w:tc>
        <w:tc>
          <w:tcPr>
            <w:tcW w:w="620" w:type="dxa"/>
            <w:vAlign w:val="bottom"/>
            <w:tcBorders>
              <w:bottom w:val="single" w:sz="8" w:color="auto"/>
              <w:right w:val="single" w:sz="8" w:color="auto"/>
            </w:tcBorders>
            <w:shd w:val="clear" w:color="auto" w:fill="29D2C9"/>
          </w:tcPr>
          <w:p>
            <w:pPr>
              <w:ind w:left="140"/>
              <w:spacing w:after="0"/>
              <w:rPr>
                <w:sz w:val="20"/>
                <w:szCs w:val="20"/>
                <w:color w:val="auto"/>
              </w:rPr>
            </w:pPr>
            <w:r>
              <w:rPr>
                <w:rFonts w:ascii="Arial" w:cs="Arial" w:eastAsia="Arial" w:hAnsi="Arial"/>
                <w:sz w:val="8"/>
                <w:szCs w:val="8"/>
                <w:b w:val="1"/>
                <w:bCs w:val="1"/>
                <w:color w:val="FFFFFF"/>
              </w:rPr>
              <w:t>YoY</w:t>
            </w:r>
          </w:p>
        </w:tc>
        <w:tc>
          <w:tcPr>
            <w:tcW w:w="660" w:type="dxa"/>
            <w:vAlign w:val="bottom"/>
            <w:tcBorders>
              <w:bottom w:val="single" w:sz="8" w:color="auto"/>
            </w:tcBorders>
            <w:shd w:val="clear" w:color="auto" w:fill="29D2C9"/>
          </w:tcPr>
          <w:p>
            <w:pPr>
              <w:jc w:val="center"/>
              <w:ind w:left="139"/>
              <w:spacing w:after="0"/>
              <w:rPr>
                <w:sz w:val="20"/>
                <w:szCs w:val="20"/>
                <w:color w:val="auto"/>
              </w:rPr>
            </w:pPr>
            <w:r>
              <w:rPr>
                <w:rFonts w:ascii="Arial" w:cs="Arial" w:eastAsia="Arial" w:hAnsi="Arial"/>
                <w:sz w:val="8"/>
                <w:szCs w:val="8"/>
                <w:b w:val="1"/>
                <w:bCs w:val="1"/>
                <w:color w:val="FFFFFF"/>
              </w:rPr>
              <w:t>1H23</w:t>
            </w:r>
          </w:p>
        </w:tc>
        <w:tc>
          <w:tcPr>
            <w:tcW w:w="1060" w:type="dxa"/>
            <w:vAlign w:val="bottom"/>
            <w:tcBorders>
              <w:bottom w:val="single" w:sz="8" w:color="auto"/>
              <w:right w:val="single" w:sz="8" w:color="auto"/>
            </w:tcBorders>
            <w:shd w:val="clear" w:color="auto" w:fill="29D2C9"/>
          </w:tcPr>
          <w:p>
            <w:pPr>
              <w:jc w:val="center"/>
              <w:ind w:left="99"/>
              <w:spacing w:after="0"/>
              <w:rPr>
                <w:sz w:val="20"/>
                <w:szCs w:val="20"/>
                <w:color w:val="auto"/>
              </w:rPr>
            </w:pPr>
            <w:r>
              <w:rPr>
                <w:rFonts w:ascii="Arial" w:cs="Arial" w:eastAsia="Arial" w:hAnsi="Arial"/>
                <w:sz w:val="8"/>
                <w:szCs w:val="8"/>
                <w:b w:val="1"/>
                <w:bCs w:val="1"/>
                <w:color w:val="FFFFFF"/>
              </w:rPr>
              <w:t>1H24</w:t>
            </w:r>
          </w:p>
        </w:tc>
        <w:tc>
          <w:tcPr>
            <w:tcW w:w="960" w:type="dxa"/>
            <w:vAlign w:val="bottom"/>
            <w:tcBorders>
              <w:bottom w:val="single" w:sz="8" w:color="auto"/>
              <w:right w:val="single" w:sz="8" w:color="auto"/>
            </w:tcBorders>
            <w:shd w:val="clear" w:color="auto" w:fill="29D2C9"/>
          </w:tcPr>
          <w:p>
            <w:pPr>
              <w:jc w:val="center"/>
              <w:ind w:right="19"/>
              <w:spacing w:after="0"/>
              <w:rPr>
                <w:sz w:val="20"/>
                <w:szCs w:val="20"/>
                <w:color w:val="auto"/>
              </w:rPr>
            </w:pPr>
            <w:r>
              <w:rPr>
                <w:rFonts w:ascii="Arial" w:cs="Arial" w:eastAsia="Arial" w:hAnsi="Arial"/>
                <w:sz w:val="8"/>
                <w:szCs w:val="8"/>
                <w:b w:val="1"/>
                <w:bCs w:val="1"/>
                <w:color w:val="FFFFFF"/>
              </w:rPr>
              <w:t>1H24 / 1H23</w:t>
            </w:r>
          </w:p>
        </w:tc>
      </w:tr>
      <w:tr>
        <w:trPr>
          <w:trHeight w:val="72"/>
        </w:trPr>
        <w:tc>
          <w:tcPr>
            <w:tcW w:w="2320" w:type="dxa"/>
            <w:vAlign w:val="bottom"/>
            <w:tcBorders>
              <w:left w:val="single" w:sz="8" w:color="auto"/>
              <w:right w:val="single" w:sz="8" w:color="auto"/>
            </w:tcBorders>
          </w:tcPr>
          <w:p>
            <w:pPr>
              <w:ind w:left="20"/>
              <w:spacing w:after="0" w:line="73" w:lineRule="exact"/>
              <w:rPr>
                <w:sz w:val="20"/>
                <w:szCs w:val="20"/>
                <w:color w:val="auto"/>
              </w:rPr>
            </w:pPr>
            <w:r>
              <w:rPr>
                <w:rFonts w:ascii="Arial" w:cs="Arial" w:eastAsia="Arial" w:hAnsi="Arial"/>
                <w:sz w:val="8"/>
                <w:szCs w:val="8"/>
                <w:b w:val="1"/>
                <w:bCs w:val="1"/>
                <w:color w:val="auto"/>
              </w:rPr>
              <w:t>Results</w:t>
            </w:r>
          </w:p>
        </w:tc>
        <w:tc>
          <w:tcPr>
            <w:tcW w:w="9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r>
      <w:tr>
        <w:trPr>
          <w:trHeight w:val="93"/>
        </w:trPr>
        <w:tc>
          <w:tcPr>
            <w:tcW w:w="2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Net earned premiums</w:t>
            </w:r>
          </w:p>
        </w:tc>
        <w:tc>
          <w:tcPr>
            <w:tcW w:w="940" w:type="dxa"/>
            <w:vAlign w:val="bottom"/>
          </w:tcPr>
          <w:p>
            <w:pPr>
              <w:jc w:val="center"/>
              <w:spacing w:after="0"/>
              <w:rPr>
                <w:sz w:val="20"/>
                <w:szCs w:val="20"/>
                <w:color w:val="auto"/>
              </w:rPr>
            </w:pPr>
            <w:r>
              <w:rPr>
                <w:rFonts w:ascii="Arial" w:cs="Arial" w:eastAsia="Arial" w:hAnsi="Arial"/>
                <w:sz w:val="8"/>
                <w:szCs w:val="8"/>
                <w:color w:val="auto"/>
              </w:rPr>
              <w:t>325,488</w:t>
            </w:r>
          </w:p>
        </w:tc>
        <w:tc>
          <w:tcPr>
            <w:tcW w:w="960" w:type="dxa"/>
            <w:vAlign w:val="bottom"/>
          </w:tcPr>
          <w:p>
            <w:pPr>
              <w:jc w:val="center"/>
              <w:spacing w:after="0"/>
              <w:rPr>
                <w:sz w:val="20"/>
                <w:szCs w:val="20"/>
                <w:color w:val="auto"/>
              </w:rPr>
            </w:pPr>
            <w:r>
              <w:rPr>
                <w:rFonts w:ascii="Arial" w:cs="Arial" w:eastAsia="Arial" w:hAnsi="Arial"/>
                <w:sz w:val="8"/>
                <w:szCs w:val="8"/>
                <w:color w:val="auto"/>
              </w:rPr>
              <w:t>340,905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357,033</w:t>
            </w:r>
          </w:p>
        </w:tc>
        <w:tc>
          <w:tcPr>
            <w:tcW w:w="1080" w:type="dxa"/>
            <w:vAlign w:val="bottom"/>
          </w:tcPr>
          <w:p>
            <w:pPr>
              <w:jc w:val="center"/>
              <w:ind w:right="139"/>
              <w:spacing w:after="0"/>
              <w:rPr>
                <w:sz w:val="20"/>
                <w:szCs w:val="20"/>
                <w:color w:val="auto"/>
              </w:rPr>
            </w:pPr>
            <w:r>
              <w:rPr>
                <w:rFonts w:ascii="Arial" w:cs="Arial" w:eastAsia="Arial" w:hAnsi="Arial"/>
                <w:sz w:val="8"/>
                <w:szCs w:val="8"/>
                <w:color w:val="auto"/>
                <w:w w:val="98"/>
              </w:rPr>
              <w:t>4.7%</w:t>
            </w:r>
          </w:p>
        </w:tc>
        <w:tc>
          <w:tcPr>
            <w:tcW w:w="620" w:type="dxa"/>
            <w:vAlign w:val="bottom"/>
            <w:tcBorders>
              <w:right w:val="single" w:sz="8" w:color="auto"/>
            </w:tcBorders>
          </w:tcPr>
          <w:p>
            <w:pPr>
              <w:jc w:val="center"/>
              <w:ind w:right="139"/>
              <w:spacing w:after="0"/>
              <w:rPr>
                <w:sz w:val="20"/>
                <w:szCs w:val="20"/>
                <w:color w:val="auto"/>
              </w:rPr>
            </w:pPr>
            <w:r>
              <w:rPr>
                <w:rFonts w:ascii="Arial" w:cs="Arial" w:eastAsia="Arial" w:hAnsi="Arial"/>
                <w:sz w:val="8"/>
                <w:szCs w:val="8"/>
                <w:color w:val="auto"/>
              </w:rPr>
              <w:t>9.7%</w:t>
            </w:r>
          </w:p>
        </w:tc>
        <w:tc>
          <w:tcPr>
            <w:tcW w:w="660" w:type="dxa"/>
            <w:vAlign w:val="bottom"/>
          </w:tcPr>
          <w:p>
            <w:pPr>
              <w:jc w:val="center"/>
              <w:ind w:left="119"/>
              <w:spacing w:after="0"/>
              <w:rPr>
                <w:sz w:val="20"/>
                <w:szCs w:val="20"/>
                <w:color w:val="auto"/>
              </w:rPr>
            </w:pPr>
            <w:r>
              <w:rPr>
                <w:rFonts w:ascii="Arial" w:cs="Arial" w:eastAsia="Arial" w:hAnsi="Arial"/>
                <w:sz w:val="8"/>
                <w:szCs w:val="8"/>
                <w:color w:val="auto"/>
              </w:rPr>
              <w:t>666,393</w:t>
            </w:r>
          </w:p>
        </w:tc>
        <w:tc>
          <w:tcPr>
            <w:tcW w:w="1060" w:type="dxa"/>
            <w:vAlign w:val="bottom"/>
            <w:tcBorders>
              <w:right w:val="single" w:sz="8" w:color="auto"/>
            </w:tcBorders>
          </w:tcPr>
          <w:p>
            <w:pPr>
              <w:jc w:val="center"/>
              <w:ind w:left="119"/>
              <w:spacing w:after="0"/>
              <w:rPr>
                <w:sz w:val="20"/>
                <w:szCs w:val="20"/>
                <w:color w:val="auto"/>
              </w:rPr>
            </w:pPr>
            <w:r>
              <w:rPr>
                <w:rFonts w:ascii="Arial" w:cs="Arial" w:eastAsia="Arial" w:hAnsi="Arial"/>
                <w:sz w:val="8"/>
                <w:szCs w:val="8"/>
                <w:color w:val="auto"/>
              </w:rPr>
              <w:t>715,032</w:t>
            </w:r>
          </w:p>
        </w:tc>
        <w:tc>
          <w:tcPr>
            <w:tcW w:w="960" w:type="dxa"/>
            <w:vAlign w:val="bottom"/>
            <w:tcBorders>
              <w:right w:val="single" w:sz="8" w:color="auto"/>
            </w:tcBorders>
          </w:tcPr>
          <w:p>
            <w:pPr>
              <w:jc w:val="center"/>
              <w:ind w:right="19"/>
              <w:spacing w:after="0"/>
              <w:rPr>
                <w:sz w:val="20"/>
                <w:szCs w:val="20"/>
                <w:color w:val="auto"/>
              </w:rPr>
            </w:pPr>
            <w:r>
              <w:rPr>
                <w:rFonts w:ascii="Arial" w:cs="Arial" w:eastAsia="Arial" w:hAnsi="Arial"/>
                <w:sz w:val="8"/>
                <w:szCs w:val="8"/>
                <w:color w:val="auto"/>
                <w:w w:val="98"/>
              </w:rPr>
              <w:t>7.3%</w:t>
            </w:r>
          </w:p>
        </w:tc>
      </w:tr>
      <w:tr>
        <w:trPr>
          <w:trHeight w:val="93"/>
        </w:trPr>
        <w:tc>
          <w:tcPr>
            <w:tcW w:w="2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Net claims</w:t>
            </w:r>
          </w:p>
        </w:tc>
        <w:tc>
          <w:tcPr>
            <w:tcW w:w="940" w:type="dxa"/>
            <w:vAlign w:val="bottom"/>
          </w:tcPr>
          <w:p>
            <w:pPr>
              <w:jc w:val="center"/>
              <w:spacing w:after="0"/>
              <w:rPr>
                <w:sz w:val="20"/>
                <w:szCs w:val="20"/>
                <w:color w:val="auto"/>
              </w:rPr>
            </w:pPr>
            <w:r>
              <w:rPr>
                <w:rFonts w:ascii="Arial" w:cs="Arial" w:eastAsia="Arial" w:hAnsi="Arial"/>
                <w:sz w:val="8"/>
                <w:szCs w:val="8"/>
                <w:color w:val="auto"/>
              </w:rPr>
              <w:t>(277,753)</w:t>
            </w:r>
          </w:p>
        </w:tc>
        <w:tc>
          <w:tcPr>
            <w:tcW w:w="960" w:type="dxa"/>
            <w:vAlign w:val="bottom"/>
          </w:tcPr>
          <w:p>
            <w:pPr>
              <w:jc w:val="center"/>
              <w:spacing w:after="0"/>
              <w:rPr>
                <w:sz w:val="20"/>
                <w:szCs w:val="20"/>
                <w:color w:val="auto"/>
              </w:rPr>
            </w:pPr>
            <w:r>
              <w:rPr>
                <w:rFonts w:ascii="Arial" w:cs="Arial" w:eastAsia="Arial" w:hAnsi="Arial"/>
                <w:sz w:val="8"/>
                <w:szCs w:val="8"/>
                <w:color w:val="auto"/>
              </w:rPr>
              <w:t>(259,039)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(310,343)</w:t>
            </w:r>
          </w:p>
        </w:tc>
        <w:tc>
          <w:tcPr>
            <w:tcW w:w="1080" w:type="dxa"/>
            <w:vAlign w:val="bottom"/>
          </w:tcPr>
          <w:p>
            <w:pPr>
              <w:jc w:val="center"/>
              <w:ind w:right="139"/>
              <w:spacing w:after="0"/>
              <w:rPr>
                <w:sz w:val="20"/>
                <w:szCs w:val="20"/>
                <w:color w:val="auto"/>
              </w:rPr>
            </w:pPr>
            <w:r>
              <w:rPr>
                <w:rFonts w:ascii="Arial" w:cs="Arial" w:eastAsia="Arial" w:hAnsi="Arial"/>
                <w:sz w:val="8"/>
                <w:szCs w:val="8"/>
                <w:color w:val="auto"/>
                <w:w w:val="96"/>
              </w:rPr>
              <w:t>19.8%</w:t>
            </w:r>
          </w:p>
        </w:tc>
        <w:tc>
          <w:tcPr>
            <w:tcW w:w="620" w:type="dxa"/>
            <w:vAlign w:val="bottom"/>
            <w:tcBorders>
              <w:right w:val="single" w:sz="8" w:color="auto"/>
            </w:tcBorders>
          </w:tcPr>
          <w:p>
            <w:pPr>
              <w:jc w:val="center"/>
              <w:ind w:right="139"/>
              <w:spacing w:after="0"/>
              <w:rPr>
                <w:sz w:val="20"/>
                <w:szCs w:val="20"/>
                <w:color w:val="auto"/>
              </w:rPr>
            </w:pPr>
            <w:r>
              <w:rPr>
                <w:rFonts w:ascii="Arial" w:cs="Arial" w:eastAsia="Arial" w:hAnsi="Arial"/>
                <w:sz w:val="8"/>
                <w:szCs w:val="8"/>
                <w:color w:val="auto"/>
              </w:rPr>
              <w:t>11.7%</w:t>
            </w:r>
          </w:p>
        </w:tc>
        <w:tc>
          <w:tcPr>
            <w:tcW w:w="660" w:type="dxa"/>
            <w:vAlign w:val="bottom"/>
          </w:tcPr>
          <w:p>
            <w:pPr>
              <w:jc w:val="center"/>
              <w:ind w:left="139"/>
              <w:spacing w:after="0"/>
              <w:rPr>
                <w:sz w:val="20"/>
                <w:szCs w:val="20"/>
                <w:color w:val="auto"/>
              </w:rPr>
            </w:pPr>
            <w:r>
              <w:rPr>
                <w:rFonts w:ascii="Arial" w:cs="Arial" w:eastAsia="Arial" w:hAnsi="Arial"/>
                <w:sz w:val="8"/>
                <w:szCs w:val="8"/>
                <w:color w:val="auto"/>
              </w:rPr>
              <w:t>-536,792</w:t>
            </w:r>
          </w:p>
        </w:tc>
        <w:tc>
          <w:tcPr>
            <w:tcW w:w="106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rPr>
              <w:t>-600,609</w:t>
            </w:r>
          </w:p>
        </w:tc>
        <w:tc>
          <w:tcPr>
            <w:tcW w:w="960" w:type="dxa"/>
            <w:vAlign w:val="bottom"/>
            <w:tcBorders>
              <w:right w:val="single" w:sz="8" w:color="auto"/>
            </w:tcBorders>
          </w:tcPr>
          <w:p>
            <w:pPr>
              <w:jc w:val="center"/>
              <w:ind w:right="19"/>
              <w:spacing w:after="0"/>
              <w:rPr>
                <w:sz w:val="20"/>
                <w:szCs w:val="20"/>
                <w:color w:val="auto"/>
              </w:rPr>
            </w:pPr>
            <w:r>
              <w:rPr>
                <w:rFonts w:ascii="Arial" w:cs="Arial" w:eastAsia="Arial" w:hAnsi="Arial"/>
                <w:sz w:val="8"/>
                <w:szCs w:val="8"/>
                <w:color w:val="auto"/>
                <w:w w:val="96"/>
              </w:rPr>
              <w:t>11.9%</w:t>
            </w:r>
          </w:p>
        </w:tc>
      </w:tr>
      <w:tr>
        <w:trPr>
          <w:trHeight w:val="93"/>
        </w:trPr>
        <w:tc>
          <w:tcPr>
            <w:tcW w:w="2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Net fees</w:t>
            </w:r>
          </w:p>
        </w:tc>
        <w:tc>
          <w:tcPr>
            <w:tcW w:w="940" w:type="dxa"/>
            <w:vAlign w:val="bottom"/>
          </w:tcPr>
          <w:p>
            <w:pPr>
              <w:jc w:val="center"/>
              <w:spacing w:after="0"/>
              <w:rPr>
                <w:sz w:val="20"/>
                <w:szCs w:val="20"/>
                <w:color w:val="auto"/>
              </w:rPr>
            </w:pPr>
            <w:r>
              <w:rPr>
                <w:rFonts w:ascii="Arial" w:cs="Arial" w:eastAsia="Arial" w:hAnsi="Arial"/>
                <w:sz w:val="8"/>
                <w:szCs w:val="8"/>
                <w:color w:val="auto"/>
              </w:rPr>
              <w:t>(14,344)</w:t>
            </w:r>
          </w:p>
        </w:tc>
        <w:tc>
          <w:tcPr>
            <w:tcW w:w="960" w:type="dxa"/>
            <w:vAlign w:val="bottom"/>
          </w:tcPr>
          <w:p>
            <w:pPr>
              <w:jc w:val="center"/>
              <w:spacing w:after="0"/>
              <w:rPr>
                <w:sz w:val="20"/>
                <w:szCs w:val="20"/>
                <w:color w:val="auto"/>
              </w:rPr>
            </w:pPr>
            <w:r>
              <w:rPr>
                <w:rFonts w:ascii="Arial" w:cs="Arial" w:eastAsia="Arial" w:hAnsi="Arial"/>
                <w:sz w:val="8"/>
                <w:szCs w:val="8"/>
                <w:color w:val="auto"/>
              </w:rPr>
              <w:t>(14,627)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(15,515)</w:t>
            </w:r>
          </w:p>
        </w:tc>
        <w:tc>
          <w:tcPr>
            <w:tcW w:w="1080" w:type="dxa"/>
            <w:vAlign w:val="bottom"/>
          </w:tcPr>
          <w:p>
            <w:pPr>
              <w:jc w:val="center"/>
              <w:ind w:right="139"/>
              <w:spacing w:after="0"/>
              <w:rPr>
                <w:sz w:val="20"/>
                <w:szCs w:val="20"/>
                <w:color w:val="auto"/>
              </w:rPr>
            </w:pPr>
            <w:r>
              <w:rPr>
                <w:rFonts w:ascii="Arial" w:cs="Arial" w:eastAsia="Arial" w:hAnsi="Arial"/>
                <w:sz w:val="8"/>
                <w:szCs w:val="8"/>
                <w:color w:val="auto"/>
                <w:w w:val="98"/>
              </w:rPr>
              <w:t>6.1%</w:t>
            </w:r>
          </w:p>
        </w:tc>
        <w:tc>
          <w:tcPr>
            <w:tcW w:w="620" w:type="dxa"/>
            <w:vAlign w:val="bottom"/>
            <w:tcBorders>
              <w:right w:val="single" w:sz="8" w:color="auto"/>
            </w:tcBorders>
          </w:tcPr>
          <w:p>
            <w:pPr>
              <w:jc w:val="center"/>
              <w:ind w:right="139"/>
              <w:spacing w:after="0"/>
              <w:rPr>
                <w:sz w:val="20"/>
                <w:szCs w:val="20"/>
                <w:color w:val="auto"/>
              </w:rPr>
            </w:pPr>
            <w:r>
              <w:rPr>
                <w:rFonts w:ascii="Arial" w:cs="Arial" w:eastAsia="Arial" w:hAnsi="Arial"/>
                <w:sz w:val="8"/>
                <w:szCs w:val="8"/>
                <w:color w:val="auto"/>
              </w:rPr>
              <w:t>8.2%</w:t>
            </w:r>
          </w:p>
        </w:tc>
        <w:tc>
          <w:tcPr>
            <w:tcW w:w="660" w:type="dxa"/>
            <w:vAlign w:val="bottom"/>
          </w:tcPr>
          <w:p>
            <w:pPr>
              <w:jc w:val="center"/>
              <w:ind w:left="139"/>
              <w:spacing w:after="0"/>
              <w:rPr>
                <w:sz w:val="20"/>
                <w:szCs w:val="20"/>
                <w:color w:val="auto"/>
              </w:rPr>
            </w:pPr>
            <w:r>
              <w:rPr>
                <w:rFonts w:ascii="Arial" w:cs="Arial" w:eastAsia="Arial" w:hAnsi="Arial"/>
                <w:sz w:val="8"/>
                <w:szCs w:val="8"/>
                <w:color w:val="auto"/>
              </w:rPr>
              <w:t>-28,971</w:t>
            </w:r>
          </w:p>
        </w:tc>
        <w:tc>
          <w:tcPr>
            <w:tcW w:w="106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rPr>
              <w:t>-31,173</w:t>
            </w:r>
          </w:p>
        </w:tc>
        <w:tc>
          <w:tcPr>
            <w:tcW w:w="960" w:type="dxa"/>
            <w:vAlign w:val="bottom"/>
            <w:tcBorders>
              <w:right w:val="single" w:sz="8" w:color="auto"/>
            </w:tcBorders>
          </w:tcPr>
          <w:p>
            <w:pPr>
              <w:jc w:val="center"/>
              <w:ind w:right="19"/>
              <w:spacing w:after="0"/>
              <w:rPr>
                <w:sz w:val="20"/>
                <w:szCs w:val="20"/>
                <w:color w:val="auto"/>
              </w:rPr>
            </w:pPr>
            <w:r>
              <w:rPr>
                <w:rFonts w:ascii="Arial" w:cs="Arial" w:eastAsia="Arial" w:hAnsi="Arial"/>
                <w:sz w:val="8"/>
                <w:szCs w:val="8"/>
                <w:color w:val="auto"/>
                <w:w w:val="98"/>
              </w:rPr>
              <w:t>7.6%</w:t>
            </w:r>
          </w:p>
        </w:tc>
      </w:tr>
      <w:tr>
        <w:trPr>
          <w:trHeight w:val="93"/>
        </w:trPr>
        <w:tc>
          <w:tcPr>
            <w:tcW w:w="2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Net underwriting expenses</w:t>
            </w:r>
          </w:p>
        </w:tc>
        <w:tc>
          <w:tcPr>
            <w:tcW w:w="940" w:type="dxa"/>
            <w:vAlign w:val="bottom"/>
          </w:tcPr>
          <w:p>
            <w:pPr>
              <w:jc w:val="center"/>
              <w:spacing w:after="0"/>
              <w:rPr>
                <w:sz w:val="20"/>
                <w:szCs w:val="20"/>
                <w:color w:val="auto"/>
              </w:rPr>
            </w:pPr>
            <w:r>
              <w:rPr>
                <w:rFonts w:ascii="Arial" w:cs="Arial" w:eastAsia="Arial" w:hAnsi="Arial"/>
                <w:sz w:val="8"/>
                <w:szCs w:val="8"/>
                <w:color w:val="auto"/>
              </w:rPr>
              <w:t>(2,903)</w:t>
            </w:r>
          </w:p>
        </w:tc>
        <w:tc>
          <w:tcPr>
            <w:tcW w:w="960" w:type="dxa"/>
            <w:vAlign w:val="bottom"/>
          </w:tcPr>
          <w:p>
            <w:pPr>
              <w:jc w:val="center"/>
              <w:spacing w:after="0"/>
              <w:rPr>
                <w:sz w:val="20"/>
                <w:szCs w:val="20"/>
                <w:color w:val="auto"/>
              </w:rPr>
            </w:pPr>
            <w:r>
              <w:rPr>
                <w:rFonts w:ascii="Arial" w:cs="Arial" w:eastAsia="Arial" w:hAnsi="Arial"/>
                <w:sz w:val="8"/>
                <w:szCs w:val="8"/>
                <w:color w:val="auto"/>
              </w:rPr>
              <w:t>(2,995)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(3,482)</w:t>
            </w:r>
          </w:p>
        </w:tc>
        <w:tc>
          <w:tcPr>
            <w:tcW w:w="1080" w:type="dxa"/>
            <w:vAlign w:val="bottom"/>
          </w:tcPr>
          <w:p>
            <w:pPr>
              <w:jc w:val="center"/>
              <w:ind w:right="139"/>
              <w:spacing w:after="0"/>
              <w:rPr>
                <w:sz w:val="20"/>
                <w:szCs w:val="20"/>
                <w:color w:val="auto"/>
              </w:rPr>
            </w:pPr>
            <w:r>
              <w:rPr>
                <w:rFonts w:ascii="Arial" w:cs="Arial" w:eastAsia="Arial" w:hAnsi="Arial"/>
                <w:sz w:val="8"/>
                <w:szCs w:val="8"/>
                <w:color w:val="auto"/>
                <w:w w:val="96"/>
              </w:rPr>
              <w:t>16.3%</w:t>
            </w:r>
          </w:p>
        </w:tc>
        <w:tc>
          <w:tcPr>
            <w:tcW w:w="620" w:type="dxa"/>
            <w:vAlign w:val="bottom"/>
            <w:tcBorders>
              <w:right w:val="single" w:sz="8" w:color="auto"/>
            </w:tcBorders>
          </w:tcPr>
          <w:p>
            <w:pPr>
              <w:jc w:val="center"/>
              <w:ind w:right="139"/>
              <w:spacing w:after="0"/>
              <w:rPr>
                <w:sz w:val="20"/>
                <w:szCs w:val="20"/>
                <w:color w:val="auto"/>
              </w:rPr>
            </w:pPr>
            <w:r>
              <w:rPr>
                <w:rFonts w:ascii="Arial" w:cs="Arial" w:eastAsia="Arial" w:hAnsi="Arial"/>
                <w:sz w:val="8"/>
                <w:szCs w:val="8"/>
                <w:color w:val="auto"/>
              </w:rPr>
              <w:t>19.9%</w:t>
            </w:r>
          </w:p>
        </w:tc>
        <w:tc>
          <w:tcPr>
            <w:tcW w:w="660" w:type="dxa"/>
            <w:vAlign w:val="bottom"/>
          </w:tcPr>
          <w:p>
            <w:pPr>
              <w:jc w:val="center"/>
              <w:ind w:left="139"/>
              <w:spacing w:after="0"/>
              <w:rPr>
                <w:sz w:val="20"/>
                <w:szCs w:val="20"/>
                <w:color w:val="auto"/>
              </w:rPr>
            </w:pPr>
            <w:r>
              <w:rPr>
                <w:rFonts w:ascii="Arial" w:cs="Arial" w:eastAsia="Arial" w:hAnsi="Arial"/>
                <w:sz w:val="8"/>
                <w:szCs w:val="8"/>
                <w:color w:val="auto"/>
              </w:rPr>
              <w:t>-5,898</w:t>
            </w:r>
          </w:p>
        </w:tc>
        <w:tc>
          <w:tcPr>
            <w:tcW w:w="106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rPr>
              <w:t>-6,788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15.1%</w:t>
            </w:r>
          </w:p>
        </w:tc>
      </w:tr>
      <w:tr>
        <w:trPr>
          <w:trHeight w:val="112"/>
        </w:trPr>
        <w:tc>
          <w:tcPr>
            <w:tcW w:w="2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Underwriting result</w:t>
            </w:r>
          </w:p>
        </w:tc>
        <w:tc>
          <w:tcPr>
            <w:tcW w:w="940" w:type="dxa"/>
            <w:vAlign w:val="bottom"/>
          </w:tcPr>
          <w:p>
            <w:pPr>
              <w:jc w:val="center"/>
              <w:spacing w:after="0"/>
              <w:rPr>
                <w:sz w:val="20"/>
                <w:szCs w:val="20"/>
                <w:color w:val="auto"/>
              </w:rPr>
            </w:pPr>
            <w:r>
              <w:rPr>
                <w:rFonts w:ascii="Arial" w:cs="Arial" w:eastAsia="Arial" w:hAnsi="Arial"/>
                <w:sz w:val="8"/>
                <w:szCs w:val="8"/>
                <w:b w:val="1"/>
                <w:bCs w:val="1"/>
                <w:color w:val="auto"/>
                <w:w w:val="97"/>
              </w:rPr>
              <w:t>30,488</w:t>
            </w:r>
          </w:p>
        </w:tc>
        <w:tc>
          <w:tcPr>
            <w:tcW w:w="960" w:type="dxa"/>
            <w:vAlign w:val="bottom"/>
          </w:tcPr>
          <w:p>
            <w:pPr>
              <w:jc w:val="center"/>
              <w:spacing w:after="0"/>
              <w:rPr>
                <w:sz w:val="20"/>
                <w:szCs w:val="20"/>
                <w:color w:val="auto"/>
              </w:rPr>
            </w:pPr>
            <w:r>
              <w:rPr>
                <w:rFonts w:ascii="Arial" w:cs="Arial" w:eastAsia="Arial" w:hAnsi="Arial"/>
                <w:sz w:val="8"/>
                <w:szCs w:val="8"/>
                <w:b w:val="1"/>
                <w:bCs w:val="1"/>
                <w:color w:val="auto"/>
              </w:rPr>
              <w:t>64,243</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27,693</w:t>
            </w:r>
          </w:p>
        </w:tc>
        <w:tc>
          <w:tcPr>
            <w:tcW w:w="1080" w:type="dxa"/>
            <w:vAlign w:val="bottom"/>
          </w:tcPr>
          <w:p>
            <w:pPr>
              <w:jc w:val="center"/>
              <w:ind w:right="139"/>
              <w:spacing w:after="0"/>
              <w:rPr>
                <w:sz w:val="20"/>
                <w:szCs w:val="20"/>
                <w:color w:val="auto"/>
              </w:rPr>
            </w:pPr>
            <w:r>
              <w:rPr>
                <w:rFonts w:ascii="Arial" w:cs="Arial" w:eastAsia="Arial" w:hAnsi="Arial"/>
                <w:sz w:val="8"/>
                <w:szCs w:val="8"/>
                <w:b w:val="1"/>
                <w:bCs w:val="1"/>
                <w:color w:val="auto"/>
              </w:rPr>
              <w:t>-56.9%</w:t>
            </w:r>
          </w:p>
        </w:tc>
        <w:tc>
          <w:tcPr>
            <w:tcW w:w="620" w:type="dxa"/>
            <w:vAlign w:val="bottom"/>
            <w:tcBorders>
              <w:right w:val="single" w:sz="8" w:color="auto"/>
            </w:tcBorders>
          </w:tcPr>
          <w:p>
            <w:pPr>
              <w:jc w:val="center"/>
              <w:ind w:right="139"/>
              <w:spacing w:after="0"/>
              <w:rPr>
                <w:sz w:val="20"/>
                <w:szCs w:val="20"/>
                <w:color w:val="auto"/>
              </w:rPr>
            </w:pPr>
            <w:r>
              <w:rPr>
                <w:rFonts w:ascii="Arial" w:cs="Arial" w:eastAsia="Arial" w:hAnsi="Arial"/>
                <w:sz w:val="8"/>
                <w:szCs w:val="8"/>
                <w:b w:val="1"/>
                <w:bCs w:val="1"/>
                <w:color w:val="auto"/>
                <w:w w:val="95"/>
              </w:rPr>
              <w:t>-9.2%</w:t>
            </w:r>
          </w:p>
        </w:tc>
        <w:tc>
          <w:tcPr>
            <w:tcW w:w="660" w:type="dxa"/>
            <w:vAlign w:val="bottom"/>
          </w:tcPr>
          <w:p>
            <w:pPr>
              <w:jc w:val="center"/>
              <w:ind w:left="119"/>
              <w:spacing w:after="0"/>
              <w:rPr>
                <w:sz w:val="20"/>
                <w:szCs w:val="20"/>
                <w:color w:val="auto"/>
              </w:rPr>
            </w:pPr>
            <w:r>
              <w:rPr>
                <w:rFonts w:ascii="Arial" w:cs="Arial" w:eastAsia="Arial" w:hAnsi="Arial"/>
                <w:sz w:val="8"/>
                <w:szCs w:val="8"/>
                <w:b w:val="1"/>
                <w:bCs w:val="1"/>
                <w:color w:val="auto"/>
              </w:rPr>
              <w:t>94,731</w:t>
            </w:r>
          </w:p>
        </w:tc>
        <w:tc>
          <w:tcPr>
            <w:tcW w:w="106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b w:val="1"/>
                <w:bCs w:val="1"/>
                <w:color w:val="auto"/>
                <w:w w:val="97"/>
              </w:rPr>
              <w:t>76,462</w:t>
            </w:r>
          </w:p>
        </w:tc>
        <w:tc>
          <w:tcPr>
            <w:tcW w:w="960" w:type="dxa"/>
            <w:vAlign w:val="bottom"/>
            <w:tcBorders>
              <w:right w:val="single" w:sz="8" w:color="auto"/>
            </w:tcBorders>
          </w:tcPr>
          <w:p>
            <w:pPr>
              <w:jc w:val="center"/>
              <w:ind w:right="19"/>
              <w:spacing w:after="0"/>
              <w:rPr>
                <w:sz w:val="20"/>
                <w:szCs w:val="20"/>
                <w:color w:val="auto"/>
              </w:rPr>
            </w:pPr>
            <w:r>
              <w:rPr>
                <w:rFonts w:ascii="Arial" w:cs="Arial" w:eastAsia="Arial" w:hAnsi="Arial"/>
                <w:sz w:val="8"/>
                <w:szCs w:val="8"/>
                <w:b w:val="1"/>
                <w:bCs w:val="1"/>
                <w:color w:val="auto"/>
              </w:rPr>
              <w:t>-19.3%</w:t>
            </w:r>
          </w:p>
        </w:tc>
      </w:tr>
      <w:tr>
        <w:trPr>
          <w:trHeight w:val="165"/>
        </w:trPr>
        <w:tc>
          <w:tcPr>
            <w:tcW w:w="2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Net financial income</w:t>
            </w:r>
          </w:p>
        </w:tc>
        <w:tc>
          <w:tcPr>
            <w:tcW w:w="940" w:type="dxa"/>
            <w:vAlign w:val="bottom"/>
          </w:tcPr>
          <w:p>
            <w:pPr>
              <w:jc w:val="center"/>
              <w:spacing w:after="0"/>
              <w:rPr>
                <w:sz w:val="20"/>
                <w:szCs w:val="20"/>
                <w:color w:val="auto"/>
              </w:rPr>
            </w:pPr>
            <w:r>
              <w:rPr>
                <w:rFonts w:ascii="Arial" w:cs="Arial" w:eastAsia="Arial" w:hAnsi="Arial"/>
                <w:sz w:val="8"/>
                <w:szCs w:val="8"/>
                <w:color w:val="auto"/>
                <w:w w:val="99"/>
              </w:rPr>
              <w:t>3,653</w:t>
            </w:r>
          </w:p>
        </w:tc>
        <w:tc>
          <w:tcPr>
            <w:tcW w:w="960" w:type="dxa"/>
            <w:vAlign w:val="bottom"/>
          </w:tcPr>
          <w:p>
            <w:pPr>
              <w:jc w:val="center"/>
              <w:spacing w:after="0"/>
              <w:rPr>
                <w:sz w:val="20"/>
                <w:szCs w:val="20"/>
                <w:color w:val="auto"/>
              </w:rPr>
            </w:pPr>
            <w:r>
              <w:rPr>
                <w:rFonts w:ascii="Arial" w:cs="Arial" w:eastAsia="Arial" w:hAnsi="Arial"/>
                <w:sz w:val="8"/>
                <w:szCs w:val="8"/>
                <w:color w:val="auto"/>
                <w:w w:val="99"/>
              </w:rPr>
              <w:t>4,133</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5,587</w:t>
            </w:r>
          </w:p>
        </w:tc>
        <w:tc>
          <w:tcPr>
            <w:tcW w:w="1080" w:type="dxa"/>
            <w:vAlign w:val="bottom"/>
          </w:tcPr>
          <w:p>
            <w:pPr>
              <w:jc w:val="center"/>
              <w:ind w:right="139"/>
              <w:spacing w:after="0"/>
              <w:rPr>
                <w:sz w:val="20"/>
                <w:szCs w:val="20"/>
                <w:color w:val="auto"/>
              </w:rPr>
            </w:pPr>
            <w:r>
              <w:rPr>
                <w:rFonts w:ascii="Arial" w:cs="Arial" w:eastAsia="Arial" w:hAnsi="Arial"/>
                <w:sz w:val="8"/>
                <w:szCs w:val="8"/>
                <w:color w:val="auto"/>
                <w:w w:val="96"/>
              </w:rPr>
              <w:t>35.2%</w:t>
            </w:r>
          </w:p>
        </w:tc>
        <w:tc>
          <w:tcPr>
            <w:tcW w:w="620" w:type="dxa"/>
            <w:vAlign w:val="bottom"/>
            <w:tcBorders>
              <w:right w:val="single" w:sz="8" w:color="auto"/>
            </w:tcBorders>
          </w:tcPr>
          <w:p>
            <w:pPr>
              <w:jc w:val="center"/>
              <w:ind w:right="139"/>
              <w:spacing w:after="0"/>
              <w:rPr>
                <w:sz w:val="20"/>
                <w:szCs w:val="20"/>
                <w:color w:val="auto"/>
              </w:rPr>
            </w:pPr>
            <w:r>
              <w:rPr>
                <w:rFonts w:ascii="Arial" w:cs="Arial" w:eastAsia="Arial" w:hAnsi="Arial"/>
                <w:sz w:val="8"/>
                <w:szCs w:val="8"/>
                <w:color w:val="auto"/>
              </w:rPr>
              <w:t>52.9%</w:t>
            </w:r>
          </w:p>
        </w:tc>
        <w:tc>
          <w:tcPr>
            <w:tcW w:w="660" w:type="dxa"/>
            <w:vAlign w:val="bottom"/>
          </w:tcPr>
          <w:p>
            <w:pPr>
              <w:jc w:val="center"/>
              <w:ind w:left="139"/>
              <w:spacing w:after="0"/>
              <w:rPr>
                <w:sz w:val="20"/>
                <w:szCs w:val="20"/>
                <w:color w:val="auto"/>
              </w:rPr>
            </w:pPr>
            <w:r>
              <w:rPr>
                <w:rFonts w:ascii="Arial" w:cs="Arial" w:eastAsia="Arial" w:hAnsi="Arial"/>
                <w:sz w:val="8"/>
                <w:szCs w:val="8"/>
                <w:color w:val="auto"/>
                <w:w w:val="99"/>
              </w:rPr>
              <w:t>7,786</w:t>
            </w:r>
          </w:p>
        </w:tc>
        <w:tc>
          <w:tcPr>
            <w:tcW w:w="106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w w:val="97"/>
              </w:rPr>
              <w:t>11,363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45.9%</w:t>
            </w:r>
          </w:p>
        </w:tc>
      </w:tr>
      <w:tr>
        <w:trPr>
          <w:trHeight w:val="93"/>
        </w:trPr>
        <w:tc>
          <w:tcPr>
            <w:tcW w:w="2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Total expenses</w:t>
            </w:r>
          </w:p>
        </w:tc>
        <w:tc>
          <w:tcPr>
            <w:tcW w:w="940" w:type="dxa"/>
            <w:vAlign w:val="bottom"/>
          </w:tcPr>
          <w:p>
            <w:pPr>
              <w:jc w:val="center"/>
              <w:spacing w:after="0"/>
              <w:rPr>
                <w:sz w:val="20"/>
                <w:szCs w:val="20"/>
                <w:color w:val="auto"/>
              </w:rPr>
            </w:pPr>
            <w:r>
              <w:rPr>
                <w:rFonts w:ascii="Arial" w:cs="Arial" w:eastAsia="Arial" w:hAnsi="Arial"/>
                <w:sz w:val="8"/>
                <w:szCs w:val="8"/>
                <w:color w:val="auto"/>
              </w:rPr>
              <w:t>(20,237)</w:t>
            </w:r>
          </w:p>
        </w:tc>
        <w:tc>
          <w:tcPr>
            <w:tcW w:w="960" w:type="dxa"/>
            <w:vAlign w:val="bottom"/>
          </w:tcPr>
          <w:p>
            <w:pPr>
              <w:jc w:val="center"/>
              <w:spacing w:after="0"/>
              <w:rPr>
                <w:sz w:val="20"/>
                <w:szCs w:val="20"/>
                <w:color w:val="auto"/>
              </w:rPr>
            </w:pPr>
            <w:r>
              <w:rPr>
                <w:rFonts w:ascii="Arial" w:cs="Arial" w:eastAsia="Arial" w:hAnsi="Arial"/>
                <w:sz w:val="8"/>
                <w:szCs w:val="8"/>
                <w:color w:val="auto"/>
              </w:rPr>
              <w:t>(22,469)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(26,190)</w:t>
            </w:r>
          </w:p>
        </w:tc>
        <w:tc>
          <w:tcPr>
            <w:tcW w:w="1080" w:type="dxa"/>
            <w:vAlign w:val="bottom"/>
          </w:tcPr>
          <w:p>
            <w:pPr>
              <w:jc w:val="center"/>
              <w:ind w:right="139"/>
              <w:spacing w:after="0"/>
              <w:rPr>
                <w:sz w:val="20"/>
                <w:szCs w:val="20"/>
                <w:color w:val="auto"/>
              </w:rPr>
            </w:pPr>
            <w:r>
              <w:rPr>
                <w:rFonts w:ascii="Arial" w:cs="Arial" w:eastAsia="Arial" w:hAnsi="Arial"/>
                <w:sz w:val="8"/>
                <w:szCs w:val="8"/>
                <w:color w:val="auto"/>
                <w:w w:val="96"/>
              </w:rPr>
              <w:t>16.6%</w:t>
            </w:r>
          </w:p>
        </w:tc>
        <w:tc>
          <w:tcPr>
            <w:tcW w:w="620" w:type="dxa"/>
            <w:vAlign w:val="bottom"/>
            <w:tcBorders>
              <w:right w:val="single" w:sz="8" w:color="auto"/>
            </w:tcBorders>
          </w:tcPr>
          <w:p>
            <w:pPr>
              <w:jc w:val="center"/>
              <w:ind w:right="139"/>
              <w:spacing w:after="0"/>
              <w:rPr>
                <w:sz w:val="20"/>
                <w:szCs w:val="20"/>
                <w:color w:val="auto"/>
              </w:rPr>
            </w:pPr>
            <w:r>
              <w:rPr>
                <w:rFonts w:ascii="Arial" w:cs="Arial" w:eastAsia="Arial" w:hAnsi="Arial"/>
                <w:sz w:val="8"/>
                <w:szCs w:val="8"/>
                <w:color w:val="auto"/>
              </w:rPr>
              <w:t>29.4%</w:t>
            </w:r>
          </w:p>
        </w:tc>
        <w:tc>
          <w:tcPr>
            <w:tcW w:w="660" w:type="dxa"/>
            <w:vAlign w:val="bottom"/>
          </w:tcPr>
          <w:p>
            <w:pPr>
              <w:jc w:val="center"/>
              <w:ind w:left="139"/>
              <w:spacing w:after="0"/>
              <w:rPr>
                <w:sz w:val="20"/>
                <w:szCs w:val="20"/>
                <w:color w:val="auto"/>
              </w:rPr>
            </w:pPr>
            <w:r>
              <w:rPr>
                <w:rFonts w:ascii="Arial" w:cs="Arial" w:eastAsia="Arial" w:hAnsi="Arial"/>
                <w:sz w:val="8"/>
                <w:szCs w:val="8"/>
                <w:color w:val="auto"/>
              </w:rPr>
              <w:t>-42,706</w:t>
            </w:r>
          </w:p>
        </w:tc>
        <w:tc>
          <w:tcPr>
            <w:tcW w:w="106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rPr>
              <w:t>-52,086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22.0%</w:t>
            </w:r>
          </w:p>
        </w:tc>
      </w:tr>
      <w:tr>
        <w:trPr>
          <w:trHeight w:val="93"/>
        </w:trPr>
        <w:tc>
          <w:tcPr>
            <w:tcW w:w="2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Other income</w:t>
            </w:r>
          </w:p>
        </w:tc>
        <w:tc>
          <w:tcPr>
            <w:tcW w:w="940" w:type="dxa"/>
            <w:vAlign w:val="bottom"/>
          </w:tcPr>
          <w:p>
            <w:pPr>
              <w:jc w:val="center"/>
              <w:spacing w:after="0"/>
              <w:rPr>
                <w:sz w:val="20"/>
                <w:szCs w:val="20"/>
                <w:color w:val="auto"/>
              </w:rPr>
            </w:pPr>
            <w:r>
              <w:rPr>
                <w:rFonts w:ascii="Arial" w:cs="Arial" w:eastAsia="Arial" w:hAnsi="Arial"/>
                <w:sz w:val="8"/>
                <w:szCs w:val="8"/>
                <w:color w:val="auto"/>
              </w:rPr>
              <w:t>(5,791)</w:t>
            </w:r>
          </w:p>
        </w:tc>
        <w:tc>
          <w:tcPr>
            <w:tcW w:w="960" w:type="dxa"/>
            <w:vAlign w:val="bottom"/>
          </w:tcPr>
          <w:p>
            <w:pPr>
              <w:jc w:val="center"/>
              <w:spacing w:after="0"/>
              <w:rPr>
                <w:sz w:val="20"/>
                <w:szCs w:val="20"/>
                <w:color w:val="auto"/>
              </w:rPr>
            </w:pPr>
            <w:r>
              <w:rPr>
                <w:rFonts w:ascii="Arial" w:cs="Arial" w:eastAsia="Arial" w:hAnsi="Arial"/>
                <w:sz w:val="8"/>
                <w:szCs w:val="8"/>
                <w:color w:val="auto"/>
                <w:w w:val="99"/>
              </w:rPr>
              <w:t>2,709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2,244</w:t>
            </w:r>
          </w:p>
        </w:tc>
        <w:tc>
          <w:tcPr>
            <w:tcW w:w="1080" w:type="dxa"/>
            <w:vAlign w:val="bottom"/>
          </w:tcPr>
          <w:p>
            <w:pPr>
              <w:jc w:val="center"/>
              <w:ind w:right="139"/>
              <w:spacing w:after="0"/>
              <w:rPr>
                <w:sz w:val="20"/>
                <w:szCs w:val="20"/>
                <w:color w:val="auto"/>
              </w:rPr>
            </w:pPr>
            <w:r>
              <w:rPr>
                <w:rFonts w:ascii="Arial" w:cs="Arial" w:eastAsia="Arial" w:hAnsi="Arial"/>
                <w:sz w:val="8"/>
                <w:szCs w:val="8"/>
                <w:color w:val="auto"/>
              </w:rPr>
              <w:t>-17.1%</w:t>
            </w:r>
          </w:p>
        </w:tc>
        <w:tc>
          <w:tcPr>
            <w:tcW w:w="620" w:type="dxa"/>
            <w:vAlign w:val="bottom"/>
            <w:tcBorders>
              <w:right w:val="single" w:sz="8" w:color="auto"/>
            </w:tcBorders>
          </w:tcPr>
          <w:p>
            <w:pPr>
              <w:jc w:val="center"/>
              <w:ind w:right="139"/>
              <w:spacing w:after="0"/>
              <w:rPr>
                <w:sz w:val="20"/>
                <w:szCs w:val="20"/>
                <w:color w:val="auto"/>
              </w:rPr>
            </w:pPr>
            <w:r>
              <w:rPr>
                <w:rFonts w:ascii="Arial" w:cs="Arial" w:eastAsia="Arial" w:hAnsi="Arial"/>
                <w:sz w:val="8"/>
                <w:szCs w:val="8"/>
                <w:color w:val="auto"/>
              </w:rPr>
              <w:t>-138.8%</w:t>
            </w:r>
          </w:p>
        </w:tc>
        <w:tc>
          <w:tcPr>
            <w:tcW w:w="660" w:type="dxa"/>
            <w:vAlign w:val="bottom"/>
          </w:tcPr>
          <w:p>
            <w:pPr>
              <w:jc w:val="center"/>
              <w:ind w:left="139"/>
              <w:spacing w:after="0"/>
              <w:rPr>
                <w:sz w:val="20"/>
                <w:szCs w:val="20"/>
                <w:color w:val="auto"/>
              </w:rPr>
            </w:pPr>
            <w:r>
              <w:rPr>
                <w:rFonts w:ascii="Arial" w:cs="Arial" w:eastAsia="Arial" w:hAnsi="Arial"/>
                <w:sz w:val="8"/>
                <w:szCs w:val="8"/>
                <w:color w:val="auto"/>
              </w:rPr>
              <w:t>-3,083</w:t>
            </w:r>
          </w:p>
        </w:tc>
        <w:tc>
          <w:tcPr>
            <w:tcW w:w="106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w w:val="99"/>
              </w:rPr>
              <w:t>4,460</w:t>
            </w:r>
          </w:p>
        </w:tc>
        <w:tc>
          <w:tcPr>
            <w:tcW w:w="960" w:type="dxa"/>
            <w:vAlign w:val="bottom"/>
            <w:tcBorders>
              <w:right w:val="single" w:sz="8" w:color="auto"/>
            </w:tcBorders>
          </w:tcPr>
          <w:p>
            <w:pPr>
              <w:jc w:val="center"/>
              <w:ind w:right="19"/>
              <w:spacing w:after="0"/>
              <w:rPr>
                <w:sz w:val="20"/>
                <w:szCs w:val="20"/>
                <w:color w:val="auto"/>
              </w:rPr>
            </w:pPr>
            <w:r>
              <w:rPr>
                <w:rFonts w:ascii="Arial" w:cs="Arial" w:eastAsia="Arial" w:hAnsi="Arial"/>
                <w:sz w:val="8"/>
                <w:szCs w:val="8"/>
                <w:color w:val="auto"/>
              </w:rPr>
              <w:t>-244.7%</w:t>
            </w:r>
          </w:p>
        </w:tc>
      </w:tr>
      <w:tr>
        <w:trPr>
          <w:trHeight w:val="93"/>
        </w:trPr>
        <w:tc>
          <w:tcPr>
            <w:tcW w:w="2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Traslations results</w:t>
            </w:r>
          </w:p>
        </w:tc>
        <w:tc>
          <w:tcPr>
            <w:tcW w:w="940" w:type="dxa"/>
            <w:vAlign w:val="bottom"/>
          </w:tcPr>
          <w:p>
            <w:pPr>
              <w:jc w:val="center"/>
              <w:spacing w:after="0"/>
              <w:rPr>
                <w:sz w:val="20"/>
                <w:szCs w:val="20"/>
                <w:color w:val="auto"/>
              </w:rPr>
            </w:pPr>
            <w:r>
              <w:rPr>
                <w:rFonts w:ascii="Arial" w:cs="Arial" w:eastAsia="Arial" w:hAnsi="Arial"/>
                <w:sz w:val="8"/>
                <w:szCs w:val="8"/>
                <w:color w:val="auto"/>
              </w:rPr>
              <w:t>(2,417)</w:t>
            </w:r>
          </w:p>
        </w:tc>
        <w:tc>
          <w:tcPr>
            <w:tcW w:w="960" w:type="dxa"/>
            <w:vAlign w:val="bottom"/>
          </w:tcPr>
          <w:p>
            <w:pPr>
              <w:jc w:val="center"/>
              <w:spacing w:after="0"/>
              <w:rPr>
                <w:sz w:val="20"/>
                <w:szCs w:val="20"/>
                <w:color w:val="auto"/>
              </w:rPr>
            </w:pPr>
            <w:r>
              <w:rPr>
                <w:rFonts w:ascii="Arial" w:cs="Arial" w:eastAsia="Arial" w:hAnsi="Arial"/>
                <w:sz w:val="8"/>
                <w:szCs w:val="8"/>
                <w:color w:val="auto"/>
              </w:rPr>
              <w:t>(1,180)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w w:val="99"/>
              </w:rPr>
              <w:t>2,459</w:t>
            </w:r>
          </w:p>
        </w:tc>
        <w:tc>
          <w:tcPr>
            <w:tcW w:w="1080" w:type="dxa"/>
            <w:vAlign w:val="bottom"/>
          </w:tcPr>
          <w:p>
            <w:pPr>
              <w:jc w:val="center"/>
              <w:ind w:right="139"/>
              <w:spacing w:after="0"/>
              <w:rPr>
                <w:sz w:val="20"/>
                <w:szCs w:val="20"/>
                <w:color w:val="auto"/>
              </w:rPr>
            </w:pPr>
            <w:r>
              <w:rPr>
                <w:rFonts w:ascii="Arial" w:cs="Arial" w:eastAsia="Arial" w:hAnsi="Arial"/>
                <w:sz w:val="8"/>
                <w:szCs w:val="8"/>
                <w:color w:val="auto"/>
              </w:rPr>
              <w:t>-308.4%</w:t>
            </w:r>
          </w:p>
        </w:tc>
        <w:tc>
          <w:tcPr>
            <w:tcW w:w="620" w:type="dxa"/>
            <w:vAlign w:val="bottom"/>
            <w:tcBorders>
              <w:right w:val="single" w:sz="8" w:color="auto"/>
            </w:tcBorders>
          </w:tcPr>
          <w:p>
            <w:pPr>
              <w:jc w:val="center"/>
              <w:ind w:right="139"/>
              <w:spacing w:after="0"/>
              <w:rPr>
                <w:sz w:val="20"/>
                <w:szCs w:val="20"/>
                <w:color w:val="auto"/>
              </w:rPr>
            </w:pPr>
            <w:r>
              <w:rPr>
                <w:rFonts w:ascii="Arial" w:cs="Arial" w:eastAsia="Arial" w:hAnsi="Arial"/>
                <w:sz w:val="8"/>
                <w:szCs w:val="8"/>
                <w:color w:val="auto"/>
              </w:rPr>
              <w:t>-201.8%</w:t>
            </w:r>
          </w:p>
        </w:tc>
        <w:tc>
          <w:tcPr>
            <w:tcW w:w="660" w:type="dxa"/>
            <w:vAlign w:val="bottom"/>
          </w:tcPr>
          <w:p>
            <w:pPr>
              <w:jc w:val="center"/>
              <w:ind w:left="139"/>
              <w:spacing w:after="0"/>
              <w:rPr>
                <w:sz w:val="20"/>
                <w:szCs w:val="20"/>
                <w:color w:val="auto"/>
              </w:rPr>
            </w:pPr>
            <w:r>
              <w:rPr>
                <w:rFonts w:ascii="Arial" w:cs="Arial" w:eastAsia="Arial" w:hAnsi="Arial"/>
                <w:sz w:val="8"/>
                <w:szCs w:val="8"/>
                <w:color w:val="auto"/>
              </w:rPr>
              <w:t>-3,597</w:t>
            </w:r>
          </w:p>
        </w:tc>
        <w:tc>
          <w:tcPr>
            <w:tcW w:w="106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w w:val="99"/>
              </w:rPr>
              <w:t>2,523</w:t>
            </w:r>
          </w:p>
        </w:tc>
        <w:tc>
          <w:tcPr>
            <w:tcW w:w="960" w:type="dxa"/>
            <w:vAlign w:val="bottom"/>
            <w:tcBorders>
              <w:right w:val="single" w:sz="8" w:color="auto"/>
            </w:tcBorders>
          </w:tcPr>
          <w:p>
            <w:pPr>
              <w:jc w:val="center"/>
              <w:ind w:right="19"/>
              <w:spacing w:after="0"/>
              <w:rPr>
                <w:sz w:val="20"/>
                <w:szCs w:val="20"/>
                <w:color w:val="auto"/>
              </w:rPr>
            </w:pPr>
            <w:r>
              <w:rPr>
                <w:rFonts w:ascii="Arial" w:cs="Arial" w:eastAsia="Arial" w:hAnsi="Arial"/>
                <w:sz w:val="8"/>
                <w:szCs w:val="8"/>
                <w:color w:val="auto"/>
              </w:rPr>
              <w:t>-170.1%</w:t>
            </w:r>
          </w:p>
        </w:tc>
      </w:tr>
      <w:tr>
        <w:trPr>
          <w:trHeight w:val="108"/>
        </w:trPr>
        <w:tc>
          <w:tcPr>
            <w:tcW w:w="2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color w:val="auto"/>
              </w:rPr>
              <w:t>Income tax</w:t>
            </w:r>
          </w:p>
        </w:tc>
        <w:tc>
          <w:tcPr>
            <w:tcW w:w="940" w:type="dxa"/>
            <w:vAlign w:val="bottom"/>
          </w:tcPr>
          <w:p>
            <w:pPr>
              <w:jc w:val="center"/>
              <w:spacing w:after="0"/>
              <w:rPr>
                <w:sz w:val="20"/>
                <w:szCs w:val="20"/>
                <w:color w:val="auto"/>
              </w:rPr>
            </w:pPr>
            <w:r>
              <w:rPr>
                <w:rFonts w:ascii="Arial" w:cs="Arial" w:eastAsia="Arial" w:hAnsi="Arial"/>
                <w:sz w:val="8"/>
                <w:szCs w:val="8"/>
                <w:color w:val="auto"/>
              </w:rPr>
              <w:t>(4,295)</w:t>
            </w:r>
          </w:p>
        </w:tc>
        <w:tc>
          <w:tcPr>
            <w:tcW w:w="960" w:type="dxa"/>
            <w:vAlign w:val="bottom"/>
          </w:tcPr>
          <w:p>
            <w:pPr>
              <w:jc w:val="center"/>
              <w:spacing w:after="0"/>
              <w:rPr>
                <w:sz w:val="20"/>
                <w:szCs w:val="20"/>
                <w:color w:val="auto"/>
              </w:rPr>
            </w:pPr>
            <w:r>
              <w:rPr>
                <w:rFonts w:ascii="Arial" w:cs="Arial" w:eastAsia="Arial" w:hAnsi="Arial"/>
                <w:sz w:val="8"/>
                <w:szCs w:val="8"/>
                <w:color w:val="auto"/>
              </w:rPr>
              <w:t>(15,249)</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8"/>
                <w:szCs w:val="8"/>
                <w:color w:val="auto"/>
              </w:rPr>
              <w:t>(3,579)</w:t>
            </w:r>
          </w:p>
        </w:tc>
        <w:tc>
          <w:tcPr>
            <w:tcW w:w="1080" w:type="dxa"/>
            <w:vAlign w:val="bottom"/>
          </w:tcPr>
          <w:p>
            <w:pPr>
              <w:jc w:val="center"/>
              <w:ind w:right="139"/>
              <w:spacing w:after="0"/>
              <w:rPr>
                <w:sz w:val="20"/>
                <w:szCs w:val="20"/>
                <w:color w:val="auto"/>
              </w:rPr>
            </w:pPr>
            <w:r>
              <w:rPr>
                <w:rFonts w:ascii="Arial" w:cs="Arial" w:eastAsia="Arial" w:hAnsi="Arial"/>
                <w:sz w:val="8"/>
                <w:szCs w:val="8"/>
                <w:color w:val="auto"/>
              </w:rPr>
              <w:t>-76.5%</w:t>
            </w:r>
          </w:p>
        </w:tc>
        <w:tc>
          <w:tcPr>
            <w:tcW w:w="620" w:type="dxa"/>
            <w:vAlign w:val="bottom"/>
            <w:tcBorders>
              <w:right w:val="single" w:sz="8" w:color="auto"/>
            </w:tcBorders>
          </w:tcPr>
          <w:p>
            <w:pPr>
              <w:jc w:val="center"/>
              <w:ind w:right="119"/>
              <w:spacing w:after="0"/>
              <w:rPr>
                <w:sz w:val="20"/>
                <w:szCs w:val="20"/>
                <w:color w:val="auto"/>
              </w:rPr>
            </w:pPr>
            <w:r>
              <w:rPr>
                <w:rFonts w:ascii="Arial" w:cs="Arial" w:eastAsia="Arial" w:hAnsi="Arial"/>
                <w:sz w:val="8"/>
                <w:szCs w:val="8"/>
                <w:color w:val="auto"/>
              </w:rPr>
              <w:t>-16.7%</w:t>
            </w:r>
          </w:p>
        </w:tc>
        <w:tc>
          <w:tcPr>
            <w:tcW w:w="660" w:type="dxa"/>
            <w:vAlign w:val="bottom"/>
          </w:tcPr>
          <w:p>
            <w:pPr>
              <w:jc w:val="center"/>
              <w:ind w:left="139"/>
              <w:spacing w:after="0"/>
              <w:rPr>
                <w:sz w:val="20"/>
                <w:szCs w:val="20"/>
                <w:color w:val="auto"/>
              </w:rPr>
            </w:pPr>
            <w:r>
              <w:rPr>
                <w:rFonts w:ascii="Arial" w:cs="Arial" w:eastAsia="Arial" w:hAnsi="Arial"/>
                <w:sz w:val="8"/>
                <w:szCs w:val="8"/>
                <w:color w:val="auto"/>
              </w:rPr>
              <w:t>-19,544</w:t>
            </w:r>
          </w:p>
        </w:tc>
        <w:tc>
          <w:tcPr>
            <w:tcW w:w="106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color w:val="auto"/>
              </w:rPr>
              <w:t>-12,772</w:t>
            </w:r>
          </w:p>
        </w:tc>
        <w:tc>
          <w:tcPr>
            <w:tcW w:w="960" w:type="dxa"/>
            <w:vAlign w:val="bottom"/>
            <w:tcBorders>
              <w:right w:val="single" w:sz="8" w:color="auto"/>
            </w:tcBorders>
          </w:tcPr>
          <w:p>
            <w:pPr>
              <w:jc w:val="center"/>
              <w:ind w:right="19"/>
              <w:spacing w:after="0"/>
              <w:rPr>
                <w:sz w:val="20"/>
                <w:szCs w:val="20"/>
                <w:color w:val="auto"/>
              </w:rPr>
            </w:pPr>
            <w:r>
              <w:rPr>
                <w:rFonts w:ascii="Arial" w:cs="Arial" w:eastAsia="Arial" w:hAnsi="Arial"/>
                <w:sz w:val="8"/>
                <w:szCs w:val="8"/>
                <w:color w:val="auto"/>
              </w:rPr>
              <w:t>-34.6%</w:t>
            </w:r>
          </w:p>
        </w:tc>
      </w:tr>
      <w:tr>
        <w:trPr>
          <w:trHeight w:val="189"/>
        </w:trPr>
        <w:tc>
          <w:tcPr>
            <w:tcW w:w="2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Net income before Medical services</w:t>
            </w:r>
          </w:p>
        </w:tc>
        <w:tc>
          <w:tcPr>
            <w:tcW w:w="940" w:type="dxa"/>
            <w:vAlign w:val="bottom"/>
          </w:tcPr>
          <w:p>
            <w:pPr>
              <w:jc w:val="center"/>
              <w:spacing w:after="0"/>
              <w:rPr>
                <w:sz w:val="20"/>
                <w:szCs w:val="20"/>
                <w:color w:val="auto"/>
              </w:rPr>
            </w:pPr>
            <w:r>
              <w:rPr>
                <w:rFonts w:ascii="Arial" w:cs="Arial" w:eastAsia="Arial" w:hAnsi="Arial"/>
                <w:sz w:val="8"/>
                <w:szCs w:val="8"/>
                <w:b w:val="1"/>
                <w:bCs w:val="1"/>
                <w:color w:val="auto"/>
                <w:w w:val="99"/>
              </w:rPr>
              <w:t>1,401</w:t>
            </w:r>
          </w:p>
        </w:tc>
        <w:tc>
          <w:tcPr>
            <w:tcW w:w="960" w:type="dxa"/>
            <w:vAlign w:val="bottom"/>
          </w:tcPr>
          <w:p>
            <w:pPr>
              <w:jc w:val="center"/>
              <w:spacing w:after="0"/>
              <w:rPr>
                <w:sz w:val="20"/>
                <w:szCs w:val="20"/>
                <w:color w:val="auto"/>
              </w:rPr>
            </w:pPr>
            <w:r>
              <w:rPr>
                <w:rFonts w:ascii="Arial" w:cs="Arial" w:eastAsia="Arial" w:hAnsi="Arial"/>
                <w:sz w:val="8"/>
                <w:szCs w:val="8"/>
                <w:b w:val="1"/>
                <w:bCs w:val="1"/>
                <w:color w:val="auto"/>
              </w:rPr>
              <w:t>32,187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w w:val="99"/>
              </w:rPr>
              <w:t>8,215</w:t>
            </w:r>
          </w:p>
        </w:tc>
        <w:tc>
          <w:tcPr>
            <w:tcW w:w="1080" w:type="dxa"/>
            <w:vAlign w:val="bottom"/>
          </w:tcPr>
          <w:p>
            <w:pPr>
              <w:jc w:val="center"/>
              <w:ind w:right="139"/>
              <w:spacing w:after="0"/>
              <w:rPr>
                <w:sz w:val="20"/>
                <w:szCs w:val="20"/>
                <w:color w:val="auto"/>
              </w:rPr>
            </w:pPr>
            <w:r>
              <w:rPr>
                <w:rFonts w:ascii="Arial" w:cs="Arial" w:eastAsia="Arial" w:hAnsi="Arial"/>
                <w:sz w:val="8"/>
                <w:szCs w:val="8"/>
                <w:b w:val="1"/>
                <w:bCs w:val="1"/>
                <w:color w:val="auto"/>
              </w:rPr>
              <w:t>-74.5%</w:t>
            </w:r>
          </w:p>
        </w:tc>
        <w:tc>
          <w:tcPr>
            <w:tcW w:w="620" w:type="dxa"/>
            <w:vAlign w:val="bottom"/>
            <w:tcBorders>
              <w:right w:val="single" w:sz="8" w:color="auto"/>
            </w:tcBorders>
          </w:tcPr>
          <w:p>
            <w:pPr>
              <w:jc w:val="center"/>
              <w:ind w:right="139"/>
              <w:spacing w:after="0"/>
              <w:rPr>
                <w:sz w:val="20"/>
                <w:szCs w:val="20"/>
                <w:color w:val="auto"/>
              </w:rPr>
            </w:pPr>
            <w:r>
              <w:rPr>
                <w:rFonts w:ascii="Arial" w:cs="Arial" w:eastAsia="Arial" w:hAnsi="Arial"/>
                <w:sz w:val="8"/>
                <w:szCs w:val="8"/>
                <w:b w:val="1"/>
                <w:bCs w:val="1"/>
                <w:color w:val="auto"/>
              </w:rPr>
              <w:t>486.6%</w:t>
            </w:r>
          </w:p>
        </w:tc>
        <w:tc>
          <w:tcPr>
            <w:tcW w:w="660" w:type="dxa"/>
            <w:vAlign w:val="bottom"/>
          </w:tcPr>
          <w:p>
            <w:pPr>
              <w:jc w:val="center"/>
              <w:ind w:left="119"/>
              <w:spacing w:after="0"/>
              <w:rPr>
                <w:sz w:val="20"/>
                <w:szCs w:val="20"/>
                <w:color w:val="auto"/>
              </w:rPr>
            </w:pPr>
            <w:r>
              <w:rPr>
                <w:rFonts w:ascii="Arial" w:cs="Arial" w:eastAsia="Arial" w:hAnsi="Arial"/>
                <w:sz w:val="8"/>
                <w:szCs w:val="8"/>
                <w:b w:val="1"/>
                <w:bCs w:val="1"/>
                <w:color w:val="auto"/>
              </w:rPr>
              <w:t>33,587</w:t>
            </w:r>
          </w:p>
        </w:tc>
        <w:tc>
          <w:tcPr>
            <w:tcW w:w="106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b w:val="1"/>
                <w:bCs w:val="1"/>
                <w:color w:val="auto"/>
                <w:w w:val="97"/>
              </w:rPr>
              <w:t>29,949</w:t>
            </w:r>
          </w:p>
        </w:tc>
        <w:tc>
          <w:tcPr>
            <w:tcW w:w="960" w:type="dxa"/>
            <w:vAlign w:val="bottom"/>
            <w:tcBorders>
              <w:right w:val="single" w:sz="8" w:color="auto"/>
            </w:tcBorders>
          </w:tcPr>
          <w:p>
            <w:pPr>
              <w:jc w:val="center"/>
              <w:ind w:right="19"/>
              <w:spacing w:after="0"/>
              <w:rPr>
                <w:sz w:val="20"/>
                <w:szCs w:val="20"/>
                <w:color w:val="auto"/>
              </w:rPr>
            </w:pPr>
            <w:r>
              <w:rPr>
                <w:rFonts w:ascii="Arial" w:cs="Arial" w:eastAsia="Arial" w:hAnsi="Arial"/>
                <w:sz w:val="8"/>
                <w:szCs w:val="8"/>
                <w:b w:val="1"/>
                <w:bCs w:val="1"/>
                <w:color w:val="auto"/>
              </w:rPr>
              <w:t>-10.8%</w:t>
            </w:r>
          </w:p>
        </w:tc>
      </w:tr>
      <w:tr>
        <w:trPr>
          <w:trHeight w:val="185"/>
        </w:trPr>
        <w:tc>
          <w:tcPr>
            <w:tcW w:w="23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Net income of Medical services</w:t>
            </w:r>
          </w:p>
        </w:tc>
        <w:tc>
          <w:tcPr>
            <w:tcW w:w="940" w:type="dxa"/>
            <w:vAlign w:val="bottom"/>
          </w:tcPr>
          <w:p>
            <w:pPr>
              <w:jc w:val="center"/>
              <w:spacing w:after="0"/>
              <w:rPr>
                <w:sz w:val="20"/>
                <w:szCs w:val="20"/>
                <w:color w:val="auto"/>
              </w:rPr>
            </w:pPr>
            <w:r>
              <w:rPr>
                <w:rFonts w:ascii="Arial" w:cs="Arial" w:eastAsia="Arial" w:hAnsi="Arial"/>
                <w:sz w:val="8"/>
                <w:szCs w:val="8"/>
                <w:b w:val="1"/>
                <w:bCs w:val="1"/>
                <w:color w:val="auto"/>
                <w:w w:val="97"/>
              </w:rPr>
              <w:t>33,467</w:t>
            </w:r>
          </w:p>
        </w:tc>
        <w:tc>
          <w:tcPr>
            <w:tcW w:w="960" w:type="dxa"/>
            <w:vAlign w:val="bottom"/>
          </w:tcPr>
          <w:p>
            <w:pPr>
              <w:jc w:val="center"/>
              <w:spacing w:after="0"/>
              <w:rPr>
                <w:sz w:val="20"/>
                <w:szCs w:val="20"/>
                <w:color w:val="auto"/>
              </w:rPr>
            </w:pPr>
            <w:r>
              <w:rPr>
                <w:rFonts w:ascii="Arial" w:cs="Arial" w:eastAsia="Arial" w:hAnsi="Arial"/>
                <w:sz w:val="8"/>
                <w:szCs w:val="8"/>
                <w:b w:val="1"/>
                <w:bCs w:val="1"/>
                <w:color w:val="auto"/>
              </w:rPr>
              <w:t>28,462</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8"/>
                <w:szCs w:val="8"/>
                <w:b w:val="1"/>
                <w:bCs w:val="1"/>
                <w:color w:val="auto"/>
              </w:rPr>
              <w:t>32,694</w:t>
            </w:r>
          </w:p>
        </w:tc>
        <w:tc>
          <w:tcPr>
            <w:tcW w:w="1080" w:type="dxa"/>
            <w:vAlign w:val="bottom"/>
          </w:tcPr>
          <w:p>
            <w:pPr>
              <w:jc w:val="center"/>
              <w:ind w:right="139"/>
              <w:spacing w:after="0"/>
              <w:rPr>
                <w:sz w:val="20"/>
                <w:szCs w:val="20"/>
                <w:color w:val="auto"/>
              </w:rPr>
            </w:pPr>
            <w:r>
              <w:rPr>
                <w:rFonts w:ascii="Arial" w:cs="Arial" w:eastAsia="Arial" w:hAnsi="Arial"/>
                <w:sz w:val="8"/>
                <w:szCs w:val="8"/>
                <w:b w:val="1"/>
                <w:bCs w:val="1"/>
                <w:color w:val="auto"/>
                <w:w w:val="96"/>
              </w:rPr>
              <w:t>14.9%</w:t>
            </w:r>
          </w:p>
        </w:tc>
        <w:tc>
          <w:tcPr>
            <w:tcW w:w="620" w:type="dxa"/>
            <w:vAlign w:val="bottom"/>
            <w:tcBorders>
              <w:right w:val="single" w:sz="8" w:color="auto"/>
            </w:tcBorders>
          </w:tcPr>
          <w:p>
            <w:pPr>
              <w:jc w:val="center"/>
              <w:ind w:right="139"/>
              <w:spacing w:after="0"/>
              <w:rPr>
                <w:sz w:val="20"/>
                <w:szCs w:val="20"/>
                <w:color w:val="auto"/>
              </w:rPr>
            </w:pPr>
            <w:r>
              <w:rPr>
                <w:rFonts w:ascii="Arial" w:cs="Arial" w:eastAsia="Arial" w:hAnsi="Arial"/>
                <w:sz w:val="8"/>
                <w:szCs w:val="8"/>
                <w:b w:val="1"/>
                <w:bCs w:val="1"/>
                <w:color w:val="auto"/>
                <w:w w:val="95"/>
              </w:rPr>
              <w:t>-2.3%</w:t>
            </w:r>
          </w:p>
        </w:tc>
        <w:tc>
          <w:tcPr>
            <w:tcW w:w="660" w:type="dxa"/>
            <w:vAlign w:val="bottom"/>
          </w:tcPr>
          <w:p>
            <w:pPr>
              <w:jc w:val="center"/>
              <w:ind w:left="119"/>
              <w:spacing w:after="0"/>
              <w:rPr>
                <w:sz w:val="20"/>
                <w:szCs w:val="20"/>
                <w:color w:val="auto"/>
              </w:rPr>
            </w:pPr>
            <w:r>
              <w:rPr>
                <w:rFonts w:ascii="Arial" w:cs="Arial" w:eastAsia="Arial" w:hAnsi="Arial"/>
                <w:sz w:val="8"/>
                <w:szCs w:val="8"/>
                <w:b w:val="1"/>
                <w:bCs w:val="1"/>
                <w:color w:val="auto"/>
              </w:rPr>
              <w:t>61,930</w:t>
            </w:r>
          </w:p>
        </w:tc>
        <w:tc>
          <w:tcPr>
            <w:tcW w:w="1060" w:type="dxa"/>
            <w:vAlign w:val="bottom"/>
            <w:tcBorders>
              <w:right w:val="single" w:sz="8" w:color="auto"/>
            </w:tcBorders>
          </w:tcPr>
          <w:p>
            <w:pPr>
              <w:jc w:val="center"/>
              <w:ind w:left="99"/>
              <w:spacing w:after="0"/>
              <w:rPr>
                <w:sz w:val="20"/>
                <w:szCs w:val="20"/>
                <w:color w:val="auto"/>
              </w:rPr>
            </w:pPr>
            <w:r>
              <w:rPr>
                <w:rFonts w:ascii="Arial" w:cs="Arial" w:eastAsia="Arial" w:hAnsi="Arial"/>
                <w:sz w:val="8"/>
                <w:szCs w:val="8"/>
                <w:b w:val="1"/>
                <w:bCs w:val="1"/>
                <w:color w:val="auto"/>
                <w:w w:val="97"/>
              </w:rPr>
              <w:t>63,800</w:t>
            </w:r>
          </w:p>
        </w:tc>
        <w:tc>
          <w:tcPr>
            <w:tcW w:w="960" w:type="dxa"/>
            <w:vAlign w:val="bottom"/>
            <w:tcBorders>
              <w:right w:val="single" w:sz="8" w:color="auto"/>
            </w:tcBorders>
          </w:tcPr>
          <w:p>
            <w:pPr>
              <w:jc w:val="center"/>
              <w:ind w:right="19"/>
              <w:spacing w:after="0"/>
              <w:rPr>
                <w:sz w:val="20"/>
                <w:szCs w:val="20"/>
                <w:color w:val="auto"/>
              </w:rPr>
            </w:pPr>
            <w:r>
              <w:rPr>
                <w:rFonts w:ascii="Arial" w:cs="Arial" w:eastAsia="Arial" w:hAnsi="Arial"/>
                <w:sz w:val="8"/>
                <w:szCs w:val="8"/>
                <w:b w:val="1"/>
                <w:bCs w:val="1"/>
                <w:color w:val="auto"/>
                <w:w w:val="98"/>
              </w:rPr>
              <w:t>3.0%</w:t>
            </w:r>
          </w:p>
        </w:tc>
      </w:tr>
      <w:tr>
        <w:trPr>
          <w:trHeight w:val="176"/>
        </w:trPr>
        <w:tc>
          <w:tcPr>
            <w:tcW w:w="2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8"/>
                <w:szCs w:val="8"/>
                <w:b w:val="1"/>
                <w:bCs w:val="1"/>
                <w:color w:val="auto"/>
              </w:rPr>
              <w:t>Net income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7"/>
              </w:rPr>
              <w:t>34,868</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60,649</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8"/>
                <w:szCs w:val="8"/>
                <w:b w:val="1"/>
                <w:bCs w:val="1"/>
                <w:color w:val="auto"/>
              </w:rPr>
              <w:t>40,909</w:t>
            </w:r>
          </w:p>
        </w:tc>
        <w:tc>
          <w:tcPr>
            <w:tcW w:w="1080" w:type="dxa"/>
            <w:vAlign w:val="bottom"/>
            <w:tcBorders>
              <w:bottom w:val="single" w:sz="8" w:color="auto"/>
            </w:tcBorders>
          </w:tcPr>
          <w:p>
            <w:pPr>
              <w:jc w:val="center"/>
              <w:ind w:right="139"/>
              <w:spacing w:after="0"/>
              <w:rPr>
                <w:sz w:val="20"/>
                <w:szCs w:val="20"/>
                <w:color w:val="auto"/>
              </w:rPr>
            </w:pPr>
            <w:r>
              <w:rPr>
                <w:rFonts w:ascii="Arial" w:cs="Arial" w:eastAsia="Arial" w:hAnsi="Arial"/>
                <w:sz w:val="8"/>
                <w:szCs w:val="8"/>
                <w:b w:val="1"/>
                <w:bCs w:val="1"/>
                <w:color w:val="auto"/>
              </w:rPr>
              <w:t>-32.5%</w:t>
            </w:r>
          </w:p>
        </w:tc>
        <w:tc>
          <w:tcPr>
            <w:tcW w:w="620" w:type="dxa"/>
            <w:vAlign w:val="bottom"/>
            <w:tcBorders>
              <w:bottom w:val="single" w:sz="8" w:color="auto"/>
              <w:right w:val="single" w:sz="8" w:color="auto"/>
            </w:tcBorders>
          </w:tcPr>
          <w:p>
            <w:pPr>
              <w:jc w:val="center"/>
              <w:ind w:right="139"/>
              <w:spacing w:after="0"/>
              <w:rPr>
                <w:sz w:val="20"/>
                <w:szCs w:val="20"/>
                <w:color w:val="auto"/>
              </w:rPr>
            </w:pPr>
            <w:r>
              <w:rPr>
                <w:rFonts w:ascii="Arial" w:cs="Arial" w:eastAsia="Arial" w:hAnsi="Arial"/>
                <w:sz w:val="8"/>
                <w:szCs w:val="8"/>
                <w:b w:val="1"/>
                <w:bCs w:val="1"/>
                <w:color w:val="auto"/>
              </w:rPr>
              <w:t>17.3%</w:t>
            </w:r>
          </w:p>
        </w:tc>
        <w:tc>
          <w:tcPr>
            <w:tcW w:w="660" w:type="dxa"/>
            <w:vAlign w:val="bottom"/>
            <w:tcBorders>
              <w:bottom w:val="single" w:sz="8" w:color="auto"/>
            </w:tcBorders>
          </w:tcPr>
          <w:p>
            <w:pPr>
              <w:jc w:val="center"/>
              <w:ind w:left="119"/>
              <w:spacing w:after="0"/>
              <w:rPr>
                <w:sz w:val="20"/>
                <w:szCs w:val="20"/>
                <w:color w:val="auto"/>
              </w:rPr>
            </w:pPr>
            <w:r>
              <w:rPr>
                <w:rFonts w:ascii="Arial" w:cs="Arial" w:eastAsia="Arial" w:hAnsi="Arial"/>
                <w:sz w:val="8"/>
                <w:szCs w:val="8"/>
                <w:b w:val="1"/>
                <w:bCs w:val="1"/>
                <w:color w:val="auto"/>
              </w:rPr>
              <w:t>95,517</w:t>
            </w:r>
          </w:p>
        </w:tc>
        <w:tc>
          <w:tcPr>
            <w:tcW w:w="1060" w:type="dxa"/>
            <w:vAlign w:val="bottom"/>
            <w:tcBorders>
              <w:bottom w:val="single" w:sz="8" w:color="auto"/>
              <w:right w:val="single" w:sz="8" w:color="auto"/>
            </w:tcBorders>
          </w:tcPr>
          <w:p>
            <w:pPr>
              <w:jc w:val="center"/>
              <w:ind w:left="99"/>
              <w:spacing w:after="0"/>
              <w:rPr>
                <w:sz w:val="20"/>
                <w:szCs w:val="20"/>
                <w:color w:val="auto"/>
              </w:rPr>
            </w:pPr>
            <w:r>
              <w:rPr>
                <w:rFonts w:ascii="Arial" w:cs="Arial" w:eastAsia="Arial" w:hAnsi="Arial"/>
                <w:sz w:val="8"/>
                <w:szCs w:val="8"/>
                <w:b w:val="1"/>
                <w:bCs w:val="1"/>
                <w:color w:val="auto"/>
                <w:w w:val="97"/>
              </w:rPr>
              <w:t>93,750</w:t>
            </w:r>
          </w:p>
        </w:tc>
        <w:tc>
          <w:tcPr>
            <w:tcW w:w="960" w:type="dxa"/>
            <w:vAlign w:val="bottom"/>
            <w:tcBorders>
              <w:bottom w:val="single" w:sz="8" w:color="auto"/>
              <w:right w:val="single" w:sz="8" w:color="auto"/>
            </w:tcBorders>
          </w:tcPr>
          <w:p>
            <w:pPr>
              <w:jc w:val="center"/>
              <w:ind w:right="19"/>
              <w:spacing w:after="0"/>
              <w:rPr>
                <w:sz w:val="20"/>
                <w:szCs w:val="20"/>
                <w:color w:val="auto"/>
              </w:rPr>
            </w:pPr>
            <w:r>
              <w:rPr>
                <w:rFonts w:ascii="Arial" w:cs="Arial" w:eastAsia="Arial" w:hAnsi="Arial"/>
                <w:sz w:val="8"/>
                <w:szCs w:val="8"/>
                <w:b w:val="1"/>
                <w:bCs w:val="1"/>
                <w:color w:val="auto"/>
              </w:rPr>
              <w:t>-1.8%</w:t>
            </w:r>
          </w:p>
        </w:tc>
      </w:tr>
    </w:tbl>
    <w:p>
      <w:pPr>
        <w:spacing w:after="0" w:line="152" w:lineRule="exact"/>
        <w:rPr>
          <w:sz w:val="20"/>
          <w:szCs w:val="20"/>
          <w:color w:val="auto"/>
        </w:rPr>
      </w:pPr>
    </w:p>
    <w:p>
      <w:pPr>
        <w:ind w:left="1360" w:hanging="255"/>
        <w:spacing w:after="0"/>
        <w:tabs>
          <w:tab w:leader="none" w:pos="1360" w:val="left"/>
        </w:tabs>
        <w:numPr>
          <w:ilvl w:val="0"/>
          <w:numId w:val="62"/>
        </w:numPr>
        <w:rPr>
          <w:rFonts w:ascii="Arial" w:cs="Arial" w:eastAsia="Arial" w:hAnsi="Arial"/>
          <w:sz w:val="10"/>
          <w:szCs w:val="10"/>
          <w:color w:val="auto"/>
        </w:rPr>
      </w:pPr>
      <w:r>
        <w:rPr>
          <w:rFonts w:ascii="Arial" w:cs="Arial" w:eastAsia="Arial" w:hAnsi="Arial"/>
          <w:sz w:val="10"/>
          <w:szCs w:val="10"/>
          <w:color w:val="auto"/>
        </w:rPr>
        <w:t>Reported under IFRS 4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758190</wp:posOffset>
            </wp:positionV>
            <wp:extent cx="7164705" cy="133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98425</wp:posOffset>
            </wp:positionV>
            <wp:extent cx="1502410" cy="4438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5263515</wp:posOffset>
            </wp:positionH>
            <wp:positionV relativeFrom="paragraph">
              <wp:posOffset>215900</wp:posOffset>
            </wp:positionV>
            <wp:extent cx="1750695" cy="3263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750695" cy="326390"/>
                    </a:xfrm>
                    <a:prstGeom prst="rect">
                      <a:avLst/>
                    </a:prstGeom>
                    <a:noFill/>
                  </pic:spPr>
                </pic:pic>
              </a:graphicData>
            </a:graphic>
          </wp:anchor>
        </w:drawing>
      </w:r>
    </w:p>
    <w:p>
      <w:pPr>
        <w:sectPr>
          <w:pgSz w:w="11900" w:h="16838" w:orient="portrait"/>
          <w:cols w:equalWidth="0" w:num="1">
            <w:col w:w="10240"/>
          </w:cols>
          <w:pgMar w:left="540" w:top="300" w:right="1119" w:bottom="1440" w:gutter="0" w:footer="0" w:header="0"/>
        </w:sectPr>
      </w:pPr>
    </w:p>
    <w:bookmarkStart w:id="70" w:name="page71"/>
    <w:bookmarkEnd w:id="70"/>
    <w:p>
      <w:pPr>
        <w:jc w:val="both"/>
        <w:ind w:left="2480"/>
        <w:spacing w:after="0"/>
        <w:tabs>
          <w:tab w:leader="none" w:pos="2680" w:val="left"/>
          <w:tab w:leader="none" w:pos="7680"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102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64705" cy="581025"/>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12. Appendix</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 xml:space="preserve">12.6.9. Investment Management &amp; Advisory </w:t>
      </w:r>
      <w:r>
        <w:rPr>
          <w:rFonts w:ascii="Arial" w:cs="Arial" w:eastAsia="Arial" w:hAnsi="Arial"/>
          <w:sz w:val="22"/>
          <w:szCs w:val="22"/>
          <w:b w:val="1"/>
          <w:bCs w:val="1"/>
          <w:color w:val="auto"/>
          <w:vertAlign w:val="superscript"/>
        </w:rPr>
        <w:t>*</w:t>
      </w:r>
    </w:p>
    <w:p>
      <w:pPr>
        <w:spacing w:after="0" w:line="58" w:lineRule="exact"/>
        <w:rPr>
          <w:sz w:val="20"/>
          <w:szCs w:val="20"/>
          <w:color w:val="auto"/>
        </w:rPr>
      </w:pPr>
    </w:p>
    <w:tbl>
      <w:tblPr>
        <w:tblLayout w:type="fixed"/>
        <w:tblInd w:w="670" w:type="dxa"/>
        <w:tblCellMar>
          <w:top w:w="0" w:type="dxa"/>
          <w:left w:w="0" w:type="dxa"/>
          <w:bottom w:w="0" w:type="dxa"/>
          <w:right w:w="0" w:type="dxa"/>
        </w:tblCellMar>
      </w:tblPr>
      <w:tr>
        <w:trPr>
          <w:trHeight w:val="97"/>
        </w:trPr>
        <w:tc>
          <w:tcPr>
            <w:tcW w:w="3340" w:type="dxa"/>
            <w:vAlign w:val="bottom"/>
            <w:tcBorders>
              <w:top w:val="single" w:sz="8" w:color="auto"/>
              <w:left w:val="single" w:sz="8" w:color="auto"/>
              <w:right w:val="single" w:sz="8" w:color="auto"/>
            </w:tcBorders>
            <w:shd w:val="clear" w:color="auto" w:fill="2AD2C9"/>
          </w:tcPr>
          <w:p>
            <w:pPr>
              <w:ind w:left="40"/>
              <w:spacing w:after="0" w:line="98" w:lineRule="exact"/>
              <w:rPr>
                <w:sz w:val="20"/>
                <w:szCs w:val="20"/>
                <w:color w:val="auto"/>
              </w:rPr>
            </w:pPr>
            <w:r>
              <w:rPr>
                <w:rFonts w:ascii="Arial" w:cs="Arial" w:eastAsia="Arial" w:hAnsi="Arial"/>
                <w:sz w:val="10"/>
                <w:szCs w:val="10"/>
                <w:b w:val="1"/>
                <w:bCs w:val="1"/>
                <w:color w:val="FFFFFF"/>
              </w:rPr>
              <w:t>Investment Management &amp; Advisory</w:t>
            </w:r>
          </w:p>
        </w:tc>
        <w:tc>
          <w:tcPr>
            <w:tcW w:w="760" w:type="dxa"/>
            <w:vAlign w:val="bottom"/>
            <w:tcBorders>
              <w:top w:val="single" w:sz="8" w:color="auto"/>
            </w:tcBorders>
            <w:shd w:val="clear" w:color="auto" w:fill="2AD2C9"/>
          </w:tcPr>
          <w:p>
            <w:pPr>
              <w:spacing w:after="0"/>
              <w:rPr>
                <w:sz w:val="8"/>
                <w:szCs w:val="8"/>
                <w:color w:val="auto"/>
              </w:rPr>
            </w:pPr>
          </w:p>
        </w:tc>
        <w:tc>
          <w:tcPr>
            <w:tcW w:w="760" w:type="dxa"/>
            <w:vAlign w:val="bottom"/>
            <w:tcBorders>
              <w:top w:val="single" w:sz="8" w:color="auto"/>
            </w:tcBorders>
            <w:shd w:val="clear" w:color="auto" w:fill="2AD2C9"/>
          </w:tcPr>
          <w:p>
            <w:pPr>
              <w:ind w:left="200"/>
              <w:spacing w:after="0" w:line="98" w:lineRule="exact"/>
              <w:rPr>
                <w:sz w:val="20"/>
                <w:szCs w:val="20"/>
                <w:color w:val="auto"/>
              </w:rPr>
            </w:pPr>
            <w:r>
              <w:rPr>
                <w:rFonts w:ascii="Arial" w:cs="Arial" w:eastAsia="Arial" w:hAnsi="Arial"/>
                <w:sz w:val="10"/>
                <w:szCs w:val="10"/>
                <w:b w:val="1"/>
                <w:bCs w:val="1"/>
                <w:color w:val="FFFFFF"/>
              </w:rPr>
              <w:t>Quarter</w:t>
            </w:r>
          </w:p>
        </w:tc>
        <w:tc>
          <w:tcPr>
            <w:tcW w:w="780" w:type="dxa"/>
            <w:vAlign w:val="bottom"/>
            <w:tcBorders>
              <w:top w:val="single" w:sz="8" w:color="auto"/>
              <w:right w:val="single" w:sz="8" w:color="auto"/>
            </w:tcBorders>
            <w:shd w:val="clear" w:color="auto" w:fill="2AD2C9"/>
          </w:tcPr>
          <w:p>
            <w:pPr>
              <w:spacing w:after="0"/>
              <w:rPr>
                <w:sz w:val="8"/>
                <w:szCs w:val="8"/>
                <w:color w:val="auto"/>
              </w:rPr>
            </w:pPr>
          </w:p>
        </w:tc>
        <w:tc>
          <w:tcPr>
            <w:tcW w:w="1500" w:type="dxa"/>
            <w:vAlign w:val="bottom"/>
            <w:tcBorders>
              <w:top w:val="single" w:sz="8" w:color="auto"/>
              <w:right w:val="single" w:sz="8" w:color="auto"/>
            </w:tcBorders>
            <w:gridSpan w:val="2"/>
            <w:shd w:val="clear" w:color="auto" w:fill="2AD2C9"/>
          </w:tcPr>
          <w:p>
            <w:pPr>
              <w:ind w:left="520"/>
              <w:spacing w:after="0" w:line="98" w:lineRule="exact"/>
              <w:rPr>
                <w:sz w:val="20"/>
                <w:szCs w:val="20"/>
                <w:color w:val="auto"/>
              </w:rPr>
            </w:pPr>
            <w:r>
              <w:rPr>
                <w:rFonts w:ascii="Arial" w:cs="Arial" w:eastAsia="Arial" w:hAnsi="Arial"/>
                <w:sz w:val="10"/>
                <w:szCs w:val="10"/>
                <w:b w:val="1"/>
                <w:bCs w:val="1"/>
                <w:color w:val="FFFFFF"/>
              </w:rPr>
              <w:t>% change</w:t>
            </w:r>
          </w:p>
        </w:tc>
        <w:tc>
          <w:tcPr>
            <w:tcW w:w="600" w:type="dxa"/>
            <w:vAlign w:val="bottom"/>
            <w:tcBorders>
              <w:top w:val="single" w:sz="8" w:color="auto"/>
            </w:tcBorders>
            <w:shd w:val="clear" w:color="auto" w:fill="2AD2C9"/>
          </w:tcPr>
          <w:p>
            <w:pPr>
              <w:spacing w:after="0"/>
              <w:rPr>
                <w:sz w:val="8"/>
                <w:szCs w:val="8"/>
                <w:color w:val="auto"/>
              </w:rPr>
            </w:pPr>
          </w:p>
        </w:tc>
        <w:tc>
          <w:tcPr>
            <w:tcW w:w="900" w:type="dxa"/>
            <w:vAlign w:val="bottom"/>
            <w:tcBorders>
              <w:top w:val="single" w:sz="8" w:color="auto"/>
              <w:right w:val="single" w:sz="8" w:color="auto"/>
            </w:tcBorders>
            <w:shd w:val="clear" w:color="auto" w:fill="2AD2C9"/>
          </w:tcPr>
          <w:p>
            <w:pPr>
              <w:ind w:left="20"/>
              <w:spacing w:after="0" w:line="98" w:lineRule="exact"/>
              <w:rPr>
                <w:sz w:val="20"/>
                <w:szCs w:val="20"/>
                <w:color w:val="auto"/>
              </w:rPr>
            </w:pPr>
            <w:r>
              <w:rPr>
                <w:rFonts w:ascii="Arial" w:cs="Arial" w:eastAsia="Arial" w:hAnsi="Arial"/>
                <w:sz w:val="10"/>
                <w:szCs w:val="10"/>
                <w:b w:val="1"/>
                <w:bCs w:val="1"/>
                <w:color w:val="FFFFFF"/>
              </w:rPr>
              <w:t>Up to</w:t>
            </w:r>
          </w:p>
        </w:tc>
        <w:tc>
          <w:tcPr>
            <w:tcW w:w="860" w:type="dxa"/>
            <w:vAlign w:val="bottom"/>
            <w:tcBorders>
              <w:top w:val="single" w:sz="8" w:color="auto"/>
              <w:right w:val="single" w:sz="8" w:color="auto"/>
            </w:tcBorders>
            <w:shd w:val="clear" w:color="auto" w:fill="2AD2C9"/>
          </w:tcPr>
          <w:p>
            <w:pPr>
              <w:ind w:left="180"/>
              <w:spacing w:after="0" w:line="98" w:lineRule="exact"/>
              <w:rPr>
                <w:sz w:val="20"/>
                <w:szCs w:val="20"/>
                <w:color w:val="auto"/>
              </w:rPr>
            </w:pPr>
            <w:r>
              <w:rPr>
                <w:rFonts w:ascii="Arial" w:cs="Arial" w:eastAsia="Arial" w:hAnsi="Arial"/>
                <w:sz w:val="10"/>
                <w:szCs w:val="10"/>
                <w:b w:val="1"/>
                <w:bCs w:val="1"/>
                <w:color w:val="FFFFFF"/>
              </w:rPr>
              <w:t>% change</w:t>
            </w:r>
          </w:p>
        </w:tc>
      </w:tr>
      <w:tr>
        <w:trPr>
          <w:trHeight w:val="117"/>
        </w:trPr>
        <w:tc>
          <w:tcPr>
            <w:tcW w:w="334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0"/>
                <w:szCs w:val="10"/>
                <w:b w:val="1"/>
                <w:bCs w:val="1"/>
                <w:color w:val="FFFFFF"/>
              </w:rPr>
              <w:t>S/ 000</w:t>
            </w:r>
          </w:p>
        </w:tc>
        <w:tc>
          <w:tcPr>
            <w:tcW w:w="7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7"/>
              </w:rPr>
              <w:t>2Q23</w:t>
            </w:r>
          </w:p>
        </w:tc>
        <w:tc>
          <w:tcPr>
            <w:tcW w:w="7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89"/>
              </w:rPr>
              <w:t>1Q24</w:t>
            </w:r>
          </w:p>
        </w:tc>
        <w:tc>
          <w:tcPr>
            <w:tcW w:w="7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7"/>
              </w:rPr>
              <w:t>2Q24</w:t>
            </w:r>
          </w:p>
        </w:tc>
        <w:tc>
          <w:tcPr>
            <w:tcW w:w="740" w:type="dxa"/>
            <w:vAlign w:val="bottom"/>
            <w:tcBorders>
              <w:bottom w:val="single" w:sz="8" w:color="auto"/>
            </w:tcBorders>
            <w:shd w:val="clear" w:color="auto" w:fill="2AD2C9"/>
          </w:tcPr>
          <w:p>
            <w:pPr>
              <w:ind w:left="260"/>
              <w:spacing w:after="0"/>
              <w:rPr>
                <w:sz w:val="20"/>
                <w:szCs w:val="20"/>
                <w:color w:val="auto"/>
              </w:rPr>
            </w:pPr>
            <w:r>
              <w:rPr>
                <w:rFonts w:ascii="Arial" w:cs="Arial" w:eastAsia="Arial" w:hAnsi="Arial"/>
                <w:sz w:val="10"/>
                <w:szCs w:val="10"/>
                <w:b w:val="1"/>
                <w:bCs w:val="1"/>
                <w:color w:val="FFFFFF"/>
              </w:rPr>
              <w:t>QoQ</w:t>
            </w:r>
          </w:p>
        </w:tc>
        <w:tc>
          <w:tcPr>
            <w:tcW w:w="760" w:type="dxa"/>
            <w:vAlign w:val="bottom"/>
            <w:tcBorders>
              <w:bottom w:val="single" w:sz="8" w:color="auto"/>
              <w:right w:val="single" w:sz="8" w:color="auto"/>
            </w:tcBorders>
            <w:shd w:val="clear" w:color="auto" w:fill="2AD2C9"/>
          </w:tcPr>
          <w:p>
            <w:pPr>
              <w:ind w:left="280"/>
              <w:spacing w:after="0"/>
              <w:rPr>
                <w:sz w:val="20"/>
                <w:szCs w:val="20"/>
                <w:color w:val="auto"/>
              </w:rPr>
            </w:pPr>
            <w:r>
              <w:rPr>
                <w:rFonts w:ascii="Arial" w:cs="Arial" w:eastAsia="Arial" w:hAnsi="Arial"/>
                <w:sz w:val="10"/>
                <w:szCs w:val="10"/>
                <w:b w:val="1"/>
                <w:bCs w:val="1"/>
                <w:color w:val="FFFFFF"/>
              </w:rPr>
              <w:t>YoY</w:t>
            </w:r>
          </w:p>
        </w:tc>
        <w:tc>
          <w:tcPr>
            <w:tcW w:w="600" w:type="dxa"/>
            <w:vAlign w:val="bottom"/>
            <w:tcBorders>
              <w:bottom w:val="single" w:sz="8" w:color="auto"/>
            </w:tcBorders>
            <w:shd w:val="clear" w:color="auto" w:fill="2AD2C9"/>
          </w:tcPr>
          <w:p>
            <w:pPr>
              <w:jc w:val="center"/>
              <w:ind w:left="93"/>
              <w:spacing w:after="0"/>
              <w:rPr>
                <w:sz w:val="20"/>
                <w:szCs w:val="20"/>
                <w:color w:val="auto"/>
              </w:rPr>
            </w:pPr>
            <w:r>
              <w:rPr>
                <w:rFonts w:ascii="Arial" w:cs="Arial" w:eastAsia="Arial" w:hAnsi="Arial"/>
                <w:sz w:val="10"/>
                <w:szCs w:val="10"/>
                <w:b w:val="1"/>
                <w:bCs w:val="1"/>
                <w:color w:val="FFFFFF"/>
                <w:w w:val="91"/>
              </w:rPr>
              <w:t>1H23</w:t>
            </w:r>
          </w:p>
        </w:tc>
        <w:tc>
          <w:tcPr>
            <w:tcW w:w="900" w:type="dxa"/>
            <w:vAlign w:val="bottom"/>
            <w:tcBorders>
              <w:bottom w:val="single" w:sz="8" w:color="auto"/>
              <w:right w:val="single" w:sz="8" w:color="auto"/>
            </w:tcBorders>
            <w:shd w:val="clear" w:color="auto" w:fill="2AD2C9"/>
          </w:tcPr>
          <w:p>
            <w:pPr>
              <w:jc w:val="center"/>
              <w:ind w:left="73"/>
              <w:spacing w:after="0"/>
              <w:rPr>
                <w:sz w:val="20"/>
                <w:szCs w:val="20"/>
                <w:color w:val="auto"/>
              </w:rPr>
            </w:pPr>
            <w:r>
              <w:rPr>
                <w:rFonts w:ascii="Arial" w:cs="Arial" w:eastAsia="Arial" w:hAnsi="Arial"/>
                <w:sz w:val="10"/>
                <w:szCs w:val="10"/>
                <w:b w:val="1"/>
                <w:bCs w:val="1"/>
                <w:color w:val="FFFFFF"/>
                <w:w w:val="91"/>
              </w:rPr>
              <w:t>1H24</w:t>
            </w:r>
          </w:p>
        </w:tc>
        <w:tc>
          <w:tcPr>
            <w:tcW w:w="8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0"/>
                <w:szCs w:val="10"/>
                <w:b w:val="1"/>
                <w:bCs w:val="1"/>
                <w:color w:val="FFFFFF"/>
                <w:w w:val="96"/>
              </w:rPr>
              <w:t>1H24 / 1H23</w:t>
            </w:r>
          </w:p>
        </w:tc>
      </w:tr>
      <w:tr>
        <w:trPr>
          <w:trHeight w:val="81"/>
        </w:trPr>
        <w:tc>
          <w:tcPr>
            <w:tcW w:w="3340" w:type="dxa"/>
            <w:vAlign w:val="bottom"/>
            <w:tcBorders>
              <w:left w:val="single" w:sz="8" w:color="auto"/>
              <w:right w:val="single" w:sz="8" w:color="auto"/>
            </w:tcBorders>
          </w:tcPr>
          <w:p>
            <w:pPr>
              <w:ind w:left="40"/>
              <w:spacing w:after="0" w:line="81" w:lineRule="exact"/>
              <w:rPr>
                <w:sz w:val="20"/>
                <w:szCs w:val="20"/>
                <w:color w:val="auto"/>
              </w:rPr>
            </w:pPr>
            <w:r>
              <w:rPr>
                <w:rFonts w:ascii="Arial" w:cs="Arial" w:eastAsia="Arial" w:hAnsi="Arial"/>
                <w:sz w:val="8"/>
                <w:szCs w:val="8"/>
                <w:color w:val="auto"/>
              </w:rPr>
              <w:t>Net interest income</w:t>
            </w:r>
          </w:p>
        </w:tc>
        <w:tc>
          <w:tcPr>
            <w:tcW w:w="760" w:type="dxa"/>
            <w:vAlign w:val="bottom"/>
          </w:tcPr>
          <w:p>
            <w:pPr>
              <w:jc w:val="center"/>
              <w:spacing w:after="0" w:line="81" w:lineRule="exact"/>
              <w:rPr>
                <w:sz w:val="20"/>
                <w:szCs w:val="20"/>
                <w:color w:val="auto"/>
              </w:rPr>
            </w:pPr>
            <w:r>
              <w:rPr>
                <w:rFonts w:ascii="Arial" w:cs="Arial" w:eastAsia="Arial" w:hAnsi="Arial"/>
                <w:sz w:val="8"/>
                <w:szCs w:val="8"/>
                <w:color w:val="auto"/>
              </w:rPr>
              <w:t>21,206</w:t>
            </w:r>
          </w:p>
        </w:tc>
        <w:tc>
          <w:tcPr>
            <w:tcW w:w="760" w:type="dxa"/>
            <w:vAlign w:val="bottom"/>
          </w:tcPr>
          <w:p>
            <w:pPr>
              <w:jc w:val="center"/>
              <w:spacing w:after="0" w:line="81" w:lineRule="exact"/>
              <w:rPr>
                <w:sz w:val="20"/>
                <w:szCs w:val="20"/>
                <w:color w:val="auto"/>
              </w:rPr>
            </w:pPr>
            <w:r>
              <w:rPr>
                <w:rFonts w:ascii="Arial" w:cs="Arial" w:eastAsia="Arial" w:hAnsi="Arial"/>
                <w:sz w:val="8"/>
                <w:szCs w:val="8"/>
                <w:color w:val="auto"/>
              </w:rPr>
              <w:t>6,460</w:t>
            </w:r>
          </w:p>
        </w:tc>
        <w:tc>
          <w:tcPr>
            <w:tcW w:w="78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5,277</w:t>
            </w:r>
          </w:p>
        </w:tc>
        <w:tc>
          <w:tcPr>
            <w:tcW w:w="740" w:type="dxa"/>
            <w:vAlign w:val="bottom"/>
          </w:tcPr>
          <w:p>
            <w:pPr>
              <w:jc w:val="center"/>
              <w:spacing w:after="0" w:line="81" w:lineRule="exact"/>
              <w:rPr>
                <w:sz w:val="20"/>
                <w:szCs w:val="20"/>
                <w:color w:val="auto"/>
              </w:rPr>
            </w:pPr>
            <w:r>
              <w:rPr>
                <w:rFonts w:ascii="Arial" w:cs="Arial" w:eastAsia="Arial" w:hAnsi="Arial"/>
                <w:sz w:val="8"/>
                <w:szCs w:val="8"/>
                <w:color w:val="auto"/>
              </w:rPr>
              <w:t>-18.3%</w:t>
            </w:r>
          </w:p>
        </w:tc>
        <w:tc>
          <w:tcPr>
            <w:tcW w:w="76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-75%</w:t>
            </w:r>
          </w:p>
        </w:tc>
        <w:tc>
          <w:tcPr>
            <w:tcW w:w="600" w:type="dxa"/>
            <w:vAlign w:val="bottom"/>
          </w:tcPr>
          <w:p>
            <w:pPr>
              <w:jc w:val="center"/>
              <w:ind w:left="93"/>
              <w:spacing w:after="0" w:line="81" w:lineRule="exact"/>
              <w:rPr>
                <w:sz w:val="20"/>
                <w:szCs w:val="20"/>
                <w:color w:val="auto"/>
              </w:rPr>
            </w:pPr>
            <w:r>
              <w:rPr>
                <w:rFonts w:ascii="Arial" w:cs="Arial" w:eastAsia="Arial" w:hAnsi="Arial"/>
                <w:sz w:val="8"/>
                <w:szCs w:val="8"/>
                <w:color w:val="auto"/>
              </w:rPr>
              <w:t>43,248</w:t>
            </w:r>
          </w:p>
        </w:tc>
        <w:tc>
          <w:tcPr>
            <w:tcW w:w="900" w:type="dxa"/>
            <w:vAlign w:val="bottom"/>
            <w:tcBorders>
              <w:right w:val="single" w:sz="8" w:color="auto"/>
            </w:tcBorders>
          </w:tcPr>
          <w:p>
            <w:pPr>
              <w:jc w:val="center"/>
              <w:ind w:left="73"/>
              <w:spacing w:after="0" w:line="81" w:lineRule="exact"/>
              <w:rPr>
                <w:sz w:val="20"/>
                <w:szCs w:val="20"/>
                <w:color w:val="auto"/>
              </w:rPr>
            </w:pPr>
            <w:r>
              <w:rPr>
                <w:rFonts w:ascii="Arial" w:cs="Arial" w:eastAsia="Arial" w:hAnsi="Arial"/>
                <w:sz w:val="8"/>
                <w:szCs w:val="8"/>
                <w:color w:val="auto"/>
              </w:rPr>
              <w:t>11,737</w:t>
            </w:r>
          </w:p>
        </w:tc>
        <w:tc>
          <w:tcPr>
            <w:tcW w:w="86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-72.9%</w:t>
            </w:r>
          </w:p>
        </w:tc>
      </w:tr>
      <w:tr>
        <w:trPr>
          <w:trHeight w:val="103"/>
        </w:trPr>
        <w:tc>
          <w:tcPr>
            <w:tcW w:w="3340" w:type="dxa"/>
            <w:vAlign w:val="bottom"/>
            <w:tcBorders>
              <w:left w:val="single" w:sz="8" w:color="auto"/>
              <w:right w:val="single" w:sz="8" w:color="auto"/>
            </w:tcBorders>
          </w:tcPr>
          <w:p>
            <w:pPr>
              <w:ind w:left="40"/>
              <w:spacing w:after="0" w:line="103" w:lineRule="exact"/>
              <w:rPr>
                <w:sz w:val="20"/>
                <w:szCs w:val="20"/>
                <w:color w:val="auto"/>
              </w:rPr>
            </w:pPr>
            <w:r>
              <w:rPr>
                <w:rFonts w:ascii="Arial" w:cs="Arial" w:eastAsia="Arial" w:hAnsi="Arial"/>
                <w:sz w:val="10"/>
                <w:szCs w:val="10"/>
                <w:color w:val="auto"/>
              </w:rPr>
              <w:t>Non-financial income</w:t>
            </w:r>
          </w:p>
        </w:tc>
        <w:tc>
          <w:tcPr>
            <w:tcW w:w="760" w:type="dxa"/>
            <w:vAlign w:val="bottom"/>
          </w:tcPr>
          <w:p>
            <w:pPr>
              <w:jc w:val="center"/>
              <w:spacing w:after="0" w:line="103" w:lineRule="exact"/>
              <w:rPr>
                <w:sz w:val="20"/>
                <w:szCs w:val="20"/>
                <w:color w:val="auto"/>
              </w:rPr>
            </w:pPr>
            <w:r>
              <w:rPr>
                <w:rFonts w:ascii="Arial" w:cs="Arial" w:eastAsia="Arial" w:hAnsi="Arial"/>
                <w:sz w:val="10"/>
                <w:szCs w:val="10"/>
                <w:color w:val="auto"/>
                <w:w w:val="93"/>
              </w:rPr>
              <w:t>207,535</w:t>
            </w:r>
          </w:p>
        </w:tc>
        <w:tc>
          <w:tcPr>
            <w:tcW w:w="760" w:type="dxa"/>
            <w:vAlign w:val="bottom"/>
          </w:tcPr>
          <w:p>
            <w:pPr>
              <w:jc w:val="center"/>
              <w:spacing w:after="0" w:line="103" w:lineRule="exact"/>
              <w:rPr>
                <w:sz w:val="20"/>
                <w:szCs w:val="20"/>
                <w:color w:val="auto"/>
              </w:rPr>
            </w:pPr>
            <w:r>
              <w:rPr>
                <w:rFonts w:ascii="Arial" w:cs="Arial" w:eastAsia="Arial" w:hAnsi="Arial"/>
                <w:sz w:val="10"/>
                <w:szCs w:val="10"/>
                <w:color w:val="auto"/>
                <w:w w:val="93"/>
              </w:rPr>
              <w:t>233,390</w:t>
            </w:r>
          </w:p>
        </w:tc>
        <w:tc>
          <w:tcPr>
            <w:tcW w:w="7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3"/>
              </w:rPr>
              <w:t>255,814</w:t>
            </w:r>
          </w:p>
        </w:tc>
        <w:tc>
          <w:tcPr>
            <w:tcW w:w="740" w:type="dxa"/>
            <w:vAlign w:val="bottom"/>
          </w:tcPr>
          <w:p>
            <w:pPr>
              <w:jc w:val="center"/>
              <w:spacing w:after="0" w:line="103" w:lineRule="exact"/>
              <w:rPr>
                <w:sz w:val="20"/>
                <w:szCs w:val="20"/>
                <w:color w:val="auto"/>
              </w:rPr>
            </w:pPr>
            <w:r>
              <w:rPr>
                <w:rFonts w:ascii="Arial" w:cs="Arial" w:eastAsia="Arial" w:hAnsi="Arial"/>
                <w:sz w:val="10"/>
                <w:szCs w:val="10"/>
                <w:color w:val="auto"/>
                <w:w w:val="96"/>
              </w:rPr>
              <w:t>9.6%</w:t>
            </w:r>
          </w:p>
        </w:tc>
        <w:tc>
          <w:tcPr>
            <w:tcW w:w="7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1"/>
              </w:rPr>
              <w:t>23.3%</w:t>
            </w:r>
          </w:p>
        </w:tc>
        <w:tc>
          <w:tcPr>
            <w:tcW w:w="600" w:type="dxa"/>
            <w:vAlign w:val="bottom"/>
          </w:tcPr>
          <w:p>
            <w:pPr>
              <w:jc w:val="center"/>
              <w:ind w:left="93"/>
              <w:spacing w:after="0" w:line="103" w:lineRule="exact"/>
              <w:rPr>
                <w:sz w:val="20"/>
                <w:szCs w:val="20"/>
                <w:color w:val="auto"/>
              </w:rPr>
            </w:pPr>
            <w:r>
              <w:rPr>
                <w:rFonts w:ascii="Arial" w:cs="Arial" w:eastAsia="Arial" w:hAnsi="Arial"/>
                <w:sz w:val="10"/>
                <w:szCs w:val="10"/>
                <w:color w:val="auto"/>
                <w:w w:val="93"/>
              </w:rPr>
              <w:t>400,320</w:t>
            </w:r>
          </w:p>
        </w:tc>
        <w:tc>
          <w:tcPr>
            <w:tcW w:w="900" w:type="dxa"/>
            <w:vAlign w:val="bottom"/>
            <w:tcBorders>
              <w:right w:val="single" w:sz="8" w:color="auto"/>
            </w:tcBorders>
          </w:tcPr>
          <w:p>
            <w:pPr>
              <w:jc w:val="center"/>
              <w:ind w:left="73"/>
              <w:spacing w:after="0" w:line="103" w:lineRule="exact"/>
              <w:rPr>
                <w:sz w:val="20"/>
                <w:szCs w:val="20"/>
                <w:color w:val="auto"/>
              </w:rPr>
            </w:pPr>
            <w:r>
              <w:rPr>
                <w:rFonts w:ascii="Arial" w:cs="Arial" w:eastAsia="Arial" w:hAnsi="Arial"/>
                <w:sz w:val="10"/>
                <w:szCs w:val="10"/>
                <w:color w:val="auto"/>
                <w:w w:val="93"/>
              </w:rPr>
              <w:t>489,204</w:t>
            </w:r>
          </w:p>
        </w:tc>
        <w:tc>
          <w:tcPr>
            <w:tcW w:w="8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1"/>
              </w:rPr>
              <w:t>22.2%</w:t>
            </w:r>
          </w:p>
        </w:tc>
      </w:tr>
      <w:tr>
        <w:trPr>
          <w:trHeight w:val="103"/>
        </w:trPr>
        <w:tc>
          <w:tcPr>
            <w:tcW w:w="3340" w:type="dxa"/>
            <w:vAlign w:val="bottom"/>
            <w:tcBorders>
              <w:left w:val="single" w:sz="8" w:color="auto"/>
              <w:right w:val="single" w:sz="8" w:color="auto"/>
            </w:tcBorders>
          </w:tcPr>
          <w:p>
            <w:pPr>
              <w:ind w:left="260"/>
              <w:spacing w:after="0" w:line="103" w:lineRule="exact"/>
              <w:rPr>
                <w:sz w:val="20"/>
                <w:szCs w:val="20"/>
                <w:color w:val="auto"/>
              </w:rPr>
            </w:pPr>
            <w:r>
              <w:rPr>
                <w:rFonts w:ascii="Arial" w:cs="Arial" w:eastAsia="Arial" w:hAnsi="Arial"/>
                <w:sz w:val="10"/>
                <w:szCs w:val="10"/>
                <w:color w:val="auto"/>
              </w:rPr>
              <w:t>Fee income</w:t>
            </w:r>
          </w:p>
        </w:tc>
        <w:tc>
          <w:tcPr>
            <w:tcW w:w="760" w:type="dxa"/>
            <w:vAlign w:val="bottom"/>
          </w:tcPr>
          <w:p>
            <w:pPr>
              <w:jc w:val="center"/>
              <w:spacing w:after="0" w:line="103" w:lineRule="exact"/>
              <w:rPr>
                <w:sz w:val="20"/>
                <w:szCs w:val="20"/>
                <w:color w:val="auto"/>
              </w:rPr>
            </w:pPr>
            <w:r>
              <w:rPr>
                <w:rFonts w:ascii="Arial" w:cs="Arial" w:eastAsia="Arial" w:hAnsi="Arial"/>
                <w:sz w:val="10"/>
                <w:szCs w:val="10"/>
                <w:color w:val="auto"/>
                <w:w w:val="93"/>
              </w:rPr>
              <w:t>133,448</w:t>
            </w:r>
          </w:p>
        </w:tc>
        <w:tc>
          <w:tcPr>
            <w:tcW w:w="760" w:type="dxa"/>
            <w:vAlign w:val="bottom"/>
          </w:tcPr>
          <w:p>
            <w:pPr>
              <w:jc w:val="center"/>
              <w:spacing w:after="0" w:line="103" w:lineRule="exact"/>
              <w:rPr>
                <w:sz w:val="20"/>
                <w:szCs w:val="20"/>
                <w:color w:val="auto"/>
              </w:rPr>
            </w:pPr>
            <w:r>
              <w:rPr>
                <w:rFonts w:ascii="Arial" w:cs="Arial" w:eastAsia="Arial" w:hAnsi="Arial"/>
                <w:sz w:val="10"/>
                <w:szCs w:val="10"/>
                <w:color w:val="auto"/>
                <w:w w:val="93"/>
              </w:rPr>
              <w:t>145,099</w:t>
            </w:r>
          </w:p>
        </w:tc>
        <w:tc>
          <w:tcPr>
            <w:tcW w:w="7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3"/>
              </w:rPr>
              <w:t>168,822</w:t>
            </w:r>
          </w:p>
        </w:tc>
        <w:tc>
          <w:tcPr>
            <w:tcW w:w="740" w:type="dxa"/>
            <w:vAlign w:val="bottom"/>
          </w:tcPr>
          <w:p>
            <w:pPr>
              <w:jc w:val="center"/>
              <w:spacing w:after="0" w:line="103" w:lineRule="exact"/>
              <w:rPr>
                <w:sz w:val="20"/>
                <w:szCs w:val="20"/>
                <w:color w:val="auto"/>
              </w:rPr>
            </w:pPr>
            <w:r>
              <w:rPr>
                <w:rFonts w:ascii="Arial" w:cs="Arial" w:eastAsia="Arial" w:hAnsi="Arial"/>
                <w:sz w:val="10"/>
                <w:szCs w:val="10"/>
                <w:color w:val="auto"/>
                <w:w w:val="98"/>
              </w:rPr>
              <w:t>16.3%</w:t>
            </w:r>
          </w:p>
        </w:tc>
        <w:tc>
          <w:tcPr>
            <w:tcW w:w="7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1"/>
              </w:rPr>
              <w:t>26.5%</w:t>
            </w:r>
          </w:p>
        </w:tc>
        <w:tc>
          <w:tcPr>
            <w:tcW w:w="600" w:type="dxa"/>
            <w:vAlign w:val="bottom"/>
          </w:tcPr>
          <w:p>
            <w:pPr>
              <w:jc w:val="center"/>
              <w:ind w:left="93"/>
              <w:spacing w:after="0" w:line="103" w:lineRule="exact"/>
              <w:rPr>
                <w:sz w:val="20"/>
                <w:szCs w:val="20"/>
                <w:color w:val="auto"/>
              </w:rPr>
            </w:pPr>
            <w:r>
              <w:rPr>
                <w:rFonts w:ascii="Arial" w:cs="Arial" w:eastAsia="Arial" w:hAnsi="Arial"/>
                <w:sz w:val="10"/>
                <w:szCs w:val="10"/>
                <w:color w:val="auto"/>
                <w:w w:val="93"/>
              </w:rPr>
              <w:t>256,309</w:t>
            </w:r>
          </w:p>
        </w:tc>
        <w:tc>
          <w:tcPr>
            <w:tcW w:w="900" w:type="dxa"/>
            <w:vAlign w:val="bottom"/>
            <w:tcBorders>
              <w:right w:val="single" w:sz="8" w:color="auto"/>
            </w:tcBorders>
          </w:tcPr>
          <w:p>
            <w:pPr>
              <w:jc w:val="center"/>
              <w:ind w:left="73"/>
              <w:spacing w:after="0" w:line="103" w:lineRule="exact"/>
              <w:rPr>
                <w:sz w:val="20"/>
                <w:szCs w:val="20"/>
                <w:color w:val="auto"/>
              </w:rPr>
            </w:pPr>
            <w:r>
              <w:rPr>
                <w:rFonts w:ascii="Arial" w:cs="Arial" w:eastAsia="Arial" w:hAnsi="Arial"/>
                <w:sz w:val="10"/>
                <w:szCs w:val="10"/>
                <w:color w:val="auto"/>
                <w:w w:val="93"/>
              </w:rPr>
              <w:t>313,921</w:t>
            </w:r>
          </w:p>
        </w:tc>
        <w:tc>
          <w:tcPr>
            <w:tcW w:w="8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1"/>
              </w:rPr>
              <w:t>22.5%</w:t>
            </w:r>
          </w:p>
        </w:tc>
      </w:tr>
      <w:tr>
        <w:trPr>
          <w:trHeight w:val="103"/>
        </w:trPr>
        <w:tc>
          <w:tcPr>
            <w:tcW w:w="3340" w:type="dxa"/>
            <w:vAlign w:val="bottom"/>
            <w:tcBorders>
              <w:left w:val="single" w:sz="8" w:color="auto"/>
              <w:right w:val="single" w:sz="8" w:color="auto"/>
            </w:tcBorders>
          </w:tcPr>
          <w:p>
            <w:pPr>
              <w:ind w:left="260"/>
              <w:spacing w:after="0" w:line="103" w:lineRule="exact"/>
              <w:rPr>
                <w:sz w:val="20"/>
                <w:szCs w:val="20"/>
                <w:color w:val="auto"/>
              </w:rPr>
            </w:pPr>
            <w:r>
              <w:rPr>
                <w:rFonts w:ascii="Arial" w:cs="Arial" w:eastAsia="Arial" w:hAnsi="Arial"/>
                <w:sz w:val="10"/>
                <w:szCs w:val="10"/>
                <w:color w:val="auto"/>
              </w:rPr>
              <w:t>Net gain on foreign exchange transactions</w:t>
            </w:r>
          </w:p>
        </w:tc>
        <w:tc>
          <w:tcPr>
            <w:tcW w:w="760" w:type="dxa"/>
            <w:vAlign w:val="bottom"/>
          </w:tcPr>
          <w:p>
            <w:pPr>
              <w:jc w:val="center"/>
              <w:spacing w:after="0" w:line="103" w:lineRule="exact"/>
              <w:rPr>
                <w:sz w:val="20"/>
                <w:szCs w:val="20"/>
                <w:color w:val="auto"/>
              </w:rPr>
            </w:pPr>
            <w:r>
              <w:rPr>
                <w:rFonts w:ascii="Arial" w:cs="Arial" w:eastAsia="Arial" w:hAnsi="Arial"/>
                <w:sz w:val="10"/>
                <w:szCs w:val="10"/>
                <w:color w:val="auto"/>
                <w:w w:val="97"/>
              </w:rPr>
              <w:t>12,836</w:t>
            </w:r>
          </w:p>
        </w:tc>
        <w:tc>
          <w:tcPr>
            <w:tcW w:w="760" w:type="dxa"/>
            <w:vAlign w:val="bottom"/>
          </w:tcPr>
          <w:p>
            <w:pPr>
              <w:jc w:val="center"/>
              <w:spacing w:after="0" w:line="103" w:lineRule="exact"/>
              <w:rPr>
                <w:sz w:val="20"/>
                <w:szCs w:val="20"/>
                <w:color w:val="auto"/>
              </w:rPr>
            </w:pPr>
            <w:r>
              <w:rPr>
                <w:rFonts w:ascii="Arial" w:cs="Arial" w:eastAsia="Arial" w:hAnsi="Arial"/>
                <w:sz w:val="10"/>
                <w:szCs w:val="10"/>
                <w:color w:val="auto"/>
                <w:w w:val="97"/>
              </w:rPr>
              <w:t>12,638</w:t>
            </w:r>
          </w:p>
        </w:tc>
        <w:tc>
          <w:tcPr>
            <w:tcW w:w="7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7"/>
              </w:rPr>
              <w:t>19,082</w:t>
            </w:r>
          </w:p>
        </w:tc>
        <w:tc>
          <w:tcPr>
            <w:tcW w:w="740" w:type="dxa"/>
            <w:vAlign w:val="bottom"/>
          </w:tcPr>
          <w:p>
            <w:pPr>
              <w:jc w:val="center"/>
              <w:spacing w:after="0" w:line="103" w:lineRule="exact"/>
              <w:rPr>
                <w:sz w:val="20"/>
                <w:szCs w:val="20"/>
                <w:color w:val="auto"/>
              </w:rPr>
            </w:pPr>
            <w:r>
              <w:rPr>
                <w:rFonts w:ascii="Arial" w:cs="Arial" w:eastAsia="Arial" w:hAnsi="Arial"/>
                <w:sz w:val="10"/>
                <w:szCs w:val="10"/>
                <w:color w:val="auto"/>
                <w:w w:val="98"/>
              </w:rPr>
              <w:t>51.0%</w:t>
            </w:r>
          </w:p>
        </w:tc>
        <w:tc>
          <w:tcPr>
            <w:tcW w:w="7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1"/>
              </w:rPr>
              <w:t>48.7%</w:t>
            </w:r>
          </w:p>
        </w:tc>
        <w:tc>
          <w:tcPr>
            <w:tcW w:w="600" w:type="dxa"/>
            <w:vAlign w:val="bottom"/>
          </w:tcPr>
          <w:p>
            <w:pPr>
              <w:jc w:val="center"/>
              <w:ind w:left="93"/>
              <w:spacing w:after="0" w:line="103" w:lineRule="exact"/>
              <w:rPr>
                <w:sz w:val="20"/>
                <w:szCs w:val="20"/>
                <w:color w:val="auto"/>
              </w:rPr>
            </w:pPr>
            <w:r>
              <w:rPr>
                <w:rFonts w:ascii="Arial" w:cs="Arial" w:eastAsia="Arial" w:hAnsi="Arial"/>
                <w:sz w:val="10"/>
                <w:szCs w:val="10"/>
                <w:color w:val="auto"/>
                <w:w w:val="97"/>
              </w:rPr>
              <w:t>28,920</w:t>
            </w:r>
          </w:p>
        </w:tc>
        <w:tc>
          <w:tcPr>
            <w:tcW w:w="900" w:type="dxa"/>
            <w:vAlign w:val="bottom"/>
            <w:tcBorders>
              <w:right w:val="single" w:sz="8" w:color="auto"/>
            </w:tcBorders>
          </w:tcPr>
          <w:p>
            <w:pPr>
              <w:jc w:val="center"/>
              <w:ind w:left="73"/>
              <w:spacing w:after="0" w:line="103" w:lineRule="exact"/>
              <w:rPr>
                <w:sz w:val="20"/>
                <w:szCs w:val="20"/>
                <w:color w:val="auto"/>
              </w:rPr>
            </w:pPr>
            <w:r>
              <w:rPr>
                <w:rFonts w:ascii="Arial" w:cs="Arial" w:eastAsia="Arial" w:hAnsi="Arial"/>
                <w:sz w:val="10"/>
                <w:szCs w:val="10"/>
                <w:color w:val="auto"/>
                <w:w w:val="97"/>
              </w:rPr>
              <w:t>31,720</w:t>
            </w:r>
          </w:p>
        </w:tc>
        <w:tc>
          <w:tcPr>
            <w:tcW w:w="8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9.7%</w:t>
            </w:r>
          </w:p>
        </w:tc>
      </w:tr>
      <w:tr>
        <w:trPr>
          <w:trHeight w:val="103"/>
        </w:trPr>
        <w:tc>
          <w:tcPr>
            <w:tcW w:w="3340" w:type="dxa"/>
            <w:vAlign w:val="bottom"/>
            <w:tcBorders>
              <w:left w:val="single" w:sz="8" w:color="auto"/>
              <w:right w:val="single" w:sz="8" w:color="auto"/>
            </w:tcBorders>
          </w:tcPr>
          <w:p>
            <w:pPr>
              <w:ind w:left="260"/>
              <w:spacing w:after="0" w:line="103" w:lineRule="exact"/>
              <w:rPr>
                <w:sz w:val="20"/>
                <w:szCs w:val="20"/>
                <w:color w:val="auto"/>
              </w:rPr>
            </w:pPr>
            <w:r>
              <w:rPr>
                <w:rFonts w:ascii="Arial" w:cs="Arial" w:eastAsia="Arial" w:hAnsi="Arial"/>
                <w:sz w:val="10"/>
                <w:szCs w:val="10"/>
                <w:color w:val="auto"/>
              </w:rPr>
              <w:t>Net gain on sales of securities</w:t>
            </w:r>
          </w:p>
        </w:tc>
        <w:tc>
          <w:tcPr>
            <w:tcW w:w="760" w:type="dxa"/>
            <w:vAlign w:val="bottom"/>
          </w:tcPr>
          <w:p>
            <w:pPr>
              <w:jc w:val="center"/>
              <w:spacing w:after="0" w:line="103" w:lineRule="exact"/>
              <w:rPr>
                <w:sz w:val="20"/>
                <w:szCs w:val="20"/>
                <w:color w:val="auto"/>
              </w:rPr>
            </w:pPr>
            <w:r>
              <w:rPr>
                <w:rFonts w:ascii="Arial" w:cs="Arial" w:eastAsia="Arial" w:hAnsi="Arial"/>
                <w:sz w:val="10"/>
                <w:szCs w:val="10"/>
                <w:color w:val="auto"/>
                <w:w w:val="91"/>
              </w:rPr>
              <w:t>64,116</w:t>
            </w:r>
          </w:p>
        </w:tc>
        <w:tc>
          <w:tcPr>
            <w:tcW w:w="760" w:type="dxa"/>
            <w:vAlign w:val="bottom"/>
          </w:tcPr>
          <w:p>
            <w:pPr>
              <w:jc w:val="center"/>
              <w:spacing w:after="0" w:line="103" w:lineRule="exact"/>
              <w:rPr>
                <w:sz w:val="20"/>
                <w:szCs w:val="20"/>
                <w:color w:val="auto"/>
              </w:rPr>
            </w:pPr>
            <w:r>
              <w:rPr>
                <w:rFonts w:ascii="Arial" w:cs="Arial" w:eastAsia="Arial" w:hAnsi="Arial"/>
                <w:sz w:val="10"/>
                <w:szCs w:val="10"/>
                <w:color w:val="auto"/>
                <w:w w:val="97"/>
              </w:rPr>
              <w:t>54,569</w:t>
            </w:r>
          </w:p>
        </w:tc>
        <w:tc>
          <w:tcPr>
            <w:tcW w:w="7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7"/>
              </w:rPr>
              <w:t>45,643</w:t>
            </w:r>
          </w:p>
        </w:tc>
        <w:tc>
          <w:tcPr>
            <w:tcW w:w="740" w:type="dxa"/>
            <w:vAlign w:val="bottom"/>
          </w:tcPr>
          <w:p>
            <w:pPr>
              <w:jc w:val="center"/>
              <w:spacing w:after="0" w:line="103" w:lineRule="exact"/>
              <w:rPr>
                <w:sz w:val="20"/>
                <w:szCs w:val="20"/>
                <w:color w:val="auto"/>
              </w:rPr>
            </w:pPr>
            <w:r>
              <w:rPr>
                <w:rFonts w:ascii="Arial" w:cs="Arial" w:eastAsia="Arial" w:hAnsi="Arial"/>
                <w:sz w:val="10"/>
                <w:szCs w:val="10"/>
                <w:color w:val="auto"/>
              </w:rPr>
              <w:t>-16.4%</w:t>
            </w:r>
          </w:p>
        </w:tc>
        <w:tc>
          <w:tcPr>
            <w:tcW w:w="7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-28.8%</w:t>
            </w:r>
          </w:p>
        </w:tc>
        <w:tc>
          <w:tcPr>
            <w:tcW w:w="600" w:type="dxa"/>
            <w:vAlign w:val="bottom"/>
          </w:tcPr>
          <w:p>
            <w:pPr>
              <w:jc w:val="center"/>
              <w:ind w:left="93"/>
              <w:spacing w:after="0" w:line="103" w:lineRule="exact"/>
              <w:rPr>
                <w:sz w:val="20"/>
                <w:szCs w:val="20"/>
                <w:color w:val="auto"/>
              </w:rPr>
            </w:pPr>
            <w:r>
              <w:rPr>
                <w:rFonts w:ascii="Arial" w:cs="Arial" w:eastAsia="Arial" w:hAnsi="Arial"/>
                <w:sz w:val="10"/>
                <w:szCs w:val="10"/>
                <w:color w:val="auto"/>
                <w:w w:val="93"/>
              </w:rPr>
              <w:t>116,018</w:t>
            </w:r>
          </w:p>
        </w:tc>
        <w:tc>
          <w:tcPr>
            <w:tcW w:w="900" w:type="dxa"/>
            <w:vAlign w:val="bottom"/>
            <w:tcBorders>
              <w:right w:val="single" w:sz="8" w:color="auto"/>
            </w:tcBorders>
          </w:tcPr>
          <w:p>
            <w:pPr>
              <w:jc w:val="center"/>
              <w:ind w:left="73"/>
              <w:spacing w:after="0" w:line="103" w:lineRule="exact"/>
              <w:rPr>
                <w:sz w:val="20"/>
                <w:szCs w:val="20"/>
                <w:color w:val="auto"/>
              </w:rPr>
            </w:pPr>
            <w:r>
              <w:rPr>
                <w:rFonts w:ascii="Arial" w:cs="Arial" w:eastAsia="Arial" w:hAnsi="Arial"/>
                <w:sz w:val="10"/>
                <w:szCs w:val="10"/>
                <w:color w:val="auto"/>
                <w:w w:val="93"/>
              </w:rPr>
              <w:t>100,212</w:t>
            </w:r>
          </w:p>
        </w:tc>
        <w:tc>
          <w:tcPr>
            <w:tcW w:w="8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-13.6%</w:t>
            </w:r>
          </w:p>
        </w:tc>
      </w:tr>
      <w:tr>
        <w:trPr>
          <w:trHeight w:val="103"/>
        </w:trPr>
        <w:tc>
          <w:tcPr>
            <w:tcW w:w="3340" w:type="dxa"/>
            <w:vAlign w:val="bottom"/>
            <w:tcBorders>
              <w:left w:val="single" w:sz="8" w:color="auto"/>
              <w:right w:val="single" w:sz="8" w:color="auto"/>
            </w:tcBorders>
          </w:tcPr>
          <w:p>
            <w:pPr>
              <w:ind w:left="260"/>
              <w:spacing w:after="0" w:line="103" w:lineRule="exact"/>
              <w:rPr>
                <w:sz w:val="20"/>
                <w:szCs w:val="20"/>
                <w:color w:val="auto"/>
              </w:rPr>
            </w:pPr>
            <w:r>
              <w:rPr>
                <w:rFonts w:ascii="Arial" w:cs="Arial" w:eastAsia="Arial" w:hAnsi="Arial"/>
                <w:sz w:val="10"/>
                <w:szCs w:val="10"/>
                <w:color w:val="auto"/>
              </w:rPr>
              <w:t>Derivative Result</w:t>
            </w:r>
          </w:p>
        </w:tc>
        <w:tc>
          <w:tcPr>
            <w:tcW w:w="760" w:type="dxa"/>
            <w:vAlign w:val="bottom"/>
          </w:tcPr>
          <w:p>
            <w:pPr>
              <w:jc w:val="center"/>
              <w:spacing w:after="0" w:line="103" w:lineRule="exact"/>
              <w:rPr>
                <w:sz w:val="20"/>
                <w:szCs w:val="20"/>
                <w:color w:val="auto"/>
              </w:rPr>
            </w:pPr>
            <w:r>
              <w:rPr>
                <w:rFonts w:ascii="Arial" w:cs="Arial" w:eastAsia="Arial" w:hAnsi="Arial"/>
                <w:sz w:val="10"/>
                <w:szCs w:val="10"/>
                <w:color w:val="auto"/>
                <w:w w:val="96"/>
              </w:rPr>
              <w:t>(21,679)</w:t>
            </w:r>
          </w:p>
        </w:tc>
        <w:tc>
          <w:tcPr>
            <w:tcW w:w="760" w:type="dxa"/>
            <w:vAlign w:val="bottom"/>
          </w:tcPr>
          <w:p>
            <w:pPr>
              <w:jc w:val="center"/>
              <w:spacing w:after="0" w:line="103" w:lineRule="exact"/>
              <w:rPr>
                <w:sz w:val="20"/>
                <w:szCs w:val="20"/>
                <w:color w:val="auto"/>
              </w:rPr>
            </w:pPr>
            <w:r>
              <w:rPr>
                <w:rFonts w:ascii="Arial" w:cs="Arial" w:eastAsia="Arial" w:hAnsi="Arial"/>
                <w:sz w:val="10"/>
                <w:szCs w:val="10"/>
                <w:color w:val="auto"/>
                <w:w w:val="97"/>
              </w:rPr>
              <w:t>22,028</w:t>
            </w:r>
          </w:p>
        </w:tc>
        <w:tc>
          <w:tcPr>
            <w:tcW w:w="7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7"/>
              </w:rPr>
              <w:t>20,551</w:t>
            </w:r>
          </w:p>
        </w:tc>
        <w:tc>
          <w:tcPr>
            <w:tcW w:w="740" w:type="dxa"/>
            <w:vAlign w:val="bottom"/>
          </w:tcPr>
          <w:p>
            <w:pPr>
              <w:jc w:val="center"/>
              <w:spacing w:after="0" w:line="103" w:lineRule="exact"/>
              <w:rPr>
                <w:sz w:val="20"/>
                <w:szCs w:val="20"/>
                <w:color w:val="auto"/>
              </w:rPr>
            </w:pPr>
            <w:r>
              <w:rPr>
                <w:rFonts w:ascii="Arial" w:cs="Arial" w:eastAsia="Arial" w:hAnsi="Arial"/>
                <w:sz w:val="10"/>
                <w:szCs w:val="10"/>
                <w:color w:val="auto"/>
                <w:w w:val="91"/>
              </w:rPr>
              <w:t>-6.7%</w:t>
            </w:r>
          </w:p>
        </w:tc>
        <w:tc>
          <w:tcPr>
            <w:tcW w:w="7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1"/>
              </w:rPr>
              <w:t>-194.8%</w:t>
            </w:r>
          </w:p>
        </w:tc>
        <w:tc>
          <w:tcPr>
            <w:tcW w:w="600" w:type="dxa"/>
            <w:vAlign w:val="bottom"/>
          </w:tcPr>
          <w:p>
            <w:pPr>
              <w:jc w:val="center"/>
              <w:ind w:left="73"/>
              <w:spacing w:after="0" w:line="103" w:lineRule="exact"/>
              <w:rPr>
                <w:sz w:val="20"/>
                <w:szCs w:val="20"/>
                <w:color w:val="auto"/>
              </w:rPr>
            </w:pPr>
            <w:r>
              <w:rPr>
                <w:rFonts w:ascii="Arial" w:cs="Arial" w:eastAsia="Arial" w:hAnsi="Arial"/>
                <w:sz w:val="10"/>
                <w:szCs w:val="10"/>
                <w:color w:val="auto"/>
                <w:w w:val="96"/>
              </w:rPr>
              <w:t>(50,537)</w:t>
            </w:r>
          </w:p>
        </w:tc>
        <w:tc>
          <w:tcPr>
            <w:tcW w:w="900" w:type="dxa"/>
            <w:vAlign w:val="bottom"/>
            <w:tcBorders>
              <w:right w:val="single" w:sz="8" w:color="auto"/>
            </w:tcBorders>
          </w:tcPr>
          <w:p>
            <w:pPr>
              <w:jc w:val="center"/>
              <w:ind w:left="73"/>
              <w:spacing w:after="0" w:line="103" w:lineRule="exact"/>
              <w:rPr>
                <w:sz w:val="20"/>
                <w:szCs w:val="20"/>
                <w:color w:val="auto"/>
              </w:rPr>
            </w:pPr>
            <w:r>
              <w:rPr>
                <w:rFonts w:ascii="Arial" w:cs="Arial" w:eastAsia="Arial" w:hAnsi="Arial"/>
                <w:sz w:val="10"/>
                <w:szCs w:val="10"/>
                <w:color w:val="auto"/>
                <w:w w:val="97"/>
              </w:rPr>
              <w:t>42,579</w:t>
            </w:r>
          </w:p>
        </w:tc>
        <w:tc>
          <w:tcPr>
            <w:tcW w:w="8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-184.3%</w:t>
            </w:r>
          </w:p>
        </w:tc>
      </w:tr>
      <w:tr>
        <w:trPr>
          <w:trHeight w:val="103"/>
        </w:trPr>
        <w:tc>
          <w:tcPr>
            <w:tcW w:w="3340" w:type="dxa"/>
            <w:vAlign w:val="bottom"/>
            <w:tcBorders>
              <w:left w:val="single" w:sz="8" w:color="auto"/>
              <w:right w:val="single" w:sz="8" w:color="auto"/>
            </w:tcBorders>
          </w:tcPr>
          <w:p>
            <w:pPr>
              <w:ind w:left="260"/>
              <w:spacing w:after="0" w:line="103" w:lineRule="exact"/>
              <w:rPr>
                <w:sz w:val="20"/>
                <w:szCs w:val="20"/>
                <w:color w:val="auto"/>
              </w:rPr>
            </w:pPr>
            <w:r>
              <w:rPr>
                <w:rFonts w:ascii="Arial" w:cs="Arial" w:eastAsia="Arial" w:hAnsi="Arial"/>
                <w:sz w:val="10"/>
                <w:szCs w:val="10"/>
                <w:color w:val="auto"/>
              </w:rPr>
              <w:t>Result from exposure to the exchange rate</w:t>
            </w:r>
          </w:p>
        </w:tc>
        <w:tc>
          <w:tcPr>
            <w:tcW w:w="760" w:type="dxa"/>
            <w:vAlign w:val="bottom"/>
          </w:tcPr>
          <w:p>
            <w:pPr>
              <w:jc w:val="center"/>
              <w:spacing w:after="0" w:line="103" w:lineRule="exact"/>
              <w:rPr>
                <w:sz w:val="20"/>
                <w:szCs w:val="20"/>
                <w:color w:val="auto"/>
              </w:rPr>
            </w:pPr>
            <w:r>
              <w:rPr>
                <w:rFonts w:ascii="Arial" w:cs="Arial" w:eastAsia="Arial" w:hAnsi="Arial"/>
                <w:sz w:val="10"/>
                <w:szCs w:val="10"/>
                <w:color w:val="auto"/>
                <w:w w:val="95"/>
              </w:rPr>
              <w:t>8,513</w:t>
            </w:r>
          </w:p>
        </w:tc>
        <w:tc>
          <w:tcPr>
            <w:tcW w:w="760" w:type="dxa"/>
            <w:vAlign w:val="bottom"/>
          </w:tcPr>
          <w:p>
            <w:pPr>
              <w:jc w:val="center"/>
              <w:spacing w:after="0" w:line="103" w:lineRule="exact"/>
              <w:rPr>
                <w:sz w:val="20"/>
                <w:szCs w:val="20"/>
                <w:color w:val="auto"/>
              </w:rPr>
            </w:pPr>
            <w:r>
              <w:rPr>
                <w:rFonts w:ascii="Arial" w:cs="Arial" w:eastAsia="Arial" w:hAnsi="Arial"/>
                <w:sz w:val="10"/>
                <w:szCs w:val="10"/>
                <w:color w:val="auto"/>
                <w:w w:val="96"/>
              </w:rPr>
              <w:t>(12,973)</w:t>
            </w:r>
          </w:p>
        </w:tc>
        <w:tc>
          <w:tcPr>
            <w:tcW w:w="78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4"/>
              </w:rPr>
              <w:t>(4,378)</w:t>
            </w:r>
          </w:p>
        </w:tc>
        <w:tc>
          <w:tcPr>
            <w:tcW w:w="740" w:type="dxa"/>
            <w:vAlign w:val="bottom"/>
          </w:tcPr>
          <w:p>
            <w:pPr>
              <w:jc w:val="center"/>
              <w:spacing w:after="0" w:line="103" w:lineRule="exact"/>
              <w:rPr>
                <w:sz w:val="20"/>
                <w:szCs w:val="20"/>
                <w:color w:val="auto"/>
              </w:rPr>
            </w:pPr>
            <w:r>
              <w:rPr>
                <w:rFonts w:ascii="Arial" w:cs="Arial" w:eastAsia="Arial" w:hAnsi="Arial"/>
                <w:sz w:val="10"/>
                <w:szCs w:val="10"/>
                <w:color w:val="auto"/>
              </w:rPr>
              <w:t>-66.3%</w:t>
            </w:r>
          </w:p>
        </w:tc>
        <w:tc>
          <w:tcPr>
            <w:tcW w:w="7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1"/>
              </w:rPr>
              <w:t>-151.4%</w:t>
            </w:r>
          </w:p>
        </w:tc>
        <w:tc>
          <w:tcPr>
            <w:tcW w:w="600" w:type="dxa"/>
            <w:vAlign w:val="bottom"/>
          </w:tcPr>
          <w:p>
            <w:pPr>
              <w:jc w:val="center"/>
              <w:ind w:left="93"/>
              <w:spacing w:after="0" w:line="103" w:lineRule="exact"/>
              <w:rPr>
                <w:sz w:val="20"/>
                <w:szCs w:val="20"/>
                <w:color w:val="auto"/>
              </w:rPr>
            </w:pPr>
            <w:r>
              <w:rPr>
                <w:rFonts w:ascii="Arial" w:cs="Arial" w:eastAsia="Arial" w:hAnsi="Arial"/>
                <w:sz w:val="10"/>
                <w:szCs w:val="10"/>
                <w:color w:val="auto"/>
                <w:w w:val="97"/>
              </w:rPr>
              <w:t>31,510</w:t>
            </w:r>
          </w:p>
        </w:tc>
        <w:tc>
          <w:tcPr>
            <w:tcW w:w="900" w:type="dxa"/>
            <w:vAlign w:val="bottom"/>
            <w:tcBorders>
              <w:right w:val="single" w:sz="8" w:color="auto"/>
            </w:tcBorders>
          </w:tcPr>
          <w:p>
            <w:pPr>
              <w:jc w:val="center"/>
              <w:ind w:left="93"/>
              <w:spacing w:after="0" w:line="103" w:lineRule="exact"/>
              <w:rPr>
                <w:sz w:val="20"/>
                <w:szCs w:val="20"/>
                <w:color w:val="auto"/>
              </w:rPr>
            </w:pPr>
            <w:r>
              <w:rPr>
                <w:rFonts w:ascii="Arial" w:cs="Arial" w:eastAsia="Arial" w:hAnsi="Arial"/>
                <w:sz w:val="10"/>
                <w:szCs w:val="10"/>
                <w:color w:val="auto"/>
                <w:w w:val="96"/>
              </w:rPr>
              <w:t>(17,351)</w:t>
            </w:r>
          </w:p>
        </w:tc>
        <w:tc>
          <w:tcPr>
            <w:tcW w:w="86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w w:val="96"/>
              </w:rPr>
              <w:t>-155.1%</w:t>
            </w:r>
          </w:p>
        </w:tc>
      </w:tr>
      <w:tr>
        <w:trPr>
          <w:trHeight w:val="97"/>
        </w:trPr>
        <w:tc>
          <w:tcPr>
            <w:tcW w:w="3340" w:type="dxa"/>
            <w:vAlign w:val="bottom"/>
            <w:tcBorders>
              <w:left w:val="single" w:sz="8" w:color="auto"/>
              <w:right w:val="single" w:sz="8" w:color="auto"/>
            </w:tcBorders>
          </w:tcPr>
          <w:p>
            <w:pPr>
              <w:ind w:left="260"/>
              <w:spacing w:after="0" w:line="97" w:lineRule="exact"/>
              <w:rPr>
                <w:sz w:val="20"/>
                <w:szCs w:val="20"/>
                <w:color w:val="auto"/>
              </w:rPr>
            </w:pPr>
            <w:r>
              <w:rPr>
                <w:rFonts w:ascii="Arial" w:cs="Arial" w:eastAsia="Arial" w:hAnsi="Arial"/>
                <w:sz w:val="10"/>
                <w:szCs w:val="10"/>
                <w:color w:val="auto"/>
              </w:rPr>
              <w:t>Other income</w:t>
            </w:r>
          </w:p>
        </w:tc>
        <w:tc>
          <w:tcPr>
            <w:tcW w:w="760" w:type="dxa"/>
            <w:vAlign w:val="bottom"/>
          </w:tcPr>
          <w:p>
            <w:pPr>
              <w:jc w:val="center"/>
              <w:spacing w:after="0" w:line="97" w:lineRule="exact"/>
              <w:rPr>
                <w:sz w:val="20"/>
                <w:szCs w:val="20"/>
                <w:color w:val="auto"/>
              </w:rPr>
            </w:pPr>
            <w:r>
              <w:rPr>
                <w:rFonts w:ascii="Arial" w:cs="Arial" w:eastAsia="Arial" w:hAnsi="Arial"/>
                <w:sz w:val="10"/>
                <w:szCs w:val="10"/>
                <w:color w:val="auto"/>
                <w:w w:val="97"/>
              </w:rPr>
              <w:t>10,301</w:t>
            </w:r>
          </w:p>
        </w:tc>
        <w:tc>
          <w:tcPr>
            <w:tcW w:w="760" w:type="dxa"/>
            <w:vAlign w:val="bottom"/>
          </w:tcPr>
          <w:p>
            <w:pPr>
              <w:jc w:val="center"/>
              <w:spacing w:after="0" w:line="97" w:lineRule="exact"/>
              <w:rPr>
                <w:sz w:val="20"/>
                <w:szCs w:val="20"/>
                <w:color w:val="auto"/>
              </w:rPr>
            </w:pPr>
            <w:r>
              <w:rPr>
                <w:rFonts w:ascii="Arial" w:cs="Arial" w:eastAsia="Arial" w:hAnsi="Arial"/>
                <w:sz w:val="10"/>
                <w:szCs w:val="10"/>
                <w:color w:val="auto"/>
                <w:w w:val="97"/>
              </w:rPr>
              <w:t>12,029</w:t>
            </w:r>
          </w:p>
        </w:tc>
        <w:tc>
          <w:tcPr>
            <w:tcW w:w="78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0"/>
                <w:szCs w:val="10"/>
                <w:color w:val="auto"/>
                <w:w w:val="95"/>
              </w:rPr>
              <w:t>6,094</w:t>
            </w:r>
          </w:p>
        </w:tc>
        <w:tc>
          <w:tcPr>
            <w:tcW w:w="740" w:type="dxa"/>
            <w:vAlign w:val="bottom"/>
          </w:tcPr>
          <w:p>
            <w:pPr>
              <w:jc w:val="center"/>
              <w:spacing w:after="0" w:line="97" w:lineRule="exact"/>
              <w:rPr>
                <w:sz w:val="20"/>
                <w:szCs w:val="20"/>
                <w:color w:val="auto"/>
              </w:rPr>
            </w:pPr>
            <w:r>
              <w:rPr>
                <w:rFonts w:ascii="Arial" w:cs="Arial" w:eastAsia="Arial" w:hAnsi="Arial"/>
                <w:sz w:val="10"/>
                <w:szCs w:val="10"/>
                <w:color w:val="auto"/>
              </w:rPr>
              <w:t>-49.3%</w:t>
            </w:r>
          </w:p>
        </w:tc>
        <w:tc>
          <w:tcPr>
            <w:tcW w:w="76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0"/>
                <w:szCs w:val="10"/>
                <w:color w:val="auto"/>
                <w:w w:val="94"/>
              </w:rPr>
              <w:t>-40.8%</w:t>
            </w:r>
          </w:p>
        </w:tc>
        <w:tc>
          <w:tcPr>
            <w:tcW w:w="600" w:type="dxa"/>
            <w:vAlign w:val="bottom"/>
          </w:tcPr>
          <w:p>
            <w:pPr>
              <w:jc w:val="center"/>
              <w:ind w:left="93"/>
              <w:spacing w:after="0" w:line="97" w:lineRule="exact"/>
              <w:rPr>
                <w:sz w:val="20"/>
                <w:szCs w:val="20"/>
                <w:color w:val="auto"/>
              </w:rPr>
            </w:pPr>
            <w:r>
              <w:rPr>
                <w:rFonts w:ascii="Arial" w:cs="Arial" w:eastAsia="Arial" w:hAnsi="Arial"/>
                <w:sz w:val="10"/>
                <w:szCs w:val="10"/>
                <w:color w:val="auto"/>
                <w:w w:val="97"/>
              </w:rPr>
              <w:t>18,100</w:t>
            </w:r>
          </w:p>
        </w:tc>
        <w:tc>
          <w:tcPr>
            <w:tcW w:w="900" w:type="dxa"/>
            <w:vAlign w:val="bottom"/>
            <w:tcBorders>
              <w:right w:val="single" w:sz="8" w:color="auto"/>
            </w:tcBorders>
          </w:tcPr>
          <w:p>
            <w:pPr>
              <w:jc w:val="center"/>
              <w:ind w:left="73"/>
              <w:spacing w:after="0" w:line="97" w:lineRule="exact"/>
              <w:rPr>
                <w:sz w:val="20"/>
                <w:szCs w:val="20"/>
                <w:color w:val="auto"/>
              </w:rPr>
            </w:pPr>
            <w:r>
              <w:rPr>
                <w:rFonts w:ascii="Arial" w:cs="Arial" w:eastAsia="Arial" w:hAnsi="Arial"/>
                <w:sz w:val="10"/>
                <w:szCs w:val="10"/>
                <w:color w:val="auto"/>
                <w:w w:val="97"/>
              </w:rPr>
              <w:t>18,123</w:t>
            </w:r>
          </w:p>
        </w:tc>
        <w:tc>
          <w:tcPr>
            <w:tcW w:w="86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0"/>
                <w:szCs w:val="10"/>
                <w:color w:val="auto"/>
                <w:w w:val="96"/>
              </w:rPr>
              <w:t>0.1%</w:t>
            </w:r>
          </w:p>
        </w:tc>
      </w:tr>
      <w:tr>
        <w:trPr>
          <w:trHeight w:val="121"/>
        </w:trPr>
        <w:tc>
          <w:tcPr>
            <w:tcW w:w="3340" w:type="dxa"/>
            <w:vAlign w:val="bottom"/>
            <w:tcBorders>
              <w:left w:val="single" w:sz="8" w:color="auto"/>
              <w:bottom w:val="single" w:sz="8" w:color="auto"/>
              <w:right w:val="single" w:sz="8" w:color="auto"/>
            </w:tcBorders>
          </w:tcPr>
          <w:p>
            <w:pPr>
              <w:ind w:left="40"/>
              <w:spacing w:after="0" w:line="122" w:lineRule="exact"/>
              <w:rPr>
                <w:sz w:val="20"/>
                <w:szCs w:val="20"/>
                <w:color w:val="auto"/>
              </w:rPr>
            </w:pPr>
            <w:r>
              <w:rPr>
                <w:rFonts w:ascii="Arial" w:cs="Arial" w:eastAsia="Arial" w:hAnsi="Arial"/>
                <w:sz w:val="9"/>
                <w:szCs w:val="9"/>
                <w:color w:val="auto"/>
              </w:rPr>
              <w:t xml:space="preserve">Operating expenses </w:t>
            </w:r>
            <w:r>
              <w:rPr>
                <w:rFonts w:ascii="Arial" w:cs="Arial" w:eastAsia="Arial" w:hAnsi="Arial"/>
                <w:sz w:val="14"/>
                <w:szCs w:val="14"/>
                <w:color w:val="auto"/>
                <w:vertAlign w:val="superscript"/>
              </w:rPr>
              <w:t>(1)</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3"/>
              </w:rPr>
              <w:t>(167,982)</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8"/>
              </w:rPr>
              <w:t>(180,091)</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8"/>
              </w:rPr>
              <w:t>(172,693)</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1"/>
              </w:rPr>
              <w:t>-4.1%</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2.8%</w:t>
            </w:r>
          </w:p>
        </w:tc>
        <w:tc>
          <w:tcPr>
            <w:tcW w:w="600" w:type="dxa"/>
            <w:vAlign w:val="bottom"/>
            <w:tcBorders>
              <w:bottom w:val="single" w:sz="8" w:color="auto"/>
            </w:tcBorders>
          </w:tcPr>
          <w:p>
            <w:pPr>
              <w:jc w:val="center"/>
              <w:ind w:left="93"/>
              <w:spacing w:after="0"/>
              <w:rPr>
                <w:sz w:val="20"/>
                <w:szCs w:val="20"/>
                <w:color w:val="auto"/>
              </w:rPr>
            </w:pPr>
            <w:r>
              <w:rPr>
                <w:rFonts w:ascii="Arial" w:cs="Arial" w:eastAsia="Arial" w:hAnsi="Arial"/>
                <w:sz w:val="10"/>
                <w:szCs w:val="10"/>
                <w:color w:val="auto"/>
                <w:w w:val="98"/>
              </w:rPr>
              <w:t>(331,091)</w:t>
            </w:r>
          </w:p>
        </w:tc>
        <w:tc>
          <w:tcPr>
            <w:tcW w:w="900" w:type="dxa"/>
            <w:vAlign w:val="bottom"/>
            <w:tcBorders>
              <w:bottom w:val="single" w:sz="8" w:color="auto"/>
              <w:right w:val="single" w:sz="8" w:color="auto"/>
            </w:tcBorders>
          </w:tcPr>
          <w:p>
            <w:pPr>
              <w:jc w:val="center"/>
              <w:ind w:left="73"/>
              <w:spacing w:after="0"/>
              <w:rPr>
                <w:sz w:val="20"/>
                <w:szCs w:val="20"/>
                <w:color w:val="auto"/>
              </w:rPr>
            </w:pPr>
            <w:r>
              <w:rPr>
                <w:rFonts w:ascii="Arial" w:cs="Arial" w:eastAsia="Arial" w:hAnsi="Arial"/>
                <w:sz w:val="10"/>
                <w:szCs w:val="10"/>
                <w:color w:val="auto"/>
                <w:w w:val="98"/>
              </w:rPr>
              <w:t>(352,784)</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6.6%</w:t>
            </w:r>
          </w:p>
        </w:tc>
      </w:tr>
      <w:tr>
        <w:trPr>
          <w:trHeight w:val="93"/>
        </w:trPr>
        <w:tc>
          <w:tcPr>
            <w:tcW w:w="3340" w:type="dxa"/>
            <w:vAlign w:val="bottom"/>
            <w:tcBorders>
              <w:left w:val="single" w:sz="8" w:color="auto"/>
              <w:bottom w:val="single" w:sz="8" w:color="auto"/>
              <w:right w:val="single" w:sz="8" w:color="auto"/>
            </w:tcBorders>
          </w:tcPr>
          <w:p>
            <w:pPr>
              <w:ind w:left="40"/>
              <w:spacing w:after="0" w:line="93" w:lineRule="exact"/>
              <w:rPr>
                <w:sz w:val="20"/>
                <w:szCs w:val="20"/>
                <w:color w:val="auto"/>
              </w:rPr>
            </w:pPr>
            <w:r>
              <w:rPr>
                <w:rFonts w:ascii="Arial" w:cs="Arial" w:eastAsia="Arial" w:hAnsi="Arial"/>
                <w:sz w:val="10"/>
                <w:szCs w:val="10"/>
                <w:b w:val="1"/>
                <w:bCs w:val="1"/>
                <w:color w:val="auto"/>
              </w:rPr>
              <w:t>Operating income</w:t>
            </w:r>
          </w:p>
        </w:tc>
        <w:tc>
          <w:tcPr>
            <w:tcW w:w="76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7"/>
              </w:rPr>
              <w:t>60,759</w:t>
            </w:r>
          </w:p>
        </w:tc>
        <w:tc>
          <w:tcPr>
            <w:tcW w:w="76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7"/>
              </w:rPr>
              <w:t>59,759</w:t>
            </w:r>
          </w:p>
        </w:tc>
        <w:tc>
          <w:tcPr>
            <w:tcW w:w="78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7"/>
              </w:rPr>
              <w:t>88,398</w:t>
            </w:r>
          </w:p>
        </w:tc>
        <w:tc>
          <w:tcPr>
            <w:tcW w:w="74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8"/>
              </w:rPr>
              <w:t>47.9%</w:t>
            </w:r>
          </w:p>
        </w:tc>
        <w:tc>
          <w:tcPr>
            <w:tcW w:w="76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1"/>
              </w:rPr>
              <w:t>45.5%</w:t>
            </w:r>
          </w:p>
        </w:tc>
        <w:tc>
          <w:tcPr>
            <w:tcW w:w="600" w:type="dxa"/>
            <w:vAlign w:val="bottom"/>
            <w:tcBorders>
              <w:bottom w:val="single" w:sz="8" w:color="auto"/>
            </w:tcBorders>
          </w:tcPr>
          <w:p>
            <w:pPr>
              <w:jc w:val="center"/>
              <w:ind w:left="93"/>
              <w:spacing w:after="0" w:line="93" w:lineRule="exact"/>
              <w:rPr>
                <w:sz w:val="20"/>
                <w:szCs w:val="20"/>
                <w:color w:val="auto"/>
              </w:rPr>
            </w:pPr>
            <w:r>
              <w:rPr>
                <w:rFonts w:ascii="Arial" w:cs="Arial" w:eastAsia="Arial" w:hAnsi="Arial"/>
                <w:sz w:val="10"/>
                <w:szCs w:val="10"/>
                <w:b w:val="1"/>
                <w:bCs w:val="1"/>
                <w:color w:val="auto"/>
                <w:w w:val="93"/>
              </w:rPr>
              <w:t>112,477</w:t>
            </w:r>
          </w:p>
        </w:tc>
        <w:tc>
          <w:tcPr>
            <w:tcW w:w="900" w:type="dxa"/>
            <w:vAlign w:val="bottom"/>
            <w:tcBorders>
              <w:bottom w:val="single" w:sz="8" w:color="auto"/>
              <w:right w:val="single" w:sz="8" w:color="auto"/>
            </w:tcBorders>
          </w:tcPr>
          <w:p>
            <w:pPr>
              <w:jc w:val="center"/>
              <w:ind w:left="73"/>
              <w:spacing w:after="0" w:line="93" w:lineRule="exact"/>
              <w:rPr>
                <w:sz w:val="20"/>
                <w:szCs w:val="20"/>
                <w:color w:val="auto"/>
              </w:rPr>
            </w:pPr>
            <w:r>
              <w:rPr>
                <w:rFonts w:ascii="Arial" w:cs="Arial" w:eastAsia="Arial" w:hAnsi="Arial"/>
                <w:sz w:val="10"/>
                <w:szCs w:val="10"/>
                <w:b w:val="1"/>
                <w:bCs w:val="1"/>
                <w:color w:val="auto"/>
                <w:w w:val="93"/>
              </w:rPr>
              <w:t>148,157</w:t>
            </w:r>
          </w:p>
        </w:tc>
        <w:tc>
          <w:tcPr>
            <w:tcW w:w="86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1"/>
              </w:rPr>
              <w:t>31.7%</w:t>
            </w:r>
          </w:p>
        </w:tc>
      </w:tr>
      <w:tr>
        <w:trPr>
          <w:trHeight w:val="81"/>
        </w:trPr>
        <w:tc>
          <w:tcPr>
            <w:tcW w:w="3340" w:type="dxa"/>
            <w:vAlign w:val="bottom"/>
            <w:tcBorders>
              <w:left w:val="single" w:sz="8" w:color="auto"/>
              <w:right w:val="single" w:sz="8" w:color="auto"/>
            </w:tcBorders>
          </w:tcPr>
          <w:p>
            <w:pPr>
              <w:ind w:left="40"/>
              <w:spacing w:after="0" w:line="81" w:lineRule="exact"/>
              <w:rPr>
                <w:sz w:val="20"/>
                <w:szCs w:val="20"/>
                <w:color w:val="auto"/>
              </w:rPr>
            </w:pPr>
            <w:r>
              <w:rPr>
                <w:rFonts w:ascii="Arial" w:cs="Arial" w:eastAsia="Arial" w:hAnsi="Arial"/>
                <w:sz w:val="8"/>
                <w:szCs w:val="8"/>
                <w:color w:val="auto"/>
              </w:rPr>
              <w:t>Income taxes</w:t>
            </w:r>
          </w:p>
        </w:tc>
        <w:tc>
          <w:tcPr>
            <w:tcW w:w="760" w:type="dxa"/>
            <w:vAlign w:val="bottom"/>
          </w:tcPr>
          <w:p>
            <w:pPr>
              <w:jc w:val="center"/>
              <w:spacing w:after="0" w:line="81" w:lineRule="exact"/>
              <w:rPr>
                <w:sz w:val="20"/>
                <w:szCs w:val="20"/>
                <w:color w:val="auto"/>
              </w:rPr>
            </w:pPr>
            <w:r>
              <w:rPr>
                <w:rFonts w:ascii="Arial" w:cs="Arial" w:eastAsia="Arial" w:hAnsi="Arial"/>
                <w:sz w:val="8"/>
                <w:szCs w:val="8"/>
                <w:color w:val="auto"/>
              </w:rPr>
              <w:t>(8,840)</w:t>
            </w:r>
          </w:p>
        </w:tc>
        <w:tc>
          <w:tcPr>
            <w:tcW w:w="760" w:type="dxa"/>
            <w:vAlign w:val="bottom"/>
          </w:tcPr>
          <w:p>
            <w:pPr>
              <w:jc w:val="center"/>
              <w:spacing w:after="0" w:line="81" w:lineRule="exact"/>
              <w:rPr>
                <w:sz w:val="20"/>
                <w:szCs w:val="20"/>
                <w:color w:val="auto"/>
              </w:rPr>
            </w:pPr>
            <w:r>
              <w:rPr>
                <w:rFonts w:ascii="Arial" w:cs="Arial" w:eastAsia="Arial" w:hAnsi="Arial"/>
                <w:sz w:val="8"/>
                <w:szCs w:val="8"/>
                <w:color w:val="auto"/>
              </w:rPr>
              <w:t>(10,943)</w:t>
            </w:r>
          </w:p>
        </w:tc>
        <w:tc>
          <w:tcPr>
            <w:tcW w:w="78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(23,942)</w:t>
            </w:r>
          </w:p>
        </w:tc>
        <w:tc>
          <w:tcPr>
            <w:tcW w:w="740" w:type="dxa"/>
            <w:vAlign w:val="bottom"/>
          </w:tcPr>
          <w:p>
            <w:pPr>
              <w:jc w:val="center"/>
              <w:spacing w:after="0" w:line="81" w:lineRule="exact"/>
              <w:rPr>
                <w:sz w:val="20"/>
                <w:szCs w:val="20"/>
                <w:color w:val="auto"/>
              </w:rPr>
            </w:pPr>
            <w:r>
              <w:rPr>
                <w:rFonts w:ascii="Arial" w:cs="Arial" w:eastAsia="Arial" w:hAnsi="Arial"/>
                <w:sz w:val="8"/>
                <w:szCs w:val="8"/>
                <w:color w:val="auto"/>
              </w:rPr>
              <w:t>118.8%</w:t>
            </w:r>
          </w:p>
        </w:tc>
        <w:tc>
          <w:tcPr>
            <w:tcW w:w="76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170.8%</w:t>
            </w:r>
          </w:p>
        </w:tc>
        <w:tc>
          <w:tcPr>
            <w:tcW w:w="600" w:type="dxa"/>
            <w:vAlign w:val="bottom"/>
          </w:tcPr>
          <w:p>
            <w:pPr>
              <w:jc w:val="center"/>
              <w:ind w:left="73"/>
              <w:spacing w:after="0" w:line="81" w:lineRule="exact"/>
              <w:rPr>
                <w:sz w:val="20"/>
                <w:szCs w:val="20"/>
                <w:color w:val="auto"/>
              </w:rPr>
            </w:pPr>
            <w:r>
              <w:rPr>
                <w:rFonts w:ascii="Arial" w:cs="Arial" w:eastAsia="Arial" w:hAnsi="Arial"/>
                <w:sz w:val="8"/>
                <w:szCs w:val="8"/>
                <w:color w:val="auto"/>
              </w:rPr>
              <w:t>(16,451)</w:t>
            </w:r>
          </w:p>
        </w:tc>
        <w:tc>
          <w:tcPr>
            <w:tcW w:w="900" w:type="dxa"/>
            <w:vAlign w:val="bottom"/>
            <w:tcBorders>
              <w:right w:val="single" w:sz="8" w:color="auto"/>
            </w:tcBorders>
          </w:tcPr>
          <w:p>
            <w:pPr>
              <w:jc w:val="center"/>
              <w:ind w:left="93"/>
              <w:spacing w:after="0" w:line="81" w:lineRule="exact"/>
              <w:rPr>
                <w:sz w:val="20"/>
                <w:szCs w:val="20"/>
                <w:color w:val="auto"/>
              </w:rPr>
            </w:pPr>
            <w:r>
              <w:rPr>
                <w:rFonts w:ascii="Arial" w:cs="Arial" w:eastAsia="Arial" w:hAnsi="Arial"/>
                <w:sz w:val="8"/>
                <w:szCs w:val="8"/>
                <w:color w:val="auto"/>
              </w:rPr>
              <w:t>(34,885)</w:t>
            </w:r>
          </w:p>
        </w:tc>
        <w:tc>
          <w:tcPr>
            <w:tcW w:w="860" w:type="dxa"/>
            <w:vAlign w:val="bottom"/>
            <w:tcBorders>
              <w:right w:val="single" w:sz="8" w:color="auto"/>
            </w:tcBorders>
          </w:tcPr>
          <w:p>
            <w:pPr>
              <w:jc w:val="center"/>
              <w:spacing w:after="0" w:line="81" w:lineRule="exact"/>
              <w:rPr>
                <w:sz w:val="20"/>
                <w:szCs w:val="20"/>
                <w:color w:val="auto"/>
              </w:rPr>
            </w:pPr>
            <w:r>
              <w:rPr>
                <w:rFonts w:ascii="Arial" w:cs="Arial" w:eastAsia="Arial" w:hAnsi="Arial"/>
                <w:sz w:val="8"/>
                <w:szCs w:val="8"/>
                <w:color w:val="auto"/>
              </w:rPr>
              <w:t>112.1%</w:t>
            </w:r>
          </w:p>
        </w:tc>
      </w:tr>
      <w:tr>
        <w:trPr>
          <w:trHeight w:val="115"/>
        </w:trPr>
        <w:tc>
          <w:tcPr>
            <w:tcW w:w="3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0"/>
                <w:szCs w:val="10"/>
                <w:color w:val="auto"/>
              </w:rPr>
              <w:t>Non-controlling interest</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4"/>
              </w:rPr>
              <w:t>(1,681)</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2,576</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4"/>
              </w:rPr>
              <w:t>(2,426)</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6"/>
              </w:rPr>
              <w:t>-194.2%</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1"/>
              </w:rPr>
              <w:t>44.3%</w:t>
            </w:r>
          </w:p>
        </w:tc>
        <w:tc>
          <w:tcPr>
            <w:tcW w:w="600" w:type="dxa"/>
            <w:vAlign w:val="bottom"/>
            <w:tcBorders>
              <w:bottom w:val="single" w:sz="8" w:color="auto"/>
            </w:tcBorders>
          </w:tcPr>
          <w:p>
            <w:pPr>
              <w:jc w:val="center"/>
              <w:ind w:left="93"/>
              <w:spacing w:after="0"/>
              <w:rPr>
                <w:sz w:val="20"/>
                <w:szCs w:val="20"/>
                <w:color w:val="auto"/>
              </w:rPr>
            </w:pPr>
            <w:r>
              <w:rPr>
                <w:rFonts w:ascii="Arial" w:cs="Arial" w:eastAsia="Arial" w:hAnsi="Arial"/>
                <w:sz w:val="10"/>
                <w:szCs w:val="10"/>
                <w:color w:val="auto"/>
                <w:w w:val="94"/>
              </w:rPr>
              <w:t>(1,856)</w:t>
            </w:r>
          </w:p>
        </w:tc>
        <w:tc>
          <w:tcPr>
            <w:tcW w:w="900" w:type="dxa"/>
            <w:vAlign w:val="bottom"/>
            <w:tcBorders>
              <w:bottom w:val="single" w:sz="8" w:color="auto"/>
              <w:right w:val="single" w:sz="8" w:color="auto"/>
            </w:tcBorders>
          </w:tcPr>
          <w:p>
            <w:pPr>
              <w:jc w:val="center"/>
              <w:ind w:left="93"/>
              <w:spacing w:after="0"/>
              <w:rPr>
                <w:sz w:val="20"/>
                <w:szCs w:val="20"/>
                <w:color w:val="auto"/>
              </w:rPr>
            </w:pPr>
            <w:r>
              <w:rPr>
                <w:rFonts w:ascii="Arial" w:cs="Arial" w:eastAsia="Arial" w:hAnsi="Arial"/>
                <w:sz w:val="10"/>
                <w:szCs w:val="10"/>
                <w:color w:val="auto"/>
                <w:w w:val="95"/>
              </w:rPr>
              <w:t>150</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6"/>
              </w:rPr>
              <w:t>-108.1%</w:t>
            </w:r>
          </w:p>
        </w:tc>
      </w:tr>
      <w:tr>
        <w:trPr>
          <w:trHeight w:val="93"/>
        </w:trPr>
        <w:tc>
          <w:tcPr>
            <w:tcW w:w="3340" w:type="dxa"/>
            <w:vAlign w:val="bottom"/>
            <w:tcBorders>
              <w:left w:val="single" w:sz="8" w:color="auto"/>
              <w:bottom w:val="single" w:sz="8" w:color="auto"/>
              <w:right w:val="single" w:sz="8" w:color="auto"/>
            </w:tcBorders>
          </w:tcPr>
          <w:p>
            <w:pPr>
              <w:ind w:left="40"/>
              <w:spacing w:after="0" w:line="93" w:lineRule="exact"/>
              <w:rPr>
                <w:sz w:val="20"/>
                <w:szCs w:val="20"/>
                <w:color w:val="auto"/>
              </w:rPr>
            </w:pPr>
            <w:r>
              <w:rPr>
                <w:rFonts w:ascii="Arial" w:cs="Arial" w:eastAsia="Arial" w:hAnsi="Arial"/>
                <w:sz w:val="10"/>
                <w:szCs w:val="10"/>
                <w:b w:val="1"/>
                <w:bCs w:val="1"/>
                <w:color w:val="auto"/>
              </w:rPr>
              <w:t>Net income</w:t>
            </w:r>
          </w:p>
        </w:tc>
        <w:tc>
          <w:tcPr>
            <w:tcW w:w="76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7"/>
              </w:rPr>
              <w:t>53,600</w:t>
            </w:r>
          </w:p>
        </w:tc>
        <w:tc>
          <w:tcPr>
            <w:tcW w:w="76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7"/>
              </w:rPr>
              <w:t>46,240</w:t>
            </w:r>
          </w:p>
        </w:tc>
        <w:tc>
          <w:tcPr>
            <w:tcW w:w="78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7"/>
              </w:rPr>
              <w:t>66,882</w:t>
            </w:r>
          </w:p>
        </w:tc>
        <w:tc>
          <w:tcPr>
            <w:tcW w:w="740" w:type="dxa"/>
            <w:vAlign w:val="bottom"/>
            <w:tcBorders>
              <w:bottom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8"/>
              </w:rPr>
              <w:t>44.6%</w:t>
            </w:r>
          </w:p>
        </w:tc>
        <w:tc>
          <w:tcPr>
            <w:tcW w:w="76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1"/>
              </w:rPr>
              <w:t>24.8%</w:t>
            </w:r>
          </w:p>
        </w:tc>
        <w:tc>
          <w:tcPr>
            <w:tcW w:w="600" w:type="dxa"/>
            <w:vAlign w:val="bottom"/>
            <w:tcBorders>
              <w:bottom w:val="single" w:sz="8" w:color="auto"/>
            </w:tcBorders>
          </w:tcPr>
          <w:p>
            <w:pPr>
              <w:jc w:val="center"/>
              <w:ind w:left="93"/>
              <w:spacing w:after="0" w:line="93" w:lineRule="exact"/>
              <w:rPr>
                <w:sz w:val="20"/>
                <w:szCs w:val="20"/>
                <w:color w:val="auto"/>
              </w:rPr>
            </w:pPr>
            <w:r>
              <w:rPr>
                <w:rFonts w:ascii="Arial" w:cs="Arial" w:eastAsia="Arial" w:hAnsi="Arial"/>
                <w:sz w:val="10"/>
                <w:szCs w:val="10"/>
                <w:b w:val="1"/>
                <w:bCs w:val="1"/>
                <w:color w:val="auto"/>
                <w:w w:val="97"/>
              </w:rPr>
              <w:t>97,882</w:t>
            </w:r>
          </w:p>
        </w:tc>
        <w:tc>
          <w:tcPr>
            <w:tcW w:w="900" w:type="dxa"/>
            <w:vAlign w:val="bottom"/>
            <w:tcBorders>
              <w:bottom w:val="single" w:sz="8" w:color="auto"/>
              <w:right w:val="single" w:sz="8" w:color="auto"/>
            </w:tcBorders>
          </w:tcPr>
          <w:p>
            <w:pPr>
              <w:jc w:val="center"/>
              <w:ind w:left="73"/>
              <w:spacing w:after="0" w:line="93" w:lineRule="exact"/>
              <w:rPr>
                <w:sz w:val="20"/>
                <w:szCs w:val="20"/>
                <w:color w:val="auto"/>
              </w:rPr>
            </w:pPr>
            <w:r>
              <w:rPr>
                <w:rFonts w:ascii="Arial" w:cs="Arial" w:eastAsia="Arial" w:hAnsi="Arial"/>
                <w:sz w:val="10"/>
                <w:szCs w:val="10"/>
                <w:b w:val="1"/>
                <w:bCs w:val="1"/>
                <w:color w:val="auto"/>
                <w:w w:val="93"/>
              </w:rPr>
              <w:t>113,122</w:t>
            </w:r>
          </w:p>
        </w:tc>
        <w:tc>
          <w:tcPr>
            <w:tcW w:w="860" w:type="dxa"/>
            <w:vAlign w:val="bottom"/>
            <w:tcBorders>
              <w:bottom w:val="single" w:sz="8" w:color="auto"/>
              <w:right w:val="single" w:sz="8" w:color="auto"/>
            </w:tcBorders>
          </w:tcPr>
          <w:p>
            <w:pPr>
              <w:jc w:val="center"/>
              <w:spacing w:after="0" w:line="93" w:lineRule="exact"/>
              <w:rPr>
                <w:sz w:val="20"/>
                <w:szCs w:val="20"/>
                <w:color w:val="auto"/>
              </w:rPr>
            </w:pPr>
            <w:r>
              <w:rPr>
                <w:rFonts w:ascii="Arial" w:cs="Arial" w:eastAsia="Arial" w:hAnsi="Arial"/>
                <w:sz w:val="10"/>
                <w:szCs w:val="10"/>
                <w:b w:val="1"/>
                <w:bCs w:val="1"/>
                <w:color w:val="auto"/>
                <w:w w:val="91"/>
              </w:rPr>
              <w:t>15.6%</w:t>
            </w:r>
          </w:p>
        </w:tc>
      </w:tr>
    </w:tbl>
    <w:p>
      <w:pPr>
        <w:spacing w:after="0" w:line="138" w:lineRule="exact"/>
        <w:rPr>
          <w:sz w:val="20"/>
          <w:szCs w:val="20"/>
          <w:color w:val="auto"/>
        </w:rPr>
      </w:pPr>
    </w:p>
    <w:p>
      <w:pPr>
        <w:ind w:left="1660"/>
        <w:spacing w:after="0"/>
        <w:rPr>
          <w:sz w:val="20"/>
          <w:szCs w:val="20"/>
          <w:color w:val="auto"/>
        </w:rPr>
      </w:pPr>
      <w:r>
        <w:rPr>
          <w:rFonts w:ascii="Arial" w:cs="Arial" w:eastAsia="Arial" w:hAnsi="Arial"/>
          <w:sz w:val="10"/>
          <w:szCs w:val="10"/>
          <w:color w:val="auto"/>
        </w:rPr>
        <w:t>* Includes ASB and Credicorp Capital. Does not include Wealth Management at BCP.</w:t>
      </w:r>
    </w:p>
    <w:p>
      <w:pPr>
        <w:ind w:left="1660"/>
        <w:spacing w:after="0"/>
        <w:rPr>
          <w:sz w:val="20"/>
          <w:szCs w:val="20"/>
          <w:color w:val="auto"/>
        </w:rPr>
      </w:pPr>
      <w:r>
        <w:rPr>
          <w:rFonts w:ascii="Arial" w:cs="Arial" w:eastAsia="Arial" w:hAnsi="Arial"/>
          <w:sz w:val="10"/>
          <w:szCs w:val="10"/>
          <w:color w:val="auto"/>
        </w:rPr>
        <w:t>(1) Includes: Salaries and employee’s benefits + Administrative expenses + Assigned expenses + Depreciation and amortization + Tax and contributions +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759460</wp:posOffset>
            </wp:positionV>
            <wp:extent cx="7164705" cy="133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99695</wp:posOffset>
            </wp:positionV>
            <wp:extent cx="1502410" cy="4438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5263515</wp:posOffset>
            </wp:positionH>
            <wp:positionV relativeFrom="paragraph">
              <wp:posOffset>217170</wp:posOffset>
            </wp:positionV>
            <wp:extent cx="1750695" cy="3263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750695" cy="326390"/>
                    </a:xfrm>
                    <a:prstGeom prst="rect">
                      <a:avLst/>
                    </a:prstGeom>
                    <a:noFill/>
                  </pic:spPr>
                </pic:pic>
              </a:graphicData>
            </a:graphic>
          </wp:anchor>
        </w:drawing>
      </w:r>
    </w:p>
    <w:p>
      <w:pPr>
        <w:sectPr>
          <w:pgSz w:w="11900" w:h="16838" w:orient="portrait"/>
          <w:cols w:equalWidth="0" w:num="1">
            <w:col w:w="10240"/>
          </w:cols>
          <w:pgMar w:left="540" w:top="300" w:right="1119" w:bottom="1440" w:gutter="0" w:footer="0" w:header="0"/>
        </w:sectPr>
      </w:pPr>
    </w:p>
    <w:bookmarkStart w:id="71" w:name="page72"/>
    <w:bookmarkEnd w:id="71"/>
    <w:p>
      <w:pPr>
        <w:jc w:val="both"/>
        <w:ind w:left="2718"/>
        <w:spacing w:after="0"/>
        <w:tabs>
          <w:tab w:leader="none" w:pos="2917" w:val="left"/>
          <w:tab w:leader="none" w:pos="7917"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102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64705" cy="581025"/>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156" w:lineRule="exact"/>
        <w:rPr>
          <w:sz w:val="20"/>
          <w:szCs w:val="20"/>
          <w:color w:val="auto"/>
        </w:rPr>
      </w:pPr>
    </w:p>
    <w:p>
      <w:pPr>
        <w:ind w:left="238"/>
        <w:spacing w:after="0"/>
        <w:rPr>
          <w:sz w:val="20"/>
          <w:szCs w:val="20"/>
          <w:color w:val="auto"/>
        </w:rPr>
      </w:pPr>
      <w:r>
        <w:rPr>
          <w:rFonts w:ascii="Arial" w:cs="Arial" w:eastAsia="Arial" w:hAnsi="Arial"/>
          <w:sz w:val="16"/>
          <w:szCs w:val="16"/>
          <w:b w:val="1"/>
          <w:bCs w:val="1"/>
          <w:color w:val="FFFFFF"/>
        </w:rPr>
        <w:t>12. Appendix</w:t>
      </w:r>
    </w:p>
    <w:p>
      <w:pPr>
        <w:spacing w:after="0" w:line="244" w:lineRule="exact"/>
        <w:rPr>
          <w:sz w:val="20"/>
          <w:szCs w:val="20"/>
          <w:color w:val="auto"/>
        </w:rPr>
      </w:pPr>
    </w:p>
    <w:tbl>
      <w:tblPr>
        <w:tblLayout w:type="fixed"/>
        <w:tblInd w:w="868" w:type="dxa"/>
        <w:tblCellMar>
          <w:top w:w="0" w:type="dxa"/>
          <w:left w:w="0" w:type="dxa"/>
          <w:bottom w:w="0" w:type="dxa"/>
          <w:right w:w="0" w:type="dxa"/>
        </w:tblCellMar>
      </w:tblPr>
      <w:tr>
        <w:trPr>
          <w:trHeight w:val="188"/>
        </w:trPr>
        <w:tc>
          <w:tcPr>
            <w:tcW w:w="400" w:type="dxa"/>
            <w:vAlign w:val="bottom"/>
          </w:tcPr>
          <w:p>
            <w:pPr>
              <w:jc w:val="right"/>
              <w:ind w:right="49"/>
              <w:spacing w:after="0"/>
              <w:rPr>
                <w:sz w:val="20"/>
                <w:szCs w:val="20"/>
                <w:color w:val="auto"/>
              </w:rPr>
            </w:pPr>
            <w:r>
              <w:rPr>
                <w:rFonts w:ascii="Arial" w:cs="Arial" w:eastAsia="Arial" w:hAnsi="Arial"/>
                <w:sz w:val="14"/>
                <w:szCs w:val="14"/>
                <w:b w:val="1"/>
                <w:bCs w:val="1"/>
                <w:color w:val="auto"/>
                <w:w w:val="89"/>
              </w:rPr>
              <w:t>12.7.</w:t>
            </w:r>
          </w:p>
        </w:tc>
        <w:tc>
          <w:tcPr>
            <w:tcW w:w="3160" w:type="dxa"/>
            <w:vAlign w:val="bottom"/>
            <w:gridSpan w:val="3"/>
          </w:tcPr>
          <w:p>
            <w:pPr>
              <w:ind w:left="80"/>
              <w:spacing w:after="0"/>
              <w:rPr>
                <w:sz w:val="20"/>
                <w:szCs w:val="20"/>
                <w:color w:val="auto"/>
              </w:rPr>
            </w:pPr>
            <w:r>
              <w:rPr>
                <w:rFonts w:ascii="Arial" w:cs="Arial" w:eastAsia="Arial" w:hAnsi="Arial"/>
                <w:sz w:val="14"/>
                <w:szCs w:val="14"/>
                <w:b w:val="1"/>
                <w:bCs w:val="1"/>
                <w:color w:val="auto"/>
              </w:rPr>
              <w:t>Table of calculations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auto"/>
              <w:bottom w:val="single" w:sz="8" w:color="auto"/>
            </w:tcBorders>
            <w:shd w:val="clear" w:color="auto" w:fill="2AD2C8"/>
          </w:tcPr>
          <w:p>
            <w:pPr>
              <w:spacing w:after="0"/>
              <w:rPr>
                <w:sz w:val="18"/>
                <w:szCs w:val="18"/>
                <w:color w:val="auto"/>
              </w:rPr>
            </w:pPr>
          </w:p>
        </w:tc>
        <w:tc>
          <w:tcPr>
            <w:tcW w:w="400" w:type="dxa"/>
            <w:vAlign w:val="bottom"/>
            <w:tcBorders>
              <w:bottom w:val="single" w:sz="8" w:color="auto"/>
              <w:right w:val="single" w:sz="8" w:color="2AD2C8"/>
            </w:tcBorders>
            <w:shd w:val="clear" w:color="auto" w:fill="2AD2C8"/>
          </w:tcPr>
          <w:p>
            <w:pPr>
              <w:spacing w:after="0"/>
              <w:rPr>
                <w:sz w:val="18"/>
                <w:szCs w:val="18"/>
                <w:color w:val="auto"/>
              </w:rPr>
            </w:pPr>
          </w:p>
        </w:tc>
        <w:tc>
          <w:tcPr>
            <w:tcW w:w="1300" w:type="dxa"/>
            <w:vAlign w:val="bottom"/>
            <w:tcBorders>
              <w:bottom w:val="single" w:sz="8" w:color="auto"/>
              <w:right w:val="single" w:sz="8" w:color="2AD2C8"/>
            </w:tcBorders>
            <w:shd w:val="clear" w:color="auto" w:fill="2AD2C8"/>
          </w:tcPr>
          <w:p>
            <w:pPr>
              <w:spacing w:after="0"/>
              <w:rPr>
                <w:sz w:val="18"/>
                <w:szCs w:val="18"/>
                <w:color w:val="auto"/>
              </w:rPr>
            </w:pPr>
          </w:p>
        </w:tc>
        <w:tc>
          <w:tcPr>
            <w:tcW w:w="1460" w:type="dxa"/>
            <w:vAlign w:val="bottom"/>
            <w:tcBorders>
              <w:bottom w:val="single" w:sz="8" w:color="auto"/>
            </w:tcBorders>
            <w:shd w:val="clear" w:color="auto" w:fill="2AD2C8"/>
          </w:tcPr>
          <w:p>
            <w:pPr>
              <w:spacing w:after="0"/>
              <w:rPr>
                <w:sz w:val="18"/>
                <w:szCs w:val="18"/>
                <w:color w:val="auto"/>
              </w:rPr>
            </w:pPr>
          </w:p>
        </w:tc>
        <w:tc>
          <w:tcPr>
            <w:tcW w:w="240" w:type="dxa"/>
            <w:vAlign w:val="bottom"/>
            <w:tcBorders>
              <w:bottom w:val="single" w:sz="8" w:color="auto"/>
            </w:tcBorders>
            <w:shd w:val="clear" w:color="auto" w:fill="2AD2C8"/>
          </w:tcPr>
          <w:p>
            <w:pPr>
              <w:spacing w:after="0"/>
              <w:rPr>
                <w:sz w:val="18"/>
                <w:szCs w:val="18"/>
                <w:color w:val="auto"/>
              </w:rPr>
            </w:pPr>
          </w:p>
        </w:tc>
        <w:tc>
          <w:tcPr>
            <w:tcW w:w="20" w:type="dxa"/>
            <w:vAlign w:val="bottom"/>
            <w:tcBorders>
              <w:bottom w:val="single" w:sz="8" w:color="auto"/>
            </w:tcBorders>
            <w:shd w:val="clear" w:color="auto" w:fill="2AD2C8"/>
          </w:tcPr>
          <w:p>
            <w:pPr>
              <w:spacing w:after="0"/>
              <w:rPr>
                <w:sz w:val="18"/>
                <w:szCs w:val="18"/>
                <w:color w:val="auto"/>
              </w:rPr>
            </w:pPr>
          </w:p>
        </w:tc>
        <w:tc>
          <w:tcPr>
            <w:tcW w:w="140" w:type="dxa"/>
            <w:vAlign w:val="bottom"/>
            <w:tcBorders>
              <w:bottom w:val="single" w:sz="8" w:color="auto"/>
            </w:tcBorders>
            <w:shd w:val="clear" w:color="auto" w:fill="2AD2C8"/>
          </w:tcPr>
          <w:p>
            <w:pPr>
              <w:spacing w:after="0"/>
              <w:rPr>
                <w:sz w:val="18"/>
                <w:szCs w:val="18"/>
                <w:color w:val="auto"/>
              </w:rPr>
            </w:pPr>
          </w:p>
        </w:tc>
        <w:tc>
          <w:tcPr>
            <w:tcW w:w="5640" w:type="dxa"/>
            <w:vAlign w:val="bottom"/>
            <w:tcBorders>
              <w:bottom w:val="single" w:sz="8" w:color="auto"/>
              <w:right w:val="single" w:sz="8" w:color="auto"/>
            </w:tcBorders>
            <w:gridSpan w:val="21"/>
            <w:shd w:val="clear" w:color="auto" w:fill="2AD2C8"/>
          </w:tcPr>
          <w:p>
            <w:pPr>
              <w:ind w:left="300"/>
              <w:spacing w:after="0"/>
              <w:rPr>
                <w:sz w:val="20"/>
                <w:szCs w:val="20"/>
                <w:color w:val="auto"/>
              </w:rPr>
            </w:pPr>
            <w:r>
              <w:rPr>
                <w:rFonts w:ascii="Arial" w:cs="Arial" w:eastAsia="Arial" w:hAnsi="Arial"/>
                <w:sz w:val="10"/>
                <w:szCs w:val="10"/>
                <w:b w:val="1"/>
                <w:bCs w:val="1"/>
                <w:color w:val="FFFFFF"/>
              </w:rPr>
              <w:t xml:space="preserve">Table of calculations </w:t>
            </w:r>
            <w:r>
              <w:rPr>
                <w:rFonts w:ascii="Arial" w:cs="Arial" w:eastAsia="Arial" w:hAnsi="Arial"/>
                <w:sz w:val="15"/>
                <w:szCs w:val="15"/>
                <w:color w:val="FFFFFF"/>
                <w:vertAlign w:val="superscript"/>
              </w:rPr>
              <w:t>(1)</w:t>
            </w:r>
          </w:p>
        </w:tc>
        <w:tc>
          <w:tcPr>
            <w:tcW w:w="0" w:type="dxa"/>
            <w:vAlign w:val="bottom"/>
          </w:tcPr>
          <w:p>
            <w:pPr>
              <w:spacing w:after="0"/>
              <w:rPr>
                <w:sz w:val="1"/>
                <w:szCs w:val="1"/>
                <w:color w:val="auto"/>
              </w:rPr>
            </w:pPr>
          </w:p>
        </w:tc>
      </w:tr>
      <w:tr>
        <w:trPr>
          <w:trHeight w:val="142"/>
        </w:trPr>
        <w:tc>
          <w:tcPr>
            <w:tcW w:w="400" w:type="dxa"/>
            <w:vAlign w:val="bottom"/>
            <w:tcBorders>
              <w:lef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0"/>
                <w:szCs w:val="10"/>
                <w:b w:val="1"/>
                <w:bCs w:val="1"/>
                <w:color w:val="auto"/>
              </w:rPr>
              <w:t>Interest earning assets</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60" w:type="dxa"/>
            <w:vAlign w:val="bottom"/>
            <w:tcBorders>
              <w:right w:val="single" w:sz="8" w:color="auto"/>
            </w:tcBorders>
            <w:gridSpan w:val="16"/>
          </w:tcPr>
          <w:p>
            <w:pPr>
              <w:jc w:val="center"/>
              <w:ind w:right="2880"/>
              <w:spacing w:after="0"/>
              <w:rPr>
                <w:sz w:val="20"/>
                <w:szCs w:val="20"/>
                <w:color w:val="auto"/>
              </w:rPr>
            </w:pPr>
            <w:r>
              <w:rPr>
                <w:rFonts w:ascii="Times New Roman" w:cs="Times New Roman" w:eastAsia="Times New Roman" w:hAnsi="Times New Roman"/>
                <w:sz w:val="10"/>
                <w:szCs w:val="10"/>
                <w:color w:val="auto"/>
                <w:w w:val="94"/>
              </w:rPr>
              <w:t>Cash and due from banks + Total investments</w:t>
            </w:r>
          </w:p>
        </w:tc>
        <w:tc>
          <w:tcPr>
            <w:tcW w:w="0" w:type="dxa"/>
            <w:vAlign w:val="bottom"/>
          </w:tcPr>
          <w:p>
            <w:pPr>
              <w:spacing w:after="0"/>
              <w:rPr>
                <w:sz w:val="1"/>
                <w:szCs w:val="1"/>
                <w:color w:val="auto"/>
              </w:rPr>
            </w:pPr>
          </w:p>
        </w:tc>
      </w:tr>
      <w:tr>
        <w:trPr>
          <w:trHeight w:val="78"/>
        </w:trPr>
        <w:tc>
          <w:tcPr>
            <w:tcW w:w="400" w:type="dxa"/>
            <w:vAlign w:val="bottom"/>
            <w:tcBorders>
              <w:left w:val="single" w:sz="8" w:color="auto"/>
            </w:tcBorders>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vMerge w:val="continue"/>
          </w:tcPr>
          <w:p>
            <w:pPr>
              <w:spacing w:after="0"/>
              <w:rPr>
                <w:sz w:val="6"/>
                <w:szCs w:val="6"/>
                <w:color w:val="auto"/>
              </w:rPr>
            </w:pPr>
          </w:p>
        </w:tc>
        <w:tc>
          <w:tcPr>
            <w:tcW w:w="1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40" w:type="dxa"/>
            <w:vAlign w:val="bottom"/>
            <w:tcBorders>
              <w:right w:val="single" w:sz="8" w:color="auto"/>
            </w:tcBorders>
            <w:gridSpan w:val="21"/>
            <w:vMerge w:val="restart"/>
          </w:tcPr>
          <w:p>
            <w:pPr>
              <w:jc w:val="center"/>
              <w:ind w:right="1900"/>
              <w:spacing w:after="0"/>
              <w:rPr>
                <w:sz w:val="20"/>
                <w:szCs w:val="20"/>
                <w:color w:val="auto"/>
              </w:rPr>
            </w:pPr>
            <w:r>
              <w:rPr>
                <w:rFonts w:ascii="Times New Roman" w:cs="Times New Roman" w:eastAsia="Times New Roman" w:hAnsi="Times New Roman"/>
                <w:sz w:val="10"/>
                <w:szCs w:val="10"/>
                <w:color w:val="auto"/>
                <w:w w:val="95"/>
              </w:rPr>
              <w:t>+ Cash collateral, reverse repurchase agreements and securities borrowing + Loans</w:t>
            </w:r>
          </w:p>
        </w:tc>
        <w:tc>
          <w:tcPr>
            <w:tcW w:w="0" w:type="dxa"/>
            <w:vAlign w:val="bottom"/>
          </w:tcPr>
          <w:p>
            <w:pPr>
              <w:spacing w:after="0"/>
              <w:rPr>
                <w:sz w:val="1"/>
                <w:szCs w:val="1"/>
                <w:color w:val="auto"/>
              </w:rPr>
            </w:pPr>
          </w:p>
        </w:tc>
      </w:tr>
      <w:tr>
        <w:trPr>
          <w:trHeight w:val="45"/>
        </w:trPr>
        <w:tc>
          <w:tcPr>
            <w:tcW w:w="400" w:type="dxa"/>
            <w:vAlign w:val="bottom"/>
            <w:tcBorders>
              <w:left w:val="single" w:sz="8" w:color="auto"/>
            </w:tcBorders>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1300" w:type="dxa"/>
            <w:vAlign w:val="bottom"/>
            <w:tcBorders>
              <w:right w:val="single" w:sz="8" w:color="auto"/>
            </w:tcBorders>
          </w:tcPr>
          <w:p>
            <w:pPr>
              <w:spacing w:after="0"/>
              <w:rPr>
                <w:sz w:val="3"/>
                <w:szCs w:val="3"/>
                <w:color w:val="auto"/>
              </w:rPr>
            </w:pPr>
          </w:p>
        </w:tc>
        <w:tc>
          <w:tcPr>
            <w:tcW w:w="1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40" w:type="dxa"/>
            <w:vAlign w:val="bottom"/>
            <w:tcBorders>
              <w:right w:val="single" w:sz="8" w:color="auto"/>
            </w:tcBorders>
            <w:gridSpan w:val="21"/>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auto"/>
            </w:tcBorders>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400" w:type="dxa"/>
            <w:vAlign w:val="bottom"/>
            <w:tcBorders>
              <w:lef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ind w:left="20"/>
              <w:spacing w:after="0"/>
              <w:rPr>
                <w:sz w:val="20"/>
                <w:szCs w:val="20"/>
                <w:color w:val="auto"/>
              </w:rPr>
            </w:pPr>
            <w:r>
              <w:rPr>
                <w:rFonts w:ascii="Arial" w:cs="Arial" w:eastAsia="Arial" w:hAnsi="Arial"/>
                <w:sz w:val="10"/>
                <w:szCs w:val="10"/>
                <w:b w:val="1"/>
                <w:bCs w:val="1"/>
                <w:color w:val="auto"/>
              </w:rPr>
              <w:t>Funding</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40" w:type="dxa"/>
            <w:vAlign w:val="bottom"/>
            <w:tcBorders>
              <w:right w:val="single" w:sz="8" w:color="auto"/>
            </w:tcBorders>
            <w:gridSpan w:val="21"/>
          </w:tcPr>
          <w:p>
            <w:pPr>
              <w:jc w:val="center"/>
              <w:ind w:right="1900"/>
              <w:spacing w:after="0"/>
              <w:rPr>
                <w:sz w:val="20"/>
                <w:szCs w:val="20"/>
                <w:color w:val="auto"/>
              </w:rPr>
            </w:pPr>
            <w:r>
              <w:rPr>
                <w:rFonts w:ascii="Times New Roman" w:cs="Times New Roman" w:eastAsia="Times New Roman" w:hAnsi="Times New Roman"/>
                <w:sz w:val="10"/>
                <w:szCs w:val="10"/>
                <w:color w:val="auto"/>
                <w:w w:val="95"/>
              </w:rPr>
              <w:t>Deposits and obligations + Due to banks and correspondents + BCRP instruments</w:t>
            </w:r>
          </w:p>
        </w:tc>
        <w:tc>
          <w:tcPr>
            <w:tcW w:w="0" w:type="dxa"/>
            <w:vAlign w:val="bottom"/>
          </w:tcPr>
          <w:p>
            <w:pPr>
              <w:spacing w:after="0"/>
              <w:rPr>
                <w:sz w:val="1"/>
                <w:szCs w:val="1"/>
                <w:color w:val="auto"/>
              </w:rPr>
            </w:pPr>
          </w:p>
        </w:tc>
      </w:tr>
      <w:tr>
        <w:trPr>
          <w:trHeight w:val="124"/>
        </w:trPr>
        <w:tc>
          <w:tcPr>
            <w:tcW w:w="400" w:type="dxa"/>
            <w:vAlign w:val="bottom"/>
            <w:tcBorders>
              <w:lef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1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40" w:type="dxa"/>
            <w:vAlign w:val="bottom"/>
            <w:tcBorders>
              <w:right w:val="single" w:sz="8" w:color="auto"/>
            </w:tcBorders>
            <w:gridSpan w:val="21"/>
          </w:tcPr>
          <w:p>
            <w:pPr>
              <w:jc w:val="center"/>
              <w:ind w:right="1900"/>
              <w:spacing w:after="0"/>
              <w:rPr>
                <w:sz w:val="20"/>
                <w:szCs w:val="20"/>
                <w:color w:val="auto"/>
              </w:rPr>
            </w:pPr>
            <w:r>
              <w:rPr>
                <w:rFonts w:ascii="Times New Roman" w:cs="Times New Roman" w:eastAsia="Times New Roman" w:hAnsi="Times New Roman"/>
                <w:sz w:val="10"/>
                <w:szCs w:val="10"/>
                <w:color w:val="auto"/>
                <w:w w:val="95"/>
              </w:rPr>
              <w:t>+ Repurchase agreements with clients and third parties + Bonds and notes issued</w:t>
            </w:r>
          </w:p>
        </w:tc>
        <w:tc>
          <w:tcPr>
            <w:tcW w:w="0" w:type="dxa"/>
            <w:vAlign w:val="bottom"/>
          </w:tcPr>
          <w:p>
            <w:pPr>
              <w:spacing w:after="0"/>
              <w:rPr>
                <w:sz w:val="1"/>
                <w:szCs w:val="1"/>
                <w:color w:val="auto"/>
              </w:rPr>
            </w:pPr>
          </w:p>
        </w:tc>
      </w:tr>
      <w:tr>
        <w:trPr>
          <w:trHeight w:val="54"/>
        </w:trPr>
        <w:tc>
          <w:tcPr>
            <w:tcW w:w="400" w:type="dxa"/>
            <w:vAlign w:val="bottom"/>
            <w:tcBorders>
              <w:left w:val="single" w:sz="8" w:color="auto"/>
            </w:tcBorders>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400" w:type="dxa"/>
            <w:vAlign w:val="bottom"/>
            <w:tcBorders>
              <w:lef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0"/>
                <w:szCs w:val="10"/>
                <w:b w:val="1"/>
                <w:bCs w:val="1"/>
                <w:color w:val="auto"/>
              </w:rPr>
              <w:t>Net Interest Margin (NIM)</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160" w:type="dxa"/>
            <w:vAlign w:val="bottom"/>
            <w:tcBorders>
              <w:right w:val="single" w:sz="8" w:color="auto"/>
            </w:tcBorders>
            <w:gridSpan w:val="19"/>
          </w:tcPr>
          <w:p>
            <w:pPr>
              <w:jc w:val="center"/>
              <w:ind w:right="2460"/>
              <w:spacing w:after="0"/>
              <w:rPr>
                <w:sz w:val="20"/>
                <w:szCs w:val="20"/>
                <w:color w:val="auto"/>
              </w:rPr>
            </w:pPr>
            <w:r>
              <w:rPr>
                <w:rFonts w:ascii="Times New Roman" w:cs="Times New Roman" w:eastAsia="Times New Roman" w:hAnsi="Times New Roman"/>
                <w:sz w:val="10"/>
                <w:szCs w:val="10"/>
                <w:color w:val="auto"/>
                <w:w w:val="95"/>
              </w:rPr>
              <w:t>Net Interest Income (excluding Net Insurance Financial Expenses)</w:t>
            </w:r>
          </w:p>
        </w:tc>
        <w:tc>
          <w:tcPr>
            <w:tcW w:w="0" w:type="dxa"/>
            <w:vAlign w:val="bottom"/>
          </w:tcPr>
          <w:p>
            <w:pPr>
              <w:spacing w:after="0"/>
              <w:rPr>
                <w:sz w:val="1"/>
                <w:szCs w:val="1"/>
                <w:color w:val="auto"/>
              </w:rPr>
            </w:pPr>
          </w:p>
        </w:tc>
      </w:tr>
      <w:tr>
        <w:trPr>
          <w:trHeight w:val="55"/>
        </w:trPr>
        <w:tc>
          <w:tcPr>
            <w:tcW w:w="400" w:type="dxa"/>
            <w:vAlign w:val="bottom"/>
            <w:tcBorders>
              <w:left w:val="single" w:sz="8" w:color="auto"/>
            </w:tcBorders>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1300" w:type="dxa"/>
            <w:vAlign w:val="bottom"/>
            <w:tcBorders>
              <w:right w:val="single" w:sz="8" w:color="auto"/>
            </w:tcBorders>
            <w:vMerge w:val="continue"/>
          </w:tcPr>
          <w:p>
            <w:pPr>
              <w:spacing w:after="0"/>
              <w:rPr>
                <w:sz w:val="4"/>
                <w:szCs w:val="4"/>
                <w:color w:val="auto"/>
              </w:rPr>
            </w:pPr>
          </w:p>
        </w:tc>
        <w:tc>
          <w:tcPr>
            <w:tcW w:w="1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200" w:type="dxa"/>
            <w:vAlign w:val="bottom"/>
            <w:tcBorders>
              <w:top w:val="single" w:sz="8" w:color="auto"/>
            </w:tcBorders>
            <w:gridSpan w:val="9"/>
            <w:vMerge w:val="restart"/>
          </w:tcPr>
          <w:p>
            <w:pPr>
              <w:jc w:val="center"/>
              <w:ind w:right="420"/>
              <w:spacing w:after="0" w:line="114" w:lineRule="exact"/>
              <w:rPr>
                <w:sz w:val="20"/>
                <w:szCs w:val="20"/>
                <w:color w:val="auto"/>
              </w:rPr>
            </w:pPr>
            <w:r>
              <w:rPr>
                <w:rFonts w:ascii="Times New Roman" w:cs="Times New Roman" w:eastAsia="Times New Roman" w:hAnsi="Times New Roman"/>
                <w:sz w:val="10"/>
                <w:szCs w:val="10"/>
                <w:color w:val="auto"/>
                <w:w w:val="94"/>
              </w:rPr>
              <w:t>Average Interest Earning Assets</w:t>
            </w:r>
          </w:p>
        </w:tc>
        <w:tc>
          <w:tcPr>
            <w:tcW w:w="2460" w:type="dxa"/>
            <w:vAlign w:val="bottom"/>
            <w:tcBorders>
              <w:right w:val="single" w:sz="8" w:color="auto"/>
            </w:tcBorders>
            <w:gridSpan w:val="7"/>
            <w:vMerge w:val="restart"/>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400" w:type="dxa"/>
            <w:vAlign w:val="bottom"/>
            <w:tcBorders>
              <w:left w:val="single" w:sz="8" w:color="auto"/>
            </w:tcBorders>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1300" w:type="dxa"/>
            <w:vAlign w:val="bottom"/>
            <w:tcBorders>
              <w:right w:val="single" w:sz="8" w:color="auto"/>
            </w:tcBorders>
          </w:tcPr>
          <w:p>
            <w:pPr>
              <w:spacing w:after="0"/>
              <w:rPr>
                <w:sz w:val="5"/>
                <w:szCs w:val="5"/>
                <w:color w:val="auto"/>
              </w:rPr>
            </w:pPr>
          </w:p>
        </w:tc>
        <w:tc>
          <w:tcPr>
            <w:tcW w:w="1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gridSpan w:val="9"/>
            <w:vMerge w:val="continue"/>
          </w:tcPr>
          <w:p>
            <w:pPr>
              <w:spacing w:after="0"/>
              <w:rPr>
                <w:sz w:val="5"/>
                <w:szCs w:val="5"/>
                <w:color w:val="auto"/>
              </w:rPr>
            </w:pPr>
          </w:p>
        </w:tc>
        <w:tc>
          <w:tcPr>
            <w:tcW w:w="2460" w:type="dxa"/>
            <w:vAlign w:val="bottom"/>
            <w:tcBorders>
              <w:right w:val="single" w:sz="8" w:color="auto"/>
            </w:tcBorders>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400" w:type="dxa"/>
            <w:vAlign w:val="bottom"/>
            <w:tcBorders>
              <w:left w:val="single" w:sz="8" w:color="auto"/>
            </w:tcBorders>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400" w:type="dxa"/>
            <w:vAlign w:val="bottom"/>
            <w:tcBorders>
              <w:lef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ind w:left="20"/>
              <w:spacing w:after="0"/>
              <w:rPr>
                <w:sz w:val="20"/>
                <w:szCs w:val="20"/>
                <w:color w:val="auto"/>
              </w:rPr>
            </w:pPr>
            <w:r>
              <w:rPr>
                <w:rFonts w:ascii="Arial" w:cs="Arial" w:eastAsia="Arial" w:hAnsi="Arial"/>
                <w:sz w:val="10"/>
                <w:szCs w:val="10"/>
                <w:b w:val="1"/>
                <w:bCs w:val="1"/>
                <w:color w:val="auto"/>
              </w:rPr>
              <w:t>Risk-adjusted Net Interest</w:t>
            </w:r>
          </w:p>
        </w:tc>
        <w:tc>
          <w:tcPr>
            <w:tcW w:w="1460" w:type="dxa"/>
            <w:vAlign w:val="bottom"/>
          </w:tcPr>
          <w:p>
            <w:pPr>
              <w:spacing w:after="0"/>
              <w:rPr>
                <w:sz w:val="12"/>
                <w:szCs w:val="12"/>
                <w:color w:val="auto"/>
              </w:rPr>
            </w:pPr>
          </w:p>
        </w:tc>
        <w:tc>
          <w:tcPr>
            <w:tcW w:w="6040" w:type="dxa"/>
            <w:vAlign w:val="bottom"/>
            <w:tcBorders>
              <w:right w:val="single" w:sz="8" w:color="auto"/>
            </w:tcBorders>
            <w:gridSpan w:val="24"/>
          </w:tcPr>
          <w:p>
            <w:pPr>
              <w:jc w:val="center"/>
              <w:ind w:right="1580"/>
              <w:spacing w:after="0"/>
              <w:rPr>
                <w:sz w:val="20"/>
                <w:szCs w:val="20"/>
                <w:color w:val="auto"/>
              </w:rPr>
            </w:pPr>
            <w:r>
              <w:rPr>
                <w:rFonts w:ascii="Times New Roman" w:cs="Times New Roman" w:eastAsia="Times New Roman" w:hAnsi="Times New Roman"/>
                <w:sz w:val="10"/>
                <w:szCs w:val="10"/>
                <w:color w:val="auto"/>
                <w:w w:val="95"/>
              </w:rPr>
              <w:t>Annualized Net Interest Income (excluding Net Insurance Financial Expenses) − Annualized Provisions</w:t>
            </w:r>
          </w:p>
        </w:tc>
        <w:tc>
          <w:tcPr>
            <w:tcW w:w="0" w:type="dxa"/>
            <w:vAlign w:val="bottom"/>
          </w:tcPr>
          <w:p>
            <w:pPr>
              <w:spacing w:after="0"/>
              <w:rPr>
                <w:sz w:val="1"/>
                <w:szCs w:val="1"/>
                <w:color w:val="auto"/>
              </w:rPr>
            </w:pPr>
          </w:p>
        </w:tc>
      </w:tr>
      <w:tr>
        <w:trPr>
          <w:trHeight w:val="79"/>
        </w:trPr>
        <w:tc>
          <w:tcPr>
            <w:tcW w:w="400" w:type="dxa"/>
            <w:vAlign w:val="bottom"/>
            <w:tcBorders>
              <w:left w:val="single" w:sz="8" w:color="auto"/>
            </w:tcBorders>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tcPr>
          <w:p>
            <w:pPr>
              <w:ind w:left="20"/>
              <w:spacing w:after="0" w:line="79" w:lineRule="exact"/>
              <w:rPr>
                <w:sz w:val="20"/>
                <w:szCs w:val="20"/>
                <w:color w:val="auto"/>
              </w:rPr>
            </w:pPr>
            <w:r>
              <w:rPr>
                <w:rFonts w:ascii="Arial" w:cs="Arial" w:eastAsia="Arial" w:hAnsi="Arial"/>
                <w:sz w:val="8"/>
                <w:szCs w:val="8"/>
                <w:b w:val="1"/>
                <w:bCs w:val="1"/>
                <w:color w:val="auto"/>
              </w:rPr>
              <w:t>Margin (Risk-adjusted</w:t>
            </w:r>
          </w:p>
        </w:tc>
        <w:tc>
          <w:tcPr>
            <w:tcW w:w="1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340" w:type="dxa"/>
            <w:vAlign w:val="bottom"/>
            <w:tcBorders>
              <w:top w:val="single" w:sz="8" w:color="auto"/>
            </w:tcBorders>
            <w:gridSpan w:val="16"/>
          </w:tcPr>
          <w:p>
            <w:pPr>
              <w:jc w:val="center"/>
              <w:ind w:right="720"/>
              <w:spacing w:after="0" w:line="79" w:lineRule="exact"/>
              <w:rPr>
                <w:sz w:val="20"/>
                <w:szCs w:val="20"/>
                <w:color w:val="auto"/>
              </w:rPr>
            </w:pPr>
            <w:r>
              <w:rPr>
                <w:rFonts w:ascii="Times New Roman" w:cs="Times New Roman" w:eastAsia="Times New Roman" w:hAnsi="Times New Roman"/>
                <w:sz w:val="8"/>
                <w:szCs w:val="8"/>
                <w:color w:val="auto"/>
              </w:rPr>
              <w:t>Average period end and period beginning interest earning assets</w:t>
            </w:r>
          </w:p>
        </w:tc>
        <w:tc>
          <w:tcPr>
            <w:tcW w:w="1740" w:type="dxa"/>
            <w:vAlign w:val="bottom"/>
            <w:tcBorders>
              <w:right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00" w:type="dxa"/>
            <w:vAlign w:val="bottom"/>
            <w:tcBorders>
              <w:left w:val="single" w:sz="8" w:color="auto"/>
            </w:tcBorders>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ind w:left="20"/>
              <w:spacing w:after="0"/>
              <w:rPr>
                <w:sz w:val="20"/>
                <w:szCs w:val="20"/>
                <w:color w:val="auto"/>
              </w:rPr>
            </w:pPr>
            <w:r>
              <w:rPr>
                <w:rFonts w:ascii="Arial" w:cs="Arial" w:eastAsia="Arial" w:hAnsi="Arial"/>
                <w:sz w:val="10"/>
                <w:szCs w:val="10"/>
                <w:b w:val="1"/>
                <w:bCs w:val="1"/>
                <w:color w:val="auto"/>
              </w:rPr>
              <w:t>NIM)</w:t>
            </w:r>
          </w:p>
        </w:tc>
        <w:tc>
          <w:tcPr>
            <w:tcW w:w="1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800" w:type="dxa"/>
            <w:vAlign w:val="bottom"/>
            <w:tcBorders>
              <w:left w:val="single" w:sz="8" w:color="auto"/>
              <w:right w:val="single" w:sz="8" w:color="auto"/>
            </w:tcBorders>
            <w:gridSpan w:val="2"/>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8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98"/>
              </w:rPr>
              <w:t>Profitability</w:t>
            </w:r>
          </w:p>
        </w:tc>
        <w:tc>
          <w:tcPr>
            <w:tcW w:w="1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0"/>
                <w:szCs w:val="10"/>
                <w:b w:val="1"/>
                <w:bCs w:val="1"/>
                <w:color w:val="auto"/>
              </w:rPr>
              <w:t>Funding cost</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40" w:type="dxa"/>
            <w:vAlign w:val="bottom"/>
            <w:tcBorders>
              <w:right w:val="single" w:sz="8" w:color="auto"/>
            </w:tcBorders>
            <w:gridSpan w:val="20"/>
          </w:tcPr>
          <w:p>
            <w:pPr>
              <w:jc w:val="center"/>
              <w:ind w:right="2380"/>
              <w:spacing w:after="0"/>
              <w:rPr>
                <w:sz w:val="20"/>
                <w:szCs w:val="20"/>
                <w:color w:val="auto"/>
              </w:rPr>
            </w:pPr>
            <w:r>
              <w:rPr>
                <w:rFonts w:ascii="Times New Roman" w:cs="Times New Roman" w:eastAsia="Times New Roman" w:hAnsi="Times New Roman"/>
                <w:sz w:val="10"/>
                <w:szCs w:val="10"/>
                <w:color w:val="auto"/>
                <w:w w:val="95"/>
              </w:rPr>
              <w:t>Interest Expense (Does not Include Net Insurance Financial Expenses)</w:t>
            </w:r>
          </w:p>
        </w:tc>
        <w:tc>
          <w:tcPr>
            <w:tcW w:w="0" w:type="dxa"/>
            <w:vAlign w:val="bottom"/>
          </w:tcPr>
          <w:p>
            <w:pPr>
              <w:spacing w:after="0"/>
              <w:rPr>
                <w:sz w:val="1"/>
                <w:szCs w:val="1"/>
                <w:color w:val="auto"/>
              </w:rPr>
            </w:pPr>
          </w:p>
        </w:tc>
      </w:tr>
      <w:tr>
        <w:trPr>
          <w:trHeight w:val="55"/>
        </w:trPr>
        <w:tc>
          <w:tcPr>
            <w:tcW w:w="400" w:type="dxa"/>
            <w:vAlign w:val="bottom"/>
            <w:tcBorders>
              <w:left w:val="single" w:sz="8" w:color="auto"/>
            </w:tcBorders>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1300" w:type="dxa"/>
            <w:vAlign w:val="bottom"/>
            <w:tcBorders>
              <w:right w:val="single" w:sz="8" w:color="auto"/>
            </w:tcBorders>
            <w:vMerge w:val="continue"/>
          </w:tcPr>
          <w:p>
            <w:pPr>
              <w:spacing w:after="0"/>
              <w:rPr>
                <w:sz w:val="4"/>
                <w:szCs w:val="4"/>
                <w:color w:val="auto"/>
              </w:rPr>
            </w:pPr>
          </w:p>
        </w:tc>
        <w:tc>
          <w:tcPr>
            <w:tcW w:w="1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820" w:type="dxa"/>
            <w:vAlign w:val="bottom"/>
            <w:tcBorders>
              <w:top w:val="single" w:sz="8" w:color="auto"/>
            </w:tcBorders>
            <w:gridSpan w:val="7"/>
            <w:vMerge w:val="restart"/>
          </w:tcPr>
          <w:p>
            <w:pPr>
              <w:jc w:val="center"/>
              <w:ind w:right="960"/>
              <w:spacing w:after="0" w:line="114" w:lineRule="exact"/>
              <w:rPr>
                <w:sz w:val="20"/>
                <w:szCs w:val="20"/>
                <w:color w:val="auto"/>
              </w:rPr>
            </w:pPr>
            <w:r>
              <w:rPr>
                <w:rFonts w:ascii="Times New Roman" w:cs="Times New Roman" w:eastAsia="Times New Roman" w:hAnsi="Times New Roman"/>
                <w:sz w:val="10"/>
                <w:szCs w:val="10"/>
                <w:color w:val="auto"/>
                <w:w w:val="94"/>
              </w:rPr>
              <w:t>Average Funding</w:t>
            </w:r>
          </w:p>
        </w:tc>
        <w:tc>
          <w:tcPr>
            <w:tcW w:w="2380" w:type="dxa"/>
            <w:vAlign w:val="bottom"/>
            <w:tcBorders>
              <w:right w:val="single" w:sz="8" w:color="auto"/>
            </w:tcBorders>
            <w:gridSpan w:val="6"/>
            <w:vMerge w:val="restart"/>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400" w:type="dxa"/>
            <w:vAlign w:val="bottom"/>
            <w:tcBorders>
              <w:left w:val="single" w:sz="8" w:color="auto"/>
            </w:tcBorders>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1300" w:type="dxa"/>
            <w:vAlign w:val="bottom"/>
            <w:tcBorders>
              <w:right w:val="single" w:sz="8" w:color="auto"/>
            </w:tcBorders>
          </w:tcPr>
          <w:p>
            <w:pPr>
              <w:spacing w:after="0"/>
              <w:rPr>
                <w:sz w:val="5"/>
                <w:szCs w:val="5"/>
                <w:color w:val="auto"/>
              </w:rPr>
            </w:pPr>
          </w:p>
        </w:tc>
        <w:tc>
          <w:tcPr>
            <w:tcW w:w="1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20" w:type="dxa"/>
            <w:vAlign w:val="bottom"/>
            <w:gridSpan w:val="7"/>
            <w:vMerge w:val="continue"/>
          </w:tcPr>
          <w:p>
            <w:pPr>
              <w:spacing w:after="0"/>
              <w:rPr>
                <w:sz w:val="5"/>
                <w:szCs w:val="5"/>
                <w:color w:val="auto"/>
              </w:rPr>
            </w:pPr>
          </w:p>
        </w:tc>
        <w:tc>
          <w:tcPr>
            <w:tcW w:w="2380" w:type="dxa"/>
            <w:vAlign w:val="bottom"/>
            <w:tcBorders>
              <w:right w:val="single" w:sz="8" w:color="auto"/>
            </w:tcBorders>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400" w:type="dxa"/>
            <w:vAlign w:val="bottom"/>
            <w:tcBorders>
              <w:left w:val="single" w:sz="8" w:color="auto"/>
            </w:tcBorders>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400" w:type="dxa"/>
            <w:vAlign w:val="bottom"/>
            <w:tcBorders>
              <w:left w:val="single" w:sz="8" w:color="auto"/>
            </w:tcBorders>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ind w:left="20"/>
              <w:spacing w:after="0"/>
              <w:rPr>
                <w:sz w:val="20"/>
                <w:szCs w:val="20"/>
                <w:color w:val="auto"/>
              </w:rPr>
            </w:pPr>
            <w:r>
              <w:rPr>
                <w:rFonts w:ascii="Arial" w:cs="Arial" w:eastAsia="Arial" w:hAnsi="Arial"/>
                <w:sz w:val="10"/>
                <w:szCs w:val="10"/>
                <w:b w:val="1"/>
                <w:bCs w:val="1"/>
                <w:color w:val="auto"/>
              </w:rPr>
              <w:t>Core income</w:t>
            </w: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40" w:type="dxa"/>
            <w:vAlign w:val="bottom"/>
            <w:tcBorders>
              <w:right w:val="single" w:sz="8" w:color="auto"/>
            </w:tcBorders>
            <w:gridSpan w:val="21"/>
          </w:tcPr>
          <w:p>
            <w:pPr>
              <w:jc w:val="center"/>
              <w:ind w:right="1900"/>
              <w:spacing w:after="0"/>
              <w:rPr>
                <w:sz w:val="20"/>
                <w:szCs w:val="20"/>
                <w:color w:val="auto"/>
              </w:rPr>
            </w:pPr>
            <w:r>
              <w:rPr>
                <w:rFonts w:ascii="Times New Roman" w:cs="Times New Roman" w:eastAsia="Times New Roman" w:hAnsi="Times New Roman"/>
                <w:sz w:val="10"/>
                <w:szCs w:val="10"/>
                <w:color w:val="auto"/>
                <w:w w:val="95"/>
              </w:rPr>
              <w:t>Net Interest Income + Fee Income + Net Gain on Foreign exchange transactions</w:t>
            </w:r>
          </w:p>
        </w:tc>
        <w:tc>
          <w:tcPr>
            <w:tcW w:w="0" w:type="dxa"/>
            <w:vAlign w:val="bottom"/>
          </w:tcPr>
          <w:p>
            <w:pPr>
              <w:spacing w:after="0"/>
              <w:rPr>
                <w:sz w:val="1"/>
                <w:szCs w:val="1"/>
                <w:color w:val="auto"/>
              </w:rPr>
            </w:pPr>
          </w:p>
        </w:tc>
      </w:tr>
      <w:tr>
        <w:trPr>
          <w:trHeight w:val="48"/>
        </w:trPr>
        <w:tc>
          <w:tcPr>
            <w:tcW w:w="400" w:type="dxa"/>
            <w:vAlign w:val="bottom"/>
            <w:tcBorders>
              <w:left w:val="single" w:sz="8" w:color="auto"/>
            </w:tcBorders>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400" w:type="dxa"/>
            <w:vAlign w:val="bottom"/>
            <w:tcBorders>
              <w:left w:val="single" w:sz="8" w:color="auto"/>
            </w:tcBorders>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ind w:left="20"/>
              <w:spacing w:after="0"/>
              <w:rPr>
                <w:sz w:val="20"/>
                <w:szCs w:val="20"/>
                <w:color w:val="auto"/>
              </w:rPr>
            </w:pPr>
            <w:r>
              <w:rPr>
                <w:rFonts w:ascii="Arial" w:cs="Arial" w:eastAsia="Arial" w:hAnsi="Arial"/>
                <w:sz w:val="10"/>
                <w:szCs w:val="10"/>
                <w:b w:val="1"/>
                <w:bCs w:val="1"/>
                <w:color w:val="auto"/>
              </w:rPr>
              <w:t>Other core income</w:t>
            </w: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80" w:type="dxa"/>
            <w:vAlign w:val="bottom"/>
            <w:tcBorders>
              <w:right w:val="single" w:sz="8" w:color="auto"/>
            </w:tcBorders>
            <w:gridSpan w:val="18"/>
          </w:tcPr>
          <w:p>
            <w:pPr>
              <w:jc w:val="center"/>
              <w:ind w:right="2460"/>
              <w:spacing w:after="0"/>
              <w:rPr>
                <w:sz w:val="20"/>
                <w:szCs w:val="20"/>
                <w:color w:val="auto"/>
              </w:rPr>
            </w:pPr>
            <w:r>
              <w:rPr>
                <w:rFonts w:ascii="Times New Roman" w:cs="Times New Roman" w:eastAsia="Times New Roman" w:hAnsi="Times New Roman"/>
                <w:sz w:val="10"/>
                <w:szCs w:val="10"/>
                <w:color w:val="auto"/>
                <w:w w:val="96"/>
              </w:rPr>
              <w:t>Fee Income + Net Gain on Foreign exchange transactions</w:t>
            </w:r>
          </w:p>
        </w:tc>
        <w:tc>
          <w:tcPr>
            <w:tcW w:w="0" w:type="dxa"/>
            <w:vAlign w:val="bottom"/>
          </w:tcPr>
          <w:p>
            <w:pPr>
              <w:spacing w:after="0"/>
              <w:rPr>
                <w:sz w:val="1"/>
                <w:szCs w:val="1"/>
                <w:color w:val="auto"/>
              </w:rPr>
            </w:pPr>
          </w:p>
        </w:tc>
      </w:tr>
      <w:tr>
        <w:trPr>
          <w:trHeight w:val="48"/>
        </w:trPr>
        <w:tc>
          <w:tcPr>
            <w:tcW w:w="400" w:type="dxa"/>
            <w:vAlign w:val="bottom"/>
            <w:tcBorders>
              <w:left w:val="single" w:sz="8" w:color="auto"/>
            </w:tcBorders>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400" w:type="dxa"/>
            <w:vAlign w:val="bottom"/>
            <w:tcBorders>
              <w:lef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0"/>
                <w:szCs w:val="10"/>
                <w:b w:val="1"/>
                <w:bCs w:val="1"/>
                <w:color w:val="auto"/>
              </w:rPr>
              <w:t>Other non-core income</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40" w:type="dxa"/>
            <w:vAlign w:val="bottom"/>
            <w:tcBorders>
              <w:right w:val="single" w:sz="8" w:color="auto"/>
            </w:tcBorders>
            <w:gridSpan w:val="21"/>
          </w:tcPr>
          <w:p>
            <w:pPr>
              <w:jc w:val="center"/>
              <w:ind w:right="1920"/>
              <w:spacing w:after="0"/>
              <w:rPr>
                <w:sz w:val="20"/>
                <w:szCs w:val="20"/>
                <w:color w:val="auto"/>
              </w:rPr>
            </w:pPr>
            <w:r>
              <w:rPr>
                <w:rFonts w:ascii="Times New Roman" w:cs="Times New Roman" w:eastAsia="Times New Roman" w:hAnsi="Times New Roman"/>
                <w:sz w:val="10"/>
                <w:szCs w:val="10"/>
                <w:color w:val="auto"/>
                <w:w w:val="95"/>
              </w:rPr>
              <w:t>Net Gain Securities + Net Gain from associates + Net Gain of derivatives held for trading</w:t>
            </w:r>
          </w:p>
        </w:tc>
        <w:tc>
          <w:tcPr>
            <w:tcW w:w="0" w:type="dxa"/>
            <w:vAlign w:val="bottom"/>
          </w:tcPr>
          <w:p>
            <w:pPr>
              <w:spacing w:after="0"/>
              <w:rPr>
                <w:sz w:val="1"/>
                <w:szCs w:val="1"/>
                <w:color w:val="auto"/>
              </w:rPr>
            </w:pPr>
          </w:p>
        </w:tc>
      </w:tr>
      <w:tr>
        <w:trPr>
          <w:trHeight w:val="78"/>
        </w:trPr>
        <w:tc>
          <w:tcPr>
            <w:tcW w:w="400" w:type="dxa"/>
            <w:vAlign w:val="bottom"/>
            <w:tcBorders>
              <w:left w:val="single" w:sz="8" w:color="auto"/>
            </w:tcBorders>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vMerge w:val="continue"/>
          </w:tcPr>
          <w:p>
            <w:pPr>
              <w:spacing w:after="0"/>
              <w:rPr>
                <w:sz w:val="6"/>
                <w:szCs w:val="6"/>
                <w:color w:val="auto"/>
              </w:rPr>
            </w:pPr>
          </w:p>
        </w:tc>
        <w:tc>
          <w:tcPr>
            <w:tcW w:w="1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160" w:type="dxa"/>
            <w:vAlign w:val="bottom"/>
            <w:tcBorders>
              <w:right w:val="single" w:sz="8" w:color="auto"/>
            </w:tcBorders>
            <w:gridSpan w:val="19"/>
            <w:vMerge w:val="restart"/>
          </w:tcPr>
          <w:p>
            <w:pPr>
              <w:jc w:val="center"/>
              <w:ind w:right="2380"/>
              <w:spacing w:after="0"/>
              <w:rPr>
                <w:sz w:val="20"/>
                <w:szCs w:val="20"/>
                <w:color w:val="auto"/>
              </w:rPr>
            </w:pPr>
            <w:r>
              <w:rPr>
                <w:rFonts w:ascii="Times New Roman" w:cs="Times New Roman" w:eastAsia="Times New Roman" w:hAnsi="Times New Roman"/>
                <w:sz w:val="10"/>
                <w:szCs w:val="10"/>
                <w:color w:val="auto"/>
                <w:w w:val="96"/>
              </w:rPr>
              <w:t>+ Net Gain from exchange differences + Other non operative income</w:t>
            </w:r>
          </w:p>
        </w:tc>
        <w:tc>
          <w:tcPr>
            <w:tcW w:w="0" w:type="dxa"/>
            <w:vAlign w:val="bottom"/>
          </w:tcPr>
          <w:p>
            <w:pPr>
              <w:spacing w:after="0"/>
              <w:rPr>
                <w:sz w:val="1"/>
                <w:szCs w:val="1"/>
                <w:color w:val="auto"/>
              </w:rPr>
            </w:pPr>
          </w:p>
        </w:tc>
      </w:tr>
      <w:tr>
        <w:trPr>
          <w:trHeight w:val="45"/>
        </w:trPr>
        <w:tc>
          <w:tcPr>
            <w:tcW w:w="400" w:type="dxa"/>
            <w:vAlign w:val="bottom"/>
            <w:tcBorders>
              <w:left w:val="single" w:sz="8" w:color="auto"/>
            </w:tcBorders>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1300" w:type="dxa"/>
            <w:vAlign w:val="bottom"/>
            <w:tcBorders>
              <w:right w:val="single" w:sz="8" w:color="auto"/>
            </w:tcBorders>
          </w:tcPr>
          <w:p>
            <w:pPr>
              <w:spacing w:after="0"/>
              <w:rPr>
                <w:sz w:val="3"/>
                <w:szCs w:val="3"/>
                <w:color w:val="auto"/>
              </w:rPr>
            </w:pPr>
          </w:p>
        </w:tc>
        <w:tc>
          <w:tcPr>
            <w:tcW w:w="1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160" w:type="dxa"/>
            <w:vAlign w:val="bottom"/>
            <w:tcBorders>
              <w:right w:val="single" w:sz="8" w:color="auto"/>
            </w:tcBorders>
            <w:gridSpan w:val="1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auto"/>
            </w:tcBorders>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400" w:type="dxa"/>
            <w:vAlign w:val="bottom"/>
            <w:tcBorders>
              <w:lef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ind w:left="20"/>
              <w:spacing w:after="0"/>
              <w:rPr>
                <w:sz w:val="20"/>
                <w:szCs w:val="20"/>
                <w:color w:val="auto"/>
              </w:rPr>
            </w:pPr>
            <w:r>
              <w:rPr>
                <w:rFonts w:ascii="Arial" w:cs="Arial" w:eastAsia="Arial" w:hAnsi="Arial"/>
                <w:sz w:val="10"/>
                <w:szCs w:val="10"/>
                <w:b w:val="1"/>
                <w:bCs w:val="1"/>
                <w:color w:val="auto"/>
              </w:rPr>
              <w:t>Return on average assets</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80" w:type="dxa"/>
            <w:vAlign w:val="bottom"/>
            <w:tcBorders>
              <w:right w:val="single" w:sz="8" w:color="auto"/>
            </w:tcBorders>
            <w:gridSpan w:val="18"/>
          </w:tcPr>
          <w:p>
            <w:pPr>
              <w:jc w:val="center"/>
              <w:ind w:right="2520"/>
              <w:spacing w:after="0"/>
              <w:rPr>
                <w:sz w:val="20"/>
                <w:szCs w:val="20"/>
                <w:color w:val="auto"/>
              </w:rPr>
            </w:pPr>
            <w:r>
              <w:rPr>
                <w:rFonts w:ascii="Times New Roman" w:cs="Times New Roman" w:eastAsia="Times New Roman" w:hAnsi="Times New Roman"/>
                <w:sz w:val="10"/>
                <w:szCs w:val="10"/>
                <w:color w:val="auto"/>
                <w:w w:val="95"/>
              </w:rPr>
              <w:t>Annualized Net Income attributable to Credicorp</w:t>
            </w:r>
          </w:p>
        </w:tc>
        <w:tc>
          <w:tcPr>
            <w:tcW w:w="0" w:type="dxa"/>
            <w:vAlign w:val="bottom"/>
          </w:tcPr>
          <w:p>
            <w:pPr>
              <w:spacing w:after="0"/>
              <w:rPr>
                <w:sz w:val="1"/>
                <w:szCs w:val="1"/>
                <w:color w:val="auto"/>
              </w:rPr>
            </w:pPr>
          </w:p>
        </w:tc>
      </w:tr>
      <w:tr>
        <w:trPr>
          <w:trHeight w:val="114"/>
        </w:trPr>
        <w:tc>
          <w:tcPr>
            <w:tcW w:w="400" w:type="dxa"/>
            <w:vAlign w:val="bottom"/>
            <w:tcBorders>
              <w:lef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0"/>
                <w:szCs w:val="10"/>
                <w:b w:val="1"/>
                <w:bCs w:val="1"/>
                <w:color w:val="auto"/>
              </w:rPr>
              <w:t>(ROA)</w:t>
            </w: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gridSpan w:val="5"/>
          </w:tcPr>
          <w:p>
            <w:pPr>
              <w:jc w:val="center"/>
              <w:ind w:right="540"/>
              <w:spacing w:after="0" w:line="114" w:lineRule="exact"/>
              <w:rPr>
                <w:sz w:val="20"/>
                <w:szCs w:val="20"/>
                <w:color w:val="auto"/>
              </w:rPr>
            </w:pPr>
            <w:r>
              <w:rPr>
                <w:rFonts w:ascii="Times New Roman" w:cs="Times New Roman" w:eastAsia="Times New Roman" w:hAnsi="Times New Roman"/>
                <w:sz w:val="10"/>
                <w:szCs w:val="10"/>
                <w:color w:val="auto"/>
                <w:w w:val="92"/>
              </w:rPr>
              <w:t>Average Assets</w:t>
            </w:r>
          </w:p>
        </w:tc>
        <w:tc>
          <w:tcPr>
            <w:tcW w:w="500" w:type="dxa"/>
            <w:vAlign w:val="bottom"/>
            <w:gridSpan w:val="3"/>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60" w:type="dxa"/>
            <w:vAlign w:val="bottom"/>
            <w:tcBorders>
              <w:right w:val="single" w:sz="8" w:color="auto"/>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0" w:type="dxa"/>
            <w:vAlign w:val="bottom"/>
            <w:tcBorders>
              <w:left w:val="single" w:sz="8" w:color="auto"/>
            </w:tcBorders>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400" w:type="dxa"/>
            <w:vAlign w:val="bottom"/>
            <w:tcBorders>
              <w:lef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ind w:left="20"/>
              <w:spacing w:after="0"/>
              <w:rPr>
                <w:sz w:val="20"/>
                <w:szCs w:val="20"/>
                <w:color w:val="auto"/>
              </w:rPr>
            </w:pPr>
            <w:r>
              <w:rPr>
                <w:rFonts w:ascii="Arial" w:cs="Arial" w:eastAsia="Arial" w:hAnsi="Arial"/>
                <w:sz w:val="10"/>
                <w:szCs w:val="10"/>
                <w:b w:val="1"/>
                <w:bCs w:val="1"/>
                <w:color w:val="auto"/>
              </w:rPr>
              <w:t>Return on average equity</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80" w:type="dxa"/>
            <w:vAlign w:val="bottom"/>
            <w:tcBorders>
              <w:right w:val="single" w:sz="8" w:color="auto"/>
            </w:tcBorders>
            <w:gridSpan w:val="18"/>
          </w:tcPr>
          <w:p>
            <w:pPr>
              <w:jc w:val="center"/>
              <w:ind w:right="2520"/>
              <w:spacing w:after="0"/>
              <w:rPr>
                <w:sz w:val="20"/>
                <w:szCs w:val="20"/>
                <w:color w:val="auto"/>
              </w:rPr>
            </w:pPr>
            <w:r>
              <w:rPr>
                <w:rFonts w:ascii="Times New Roman" w:cs="Times New Roman" w:eastAsia="Times New Roman" w:hAnsi="Times New Roman"/>
                <w:sz w:val="10"/>
                <w:szCs w:val="10"/>
                <w:color w:val="auto"/>
                <w:w w:val="95"/>
              </w:rPr>
              <w:t>Annualized Net Income attributable to Credicorp</w:t>
            </w:r>
          </w:p>
        </w:tc>
        <w:tc>
          <w:tcPr>
            <w:tcW w:w="0" w:type="dxa"/>
            <w:vAlign w:val="bottom"/>
          </w:tcPr>
          <w:p>
            <w:pPr>
              <w:spacing w:after="0"/>
              <w:rPr>
                <w:sz w:val="1"/>
                <w:szCs w:val="1"/>
                <w:color w:val="auto"/>
              </w:rPr>
            </w:pPr>
          </w:p>
        </w:tc>
      </w:tr>
      <w:tr>
        <w:trPr>
          <w:trHeight w:val="114"/>
        </w:trPr>
        <w:tc>
          <w:tcPr>
            <w:tcW w:w="400" w:type="dxa"/>
            <w:vAlign w:val="bottom"/>
            <w:tcBorders>
              <w:lef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0"/>
                <w:szCs w:val="10"/>
                <w:b w:val="1"/>
                <w:bCs w:val="1"/>
                <w:color w:val="auto"/>
              </w:rPr>
              <w:t>(ROE)</w:t>
            </w: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gridSpan w:val="5"/>
          </w:tcPr>
          <w:p>
            <w:pPr>
              <w:jc w:val="center"/>
              <w:ind w:right="560"/>
              <w:spacing w:after="0" w:line="114" w:lineRule="exact"/>
              <w:rPr>
                <w:sz w:val="20"/>
                <w:szCs w:val="20"/>
                <w:color w:val="auto"/>
              </w:rPr>
            </w:pPr>
            <w:r>
              <w:rPr>
                <w:rFonts w:ascii="Times New Roman" w:cs="Times New Roman" w:eastAsia="Times New Roman" w:hAnsi="Times New Roman"/>
                <w:sz w:val="10"/>
                <w:szCs w:val="10"/>
                <w:color w:val="auto"/>
                <w:w w:val="94"/>
              </w:rPr>
              <w:t>Average Net Equity</w:t>
            </w:r>
          </w:p>
        </w:tc>
        <w:tc>
          <w:tcPr>
            <w:tcW w:w="500" w:type="dxa"/>
            <w:vAlign w:val="bottom"/>
            <w:gridSpan w:val="3"/>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60" w:type="dxa"/>
            <w:vAlign w:val="bottom"/>
            <w:tcBorders>
              <w:right w:val="single" w:sz="8" w:color="auto"/>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0" w:type="dxa"/>
            <w:vAlign w:val="bottom"/>
            <w:tcBorders>
              <w:left w:val="single" w:sz="8" w:color="auto"/>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400" w:type="dxa"/>
            <w:vAlign w:val="bottom"/>
            <w:tcBorders>
              <w:lef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0"/>
                <w:szCs w:val="10"/>
                <w:b w:val="1"/>
                <w:bCs w:val="1"/>
                <w:color w:val="auto"/>
              </w:rPr>
              <w:t>Internal overdue ratio</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20" w:type="dxa"/>
            <w:vAlign w:val="bottom"/>
            <w:tcBorders>
              <w:right w:val="single" w:sz="8" w:color="auto"/>
            </w:tcBorders>
            <w:gridSpan w:val="14"/>
          </w:tcPr>
          <w:p>
            <w:pPr>
              <w:jc w:val="center"/>
              <w:ind w:right="3320"/>
              <w:spacing w:after="0"/>
              <w:rPr>
                <w:sz w:val="20"/>
                <w:szCs w:val="20"/>
                <w:color w:val="auto"/>
              </w:rPr>
            </w:pPr>
            <w:r>
              <w:rPr>
                <w:rFonts w:ascii="Times New Roman" w:cs="Times New Roman" w:eastAsia="Times New Roman" w:hAnsi="Times New Roman"/>
                <w:sz w:val="10"/>
                <w:szCs w:val="10"/>
                <w:color w:val="auto"/>
                <w:w w:val="96"/>
              </w:rPr>
              <w:t>Internal overdue loans</w:t>
            </w:r>
          </w:p>
        </w:tc>
        <w:tc>
          <w:tcPr>
            <w:tcW w:w="0" w:type="dxa"/>
            <w:vAlign w:val="bottom"/>
          </w:tcPr>
          <w:p>
            <w:pPr>
              <w:spacing w:after="0"/>
              <w:rPr>
                <w:sz w:val="1"/>
                <w:szCs w:val="1"/>
                <w:color w:val="auto"/>
              </w:rPr>
            </w:pPr>
          </w:p>
        </w:tc>
      </w:tr>
      <w:tr>
        <w:trPr>
          <w:trHeight w:val="55"/>
        </w:trPr>
        <w:tc>
          <w:tcPr>
            <w:tcW w:w="400" w:type="dxa"/>
            <w:vAlign w:val="bottom"/>
            <w:tcBorders>
              <w:left w:val="single" w:sz="8" w:color="auto"/>
            </w:tcBorders>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1300" w:type="dxa"/>
            <w:vAlign w:val="bottom"/>
            <w:tcBorders>
              <w:right w:val="single" w:sz="8" w:color="auto"/>
            </w:tcBorders>
            <w:vMerge w:val="continue"/>
          </w:tcPr>
          <w:p>
            <w:pPr>
              <w:spacing w:after="0"/>
              <w:rPr>
                <w:sz w:val="4"/>
                <w:szCs w:val="4"/>
                <w:color w:val="auto"/>
              </w:rPr>
            </w:pPr>
          </w:p>
        </w:tc>
        <w:tc>
          <w:tcPr>
            <w:tcW w:w="1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Borders>
              <w:top w:val="single" w:sz="8" w:color="auto"/>
            </w:tcBorders>
            <w:vMerge w:val="restart"/>
          </w:tcPr>
          <w:p>
            <w:pPr>
              <w:jc w:val="center"/>
              <w:spacing w:after="0" w:line="114" w:lineRule="exact"/>
              <w:rPr>
                <w:sz w:val="20"/>
                <w:szCs w:val="20"/>
                <w:color w:val="auto"/>
              </w:rPr>
            </w:pPr>
            <w:r>
              <w:rPr>
                <w:rFonts w:ascii="Times New Roman" w:cs="Times New Roman" w:eastAsia="Times New Roman" w:hAnsi="Times New Roman"/>
                <w:sz w:val="10"/>
                <w:szCs w:val="10"/>
                <w:color w:val="auto"/>
                <w:w w:val="95"/>
              </w:rPr>
              <w:t>Total Loans</w:t>
            </w:r>
          </w:p>
        </w:tc>
        <w:tc>
          <w:tcPr>
            <w:tcW w:w="3340" w:type="dxa"/>
            <w:vAlign w:val="bottom"/>
            <w:tcBorders>
              <w:right w:val="single" w:sz="8" w:color="auto"/>
            </w:tcBorders>
            <w:gridSpan w:val="12"/>
            <w:vMerge w:val="restart"/>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400" w:type="dxa"/>
            <w:vAlign w:val="bottom"/>
            <w:tcBorders>
              <w:left w:val="single" w:sz="8" w:color="auto"/>
            </w:tcBorders>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1300" w:type="dxa"/>
            <w:vAlign w:val="bottom"/>
            <w:tcBorders>
              <w:right w:val="single" w:sz="8" w:color="auto"/>
            </w:tcBorders>
          </w:tcPr>
          <w:p>
            <w:pPr>
              <w:spacing w:after="0"/>
              <w:rPr>
                <w:sz w:val="5"/>
                <w:szCs w:val="5"/>
                <w:color w:val="auto"/>
              </w:rPr>
            </w:pPr>
          </w:p>
        </w:tc>
        <w:tc>
          <w:tcPr>
            <w:tcW w:w="1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3340" w:type="dxa"/>
            <w:vAlign w:val="bottom"/>
            <w:tcBorders>
              <w:right w:val="single" w:sz="8" w:color="auto"/>
            </w:tcBorders>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400" w:type="dxa"/>
            <w:vAlign w:val="bottom"/>
            <w:tcBorders>
              <w:left w:val="single" w:sz="8" w:color="auto"/>
            </w:tcBorders>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400" w:type="dxa"/>
            <w:vAlign w:val="bottom"/>
            <w:tcBorders>
              <w:lef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ind w:left="20"/>
              <w:spacing w:after="0"/>
              <w:rPr>
                <w:sz w:val="20"/>
                <w:szCs w:val="20"/>
                <w:color w:val="auto"/>
              </w:rPr>
            </w:pPr>
            <w:r>
              <w:rPr>
                <w:rFonts w:ascii="Arial" w:cs="Arial" w:eastAsia="Arial" w:hAnsi="Arial"/>
                <w:sz w:val="10"/>
                <w:szCs w:val="10"/>
                <w:b w:val="1"/>
                <w:bCs w:val="1"/>
                <w:color w:val="auto"/>
              </w:rPr>
              <w:t>Non – performing loans</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740" w:type="dxa"/>
            <w:vAlign w:val="bottom"/>
            <w:tcBorders>
              <w:right w:val="single" w:sz="8" w:color="auto"/>
            </w:tcBorders>
            <w:gridSpan w:val="17"/>
          </w:tcPr>
          <w:p>
            <w:pPr>
              <w:jc w:val="center"/>
              <w:ind w:right="2880"/>
              <w:spacing w:after="0"/>
              <w:rPr>
                <w:sz w:val="20"/>
                <w:szCs w:val="20"/>
                <w:color w:val="auto"/>
              </w:rPr>
            </w:pPr>
            <w:r>
              <w:rPr>
                <w:rFonts w:ascii="Times New Roman" w:cs="Times New Roman" w:eastAsia="Times New Roman" w:hAnsi="Times New Roman"/>
                <w:sz w:val="10"/>
                <w:szCs w:val="10"/>
                <w:color w:val="auto"/>
                <w:w w:val="96"/>
              </w:rPr>
              <w:t>(Internal overdue loans + Refinanced loans)</w:t>
            </w:r>
          </w:p>
        </w:tc>
        <w:tc>
          <w:tcPr>
            <w:tcW w:w="0" w:type="dxa"/>
            <w:vAlign w:val="bottom"/>
          </w:tcPr>
          <w:p>
            <w:pPr>
              <w:spacing w:after="0"/>
              <w:rPr>
                <w:sz w:val="1"/>
                <w:szCs w:val="1"/>
                <w:color w:val="auto"/>
              </w:rPr>
            </w:pPr>
          </w:p>
        </w:tc>
      </w:tr>
      <w:tr>
        <w:trPr>
          <w:trHeight w:val="114"/>
        </w:trPr>
        <w:tc>
          <w:tcPr>
            <w:tcW w:w="400" w:type="dxa"/>
            <w:vAlign w:val="bottom"/>
            <w:tcBorders>
              <w:lef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0"/>
                <w:szCs w:val="10"/>
                <w:b w:val="1"/>
                <w:bCs w:val="1"/>
                <w:color w:val="auto"/>
              </w:rPr>
              <w:t>ratio (NPL ratio)</w:t>
            </w: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gridSpan w:val="4"/>
          </w:tcPr>
          <w:p>
            <w:pPr>
              <w:jc w:val="center"/>
              <w:ind w:right="440"/>
              <w:spacing w:after="0" w:line="114" w:lineRule="exact"/>
              <w:rPr>
                <w:sz w:val="20"/>
                <w:szCs w:val="20"/>
                <w:color w:val="auto"/>
              </w:rPr>
            </w:pPr>
            <w:r>
              <w:rPr>
                <w:rFonts w:ascii="Times New Roman" w:cs="Times New Roman" w:eastAsia="Times New Roman" w:hAnsi="Times New Roman"/>
                <w:sz w:val="10"/>
                <w:szCs w:val="10"/>
                <w:color w:val="auto"/>
                <w:w w:val="95"/>
              </w:rPr>
              <w:t>Total Loans</w:t>
            </w:r>
          </w:p>
        </w:tc>
        <w:tc>
          <w:tcPr>
            <w:tcW w:w="600" w:type="dxa"/>
            <w:vAlign w:val="bottom"/>
            <w:gridSpan w:val="4"/>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60" w:type="dxa"/>
            <w:vAlign w:val="bottom"/>
            <w:tcBorders>
              <w:right w:val="single" w:sz="8" w:color="auto"/>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80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0"/>
                <w:szCs w:val="10"/>
                <w:b w:val="1"/>
                <w:bCs w:val="1"/>
                <w:color w:val="auto"/>
                <w:w w:val="92"/>
              </w:rPr>
              <w:t>Portfolio</w:t>
            </w:r>
          </w:p>
        </w:tc>
        <w:tc>
          <w:tcPr>
            <w:tcW w:w="13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800" w:type="dxa"/>
            <w:vAlign w:val="bottom"/>
            <w:tcBorders>
              <w:left w:val="single" w:sz="8" w:color="auto"/>
              <w:right w:val="single" w:sz="8" w:color="auto"/>
            </w:tcBorders>
            <w:gridSpan w:val="2"/>
            <w:vMerge w:val="continue"/>
          </w:tcPr>
          <w:p>
            <w:pPr>
              <w:spacing w:after="0"/>
              <w:rPr>
                <w:sz w:val="7"/>
                <w:szCs w:val="7"/>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0"/>
                <w:szCs w:val="10"/>
                <w:b w:val="1"/>
                <w:bCs w:val="1"/>
                <w:color w:val="auto"/>
              </w:rPr>
              <w:t>Coverage ratio of internal</w:t>
            </w:r>
          </w:p>
        </w:tc>
        <w:tc>
          <w:tcPr>
            <w:tcW w:w="1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60" w:type="dxa"/>
            <w:vAlign w:val="bottom"/>
            <w:tcBorders>
              <w:right w:val="single" w:sz="8" w:color="auto"/>
            </w:tcBorders>
            <w:gridSpan w:val="16"/>
            <w:vMerge w:val="restart"/>
          </w:tcPr>
          <w:p>
            <w:pPr>
              <w:jc w:val="center"/>
              <w:ind w:right="2880"/>
              <w:spacing w:after="0"/>
              <w:rPr>
                <w:sz w:val="20"/>
                <w:szCs w:val="20"/>
                <w:color w:val="auto"/>
              </w:rPr>
            </w:pPr>
            <w:r>
              <w:rPr>
                <w:rFonts w:ascii="Times New Roman" w:cs="Times New Roman" w:eastAsia="Times New Roman" w:hAnsi="Times New Roman"/>
                <w:sz w:val="10"/>
                <w:szCs w:val="10"/>
                <w:color w:val="auto"/>
                <w:w w:val="94"/>
              </w:rPr>
              <w:t>Allowance for loans losses</w:t>
            </w:r>
          </w:p>
        </w:tc>
        <w:tc>
          <w:tcPr>
            <w:tcW w:w="0" w:type="dxa"/>
            <w:vAlign w:val="bottom"/>
          </w:tcPr>
          <w:p>
            <w:pPr>
              <w:spacing w:after="0"/>
              <w:rPr>
                <w:sz w:val="1"/>
                <w:szCs w:val="1"/>
                <w:color w:val="auto"/>
              </w:rPr>
            </w:pPr>
          </w:p>
        </w:tc>
      </w:tr>
      <w:tr>
        <w:trPr>
          <w:trHeight w:val="56"/>
        </w:trPr>
        <w:tc>
          <w:tcPr>
            <w:tcW w:w="80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0"/>
                <w:szCs w:val="10"/>
                <w:b w:val="1"/>
                <w:bCs w:val="1"/>
                <w:color w:val="auto"/>
                <w:w w:val="92"/>
              </w:rPr>
              <w:t>quality</w:t>
            </w:r>
          </w:p>
        </w:tc>
        <w:tc>
          <w:tcPr>
            <w:tcW w:w="1300" w:type="dxa"/>
            <w:vAlign w:val="bottom"/>
            <w:tcBorders>
              <w:right w:val="single" w:sz="8" w:color="auto"/>
            </w:tcBorders>
            <w:vMerge w:val="continue"/>
          </w:tcPr>
          <w:p>
            <w:pPr>
              <w:spacing w:after="0"/>
              <w:rPr>
                <w:sz w:val="4"/>
                <w:szCs w:val="4"/>
                <w:color w:val="auto"/>
              </w:rPr>
            </w:pPr>
          </w:p>
        </w:tc>
        <w:tc>
          <w:tcPr>
            <w:tcW w:w="1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60" w:type="dxa"/>
            <w:vAlign w:val="bottom"/>
            <w:tcBorders>
              <w:right w:val="single" w:sz="8" w:color="auto"/>
            </w:tcBorders>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800" w:type="dxa"/>
            <w:vAlign w:val="bottom"/>
            <w:tcBorders>
              <w:left w:val="single" w:sz="8" w:color="auto"/>
              <w:right w:val="single" w:sz="8" w:color="auto"/>
            </w:tcBorders>
            <w:gridSpan w:val="2"/>
            <w:vMerge w:val="continue"/>
          </w:tcPr>
          <w:p>
            <w:pPr>
              <w:spacing w:after="0"/>
              <w:rPr>
                <w:sz w:val="4"/>
                <w:szCs w:val="4"/>
                <w:color w:val="auto"/>
              </w:rPr>
            </w:pPr>
          </w:p>
        </w:tc>
        <w:tc>
          <w:tcPr>
            <w:tcW w:w="1300" w:type="dxa"/>
            <w:vAlign w:val="bottom"/>
            <w:tcBorders>
              <w:right w:val="single" w:sz="8" w:color="auto"/>
            </w:tcBorders>
            <w:vMerge w:val="restart"/>
          </w:tcPr>
          <w:p>
            <w:pPr>
              <w:ind w:left="20"/>
              <w:spacing w:after="0" w:line="111" w:lineRule="exact"/>
              <w:rPr>
                <w:sz w:val="20"/>
                <w:szCs w:val="20"/>
                <w:color w:val="auto"/>
              </w:rPr>
            </w:pPr>
            <w:r>
              <w:rPr>
                <w:rFonts w:ascii="Arial" w:cs="Arial" w:eastAsia="Arial" w:hAnsi="Arial"/>
                <w:sz w:val="10"/>
                <w:szCs w:val="10"/>
                <w:b w:val="1"/>
                <w:bCs w:val="1"/>
                <w:color w:val="auto"/>
              </w:rPr>
              <w:t>overdue loans</w:t>
            </w:r>
          </w:p>
        </w:tc>
        <w:tc>
          <w:tcPr>
            <w:tcW w:w="1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960" w:type="dxa"/>
            <w:vAlign w:val="bottom"/>
            <w:tcBorders>
              <w:top w:val="single" w:sz="8" w:color="auto"/>
            </w:tcBorders>
            <w:gridSpan w:val="4"/>
            <w:vMerge w:val="restart"/>
          </w:tcPr>
          <w:p>
            <w:pPr>
              <w:jc w:val="center"/>
              <w:ind w:right="60"/>
              <w:spacing w:after="0" w:line="114" w:lineRule="exact"/>
              <w:rPr>
                <w:sz w:val="20"/>
                <w:szCs w:val="20"/>
                <w:color w:val="auto"/>
              </w:rPr>
            </w:pPr>
            <w:r>
              <w:rPr>
                <w:rFonts w:ascii="Times New Roman" w:cs="Times New Roman" w:eastAsia="Times New Roman" w:hAnsi="Times New Roman"/>
                <w:sz w:val="10"/>
                <w:szCs w:val="10"/>
                <w:color w:val="auto"/>
                <w:w w:val="96"/>
              </w:rPr>
              <w:t>Internal overdue loans</w:t>
            </w:r>
          </w:p>
        </w:tc>
        <w:tc>
          <w:tcPr>
            <w:tcW w:w="3260" w:type="dxa"/>
            <w:vAlign w:val="bottom"/>
            <w:tcBorders>
              <w:right w:val="single" w:sz="8" w:color="auto"/>
            </w:tcBorders>
            <w:gridSpan w:val="10"/>
            <w:vMerge w:val="restart"/>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400" w:type="dxa"/>
            <w:vAlign w:val="bottom"/>
            <w:tcBorders>
              <w:left w:val="single" w:sz="8" w:color="auto"/>
            </w:tcBorders>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1300" w:type="dxa"/>
            <w:vAlign w:val="bottom"/>
            <w:tcBorders>
              <w:right w:val="single" w:sz="8" w:color="auto"/>
            </w:tcBorders>
            <w:vMerge w:val="continue"/>
          </w:tcPr>
          <w:p>
            <w:pPr>
              <w:spacing w:after="0"/>
              <w:rPr>
                <w:sz w:val="5"/>
                <w:szCs w:val="5"/>
                <w:color w:val="auto"/>
              </w:rPr>
            </w:pPr>
          </w:p>
        </w:tc>
        <w:tc>
          <w:tcPr>
            <w:tcW w:w="1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960" w:type="dxa"/>
            <w:vAlign w:val="bottom"/>
            <w:gridSpan w:val="4"/>
            <w:vMerge w:val="continue"/>
          </w:tcPr>
          <w:p>
            <w:pPr>
              <w:spacing w:after="0"/>
              <w:rPr>
                <w:sz w:val="5"/>
                <w:szCs w:val="5"/>
                <w:color w:val="auto"/>
              </w:rPr>
            </w:pPr>
          </w:p>
        </w:tc>
        <w:tc>
          <w:tcPr>
            <w:tcW w:w="3260" w:type="dxa"/>
            <w:vAlign w:val="bottom"/>
            <w:tcBorders>
              <w:right w:val="single" w:sz="8" w:color="auto"/>
            </w:tcBorders>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400" w:type="dxa"/>
            <w:vAlign w:val="bottom"/>
            <w:tcBorders>
              <w:left w:val="single" w:sz="8" w:color="auto"/>
            </w:tcBorders>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400" w:type="dxa"/>
            <w:vAlign w:val="bottom"/>
            <w:tcBorders>
              <w:lef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tcPr>
          <w:p>
            <w:pPr>
              <w:ind w:left="20"/>
              <w:spacing w:after="0"/>
              <w:rPr>
                <w:sz w:val="20"/>
                <w:szCs w:val="20"/>
                <w:color w:val="auto"/>
              </w:rPr>
            </w:pPr>
            <w:r>
              <w:rPr>
                <w:rFonts w:ascii="Arial" w:cs="Arial" w:eastAsia="Arial" w:hAnsi="Arial"/>
                <w:sz w:val="10"/>
                <w:szCs w:val="10"/>
                <w:b w:val="1"/>
                <w:bCs w:val="1"/>
                <w:color w:val="auto"/>
              </w:rPr>
              <w:t>Coverage ratio of non –</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60" w:type="dxa"/>
            <w:vAlign w:val="bottom"/>
            <w:tcBorders>
              <w:right w:val="single" w:sz="8" w:color="auto"/>
            </w:tcBorders>
            <w:gridSpan w:val="16"/>
          </w:tcPr>
          <w:p>
            <w:pPr>
              <w:jc w:val="center"/>
              <w:ind w:right="2880"/>
              <w:spacing w:after="0"/>
              <w:rPr>
                <w:sz w:val="20"/>
                <w:szCs w:val="20"/>
                <w:color w:val="auto"/>
              </w:rPr>
            </w:pPr>
            <w:r>
              <w:rPr>
                <w:rFonts w:ascii="Times New Roman" w:cs="Times New Roman" w:eastAsia="Times New Roman" w:hAnsi="Times New Roman"/>
                <w:sz w:val="10"/>
                <w:szCs w:val="10"/>
                <w:color w:val="auto"/>
                <w:w w:val="94"/>
              </w:rPr>
              <w:t>Allowance for loans losses</w:t>
            </w:r>
          </w:p>
        </w:tc>
        <w:tc>
          <w:tcPr>
            <w:tcW w:w="0" w:type="dxa"/>
            <w:vAlign w:val="bottom"/>
          </w:tcPr>
          <w:p>
            <w:pPr>
              <w:spacing w:after="0"/>
              <w:rPr>
                <w:sz w:val="1"/>
                <w:szCs w:val="1"/>
                <w:color w:val="auto"/>
              </w:rPr>
            </w:pPr>
          </w:p>
        </w:tc>
      </w:tr>
      <w:tr>
        <w:trPr>
          <w:trHeight w:val="114"/>
        </w:trPr>
        <w:tc>
          <w:tcPr>
            <w:tcW w:w="400" w:type="dxa"/>
            <w:vAlign w:val="bottom"/>
            <w:tcBorders>
              <w:lef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ind w:left="20"/>
              <w:spacing w:after="0" w:line="111" w:lineRule="exact"/>
              <w:rPr>
                <w:sz w:val="20"/>
                <w:szCs w:val="20"/>
                <w:color w:val="auto"/>
              </w:rPr>
            </w:pPr>
            <w:r>
              <w:rPr>
                <w:rFonts w:ascii="Arial" w:cs="Arial" w:eastAsia="Arial" w:hAnsi="Arial"/>
                <w:sz w:val="10"/>
                <w:szCs w:val="10"/>
                <w:b w:val="1"/>
                <w:bCs w:val="1"/>
                <w:color w:val="auto"/>
              </w:rPr>
              <w:t>performing loans</w:t>
            </w: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tcBorders>
              <w:top w:val="single" w:sz="8" w:color="auto"/>
            </w:tcBorders>
            <w:gridSpan w:val="5"/>
          </w:tcPr>
          <w:p>
            <w:pPr>
              <w:jc w:val="center"/>
              <w:spacing w:after="0" w:line="114" w:lineRule="exact"/>
              <w:rPr>
                <w:sz w:val="20"/>
                <w:szCs w:val="20"/>
                <w:color w:val="auto"/>
              </w:rPr>
            </w:pPr>
            <w:r>
              <w:rPr>
                <w:rFonts w:ascii="Times New Roman" w:cs="Times New Roman" w:eastAsia="Times New Roman" w:hAnsi="Times New Roman"/>
                <w:sz w:val="10"/>
                <w:szCs w:val="10"/>
                <w:color w:val="auto"/>
                <w:w w:val="97"/>
              </w:rPr>
              <w:t>Non − performing loans</w:t>
            </w:r>
          </w:p>
        </w:tc>
        <w:tc>
          <w:tcPr>
            <w:tcW w:w="960" w:type="dxa"/>
            <w:vAlign w:val="bottom"/>
            <w:gridSpan w:val="5"/>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60" w:type="dxa"/>
            <w:vAlign w:val="bottom"/>
            <w:tcBorders>
              <w:right w:val="single" w:sz="8" w:color="auto"/>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0" w:type="dxa"/>
            <w:vAlign w:val="bottom"/>
            <w:tcBorders>
              <w:left w:val="single" w:sz="8" w:color="auto"/>
            </w:tcBorders>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400" w:type="dxa"/>
            <w:vAlign w:val="bottom"/>
            <w:tcBorders>
              <w:lef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0"/>
                <w:szCs w:val="10"/>
                <w:b w:val="1"/>
                <w:bCs w:val="1"/>
                <w:color w:val="auto"/>
              </w:rPr>
              <w:t>Cost of risk</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940" w:type="dxa"/>
            <w:vAlign w:val="bottom"/>
            <w:tcBorders>
              <w:bottom w:val="single" w:sz="8" w:color="auto"/>
            </w:tcBorders>
            <w:gridSpan w:val="15"/>
          </w:tcPr>
          <w:p>
            <w:pPr>
              <w:jc w:val="center"/>
              <w:ind w:right="80"/>
              <w:spacing w:after="0"/>
              <w:rPr>
                <w:sz w:val="20"/>
                <w:szCs w:val="20"/>
                <w:color w:val="auto"/>
              </w:rPr>
            </w:pPr>
            <w:r>
              <w:rPr>
                <w:rFonts w:ascii="Times New Roman" w:cs="Times New Roman" w:eastAsia="Times New Roman" w:hAnsi="Times New Roman"/>
                <w:sz w:val="10"/>
                <w:szCs w:val="10"/>
                <w:color w:val="auto"/>
                <w:w w:val="96"/>
              </w:rPr>
              <w:t>Annualized provision for credit losses on loans portfolio, net of recoveries</w:t>
            </w:r>
          </w:p>
        </w:tc>
        <w:tc>
          <w:tcPr>
            <w:tcW w:w="2300" w:type="dxa"/>
            <w:vAlign w:val="bottom"/>
            <w:tcBorders>
              <w:right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400" w:type="dxa"/>
            <w:vAlign w:val="bottom"/>
            <w:tcBorders>
              <w:left w:val="single" w:sz="8" w:color="auto"/>
            </w:tcBorders>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1300" w:type="dxa"/>
            <w:vAlign w:val="bottom"/>
            <w:tcBorders>
              <w:right w:val="single" w:sz="8" w:color="auto"/>
            </w:tcBorders>
            <w:vMerge w:val="continue"/>
          </w:tcPr>
          <w:p>
            <w:pPr>
              <w:spacing w:after="0"/>
              <w:rPr>
                <w:sz w:val="4"/>
                <w:szCs w:val="4"/>
                <w:color w:val="auto"/>
              </w:rPr>
            </w:pPr>
          </w:p>
        </w:tc>
        <w:tc>
          <w:tcPr>
            <w:tcW w:w="1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0" w:type="dxa"/>
            <w:vAlign w:val="bottom"/>
            <w:tcBorders>
              <w:right w:val="single" w:sz="8" w:color="auto"/>
            </w:tcBorders>
            <w:gridSpan w:val="13"/>
            <w:vMerge w:val="restart"/>
          </w:tcPr>
          <w:p>
            <w:pPr>
              <w:jc w:val="center"/>
              <w:ind w:right="3340"/>
              <w:spacing w:after="0" w:line="114" w:lineRule="exact"/>
              <w:rPr>
                <w:sz w:val="20"/>
                <w:szCs w:val="20"/>
                <w:color w:val="auto"/>
              </w:rPr>
            </w:pPr>
            <w:r>
              <w:rPr>
                <w:rFonts w:ascii="Times New Roman" w:cs="Times New Roman" w:eastAsia="Times New Roman" w:hAnsi="Times New Roman"/>
                <w:sz w:val="10"/>
                <w:szCs w:val="10"/>
                <w:color w:val="auto"/>
                <w:w w:val="92"/>
              </w:rPr>
              <w:t>Average Total Loans</w:t>
            </w:r>
          </w:p>
        </w:tc>
        <w:tc>
          <w:tcPr>
            <w:tcW w:w="0" w:type="dxa"/>
            <w:vAlign w:val="bottom"/>
          </w:tcPr>
          <w:p>
            <w:pPr>
              <w:spacing w:after="0"/>
              <w:rPr>
                <w:sz w:val="1"/>
                <w:szCs w:val="1"/>
                <w:color w:val="auto"/>
              </w:rPr>
            </w:pPr>
          </w:p>
        </w:tc>
      </w:tr>
      <w:tr>
        <w:trPr>
          <w:trHeight w:val="59"/>
        </w:trPr>
        <w:tc>
          <w:tcPr>
            <w:tcW w:w="400" w:type="dxa"/>
            <w:vAlign w:val="bottom"/>
            <w:tcBorders>
              <w:left w:val="single" w:sz="8" w:color="auto"/>
            </w:tcBorders>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1300" w:type="dxa"/>
            <w:vAlign w:val="bottom"/>
            <w:tcBorders>
              <w:right w:val="single" w:sz="8" w:color="auto"/>
            </w:tcBorders>
          </w:tcPr>
          <w:p>
            <w:pPr>
              <w:spacing w:after="0"/>
              <w:rPr>
                <w:sz w:val="5"/>
                <w:szCs w:val="5"/>
                <w:color w:val="auto"/>
              </w:rPr>
            </w:pPr>
          </w:p>
        </w:tc>
        <w:tc>
          <w:tcPr>
            <w:tcW w:w="1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0" w:type="dxa"/>
            <w:vAlign w:val="bottom"/>
            <w:tcBorders>
              <w:right w:val="single" w:sz="8" w:color="auto"/>
            </w:tcBorders>
            <w:gridSpan w:val="1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400" w:type="dxa"/>
            <w:vAlign w:val="bottom"/>
            <w:tcBorders>
              <w:left w:val="single" w:sz="8" w:color="auto"/>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400" w:type="dxa"/>
            <w:vAlign w:val="bottom"/>
            <w:tcBorders>
              <w:lef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0"/>
                <w:szCs w:val="10"/>
                <w:b w:val="1"/>
                <w:bCs w:val="1"/>
                <w:color w:val="auto"/>
              </w:rPr>
              <w:t>Operating expenses</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40" w:type="dxa"/>
            <w:vAlign w:val="bottom"/>
            <w:tcBorders>
              <w:right w:val="single" w:sz="8" w:color="auto"/>
            </w:tcBorders>
            <w:gridSpan w:val="21"/>
          </w:tcPr>
          <w:p>
            <w:pPr>
              <w:jc w:val="center"/>
              <w:ind w:right="1900"/>
              <w:spacing w:after="0"/>
              <w:rPr>
                <w:sz w:val="20"/>
                <w:szCs w:val="20"/>
                <w:color w:val="auto"/>
              </w:rPr>
            </w:pPr>
            <w:r>
              <w:rPr>
                <w:rFonts w:ascii="Times New Roman" w:cs="Times New Roman" w:eastAsia="Times New Roman" w:hAnsi="Times New Roman"/>
                <w:sz w:val="10"/>
                <w:szCs w:val="10"/>
                <w:color w:val="auto"/>
                <w:w w:val="95"/>
              </w:rPr>
              <w:t>Salaries and employees benefits + Administrtive expenses + Depreciation and amortization</w:t>
            </w:r>
          </w:p>
        </w:tc>
        <w:tc>
          <w:tcPr>
            <w:tcW w:w="0" w:type="dxa"/>
            <w:vAlign w:val="bottom"/>
          </w:tcPr>
          <w:p>
            <w:pPr>
              <w:spacing w:after="0"/>
              <w:rPr>
                <w:sz w:val="1"/>
                <w:szCs w:val="1"/>
                <w:color w:val="auto"/>
              </w:rPr>
            </w:pPr>
          </w:p>
        </w:tc>
      </w:tr>
      <w:tr>
        <w:trPr>
          <w:trHeight w:val="78"/>
        </w:trPr>
        <w:tc>
          <w:tcPr>
            <w:tcW w:w="400" w:type="dxa"/>
            <w:vAlign w:val="bottom"/>
            <w:tcBorders>
              <w:left w:val="single" w:sz="8" w:color="auto"/>
            </w:tcBorders>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vMerge w:val="continue"/>
          </w:tcPr>
          <w:p>
            <w:pPr>
              <w:spacing w:after="0"/>
              <w:rPr>
                <w:sz w:val="6"/>
                <w:szCs w:val="6"/>
                <w:color w:val="auto"/>
              </w:rPr>
            </w:pPr>
          </w:p>
        </w:tc>
        <w:tc>
          <w:tcPr>
            <w:tcW w:w="1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740" w:type="dxa"/>
            <w:vAlign w:val="bottom"/>
            <w:tcBorders>
              <w:right w:val="single" w:sz="8" w:color="auto"/>
            </w:tcBorders>
            <w:gridSpan w:val="17"/>
            <w:vMerge w:val="restart"/>
          </w:tcPr>
          <w:p>
            <w:pPr>
              <w:jc w:val="center"/>
              <w:ind w:right="2800"/>
              <w:spacing w:after="0"/>
              <w:rPr>
                <w:sz w:val="20"/>
                <w:szCs w:val="20"/>
                <w:color w:val="auto"/>
              </w:rPr>
            </w:pPr>
            <w:r>
              <w:rPr>
                <w:rFonts w:ascii="Times New Roman" w:cs="Times New Roman" w:eastAsia="Times New Roman" w:hAnsi="Times New Roman"/>
                <w:sz w:val="10"/>
                <w:szCs w:val="10"/>
                <w:color w:val="auto"/>
                <w:w w:val="95"/>
              </w:rPr>
              <w:t>+ Association in participation + Acquisition cost</w:t>
            </w:r>
          </w:p>
        </w:tc>
        <w:tc>
          <w:tcPr>
            <w:tcW w:w="0" w:type="dxa"/>
            <w:vAlign w:val="bottom"/>
          </w:tcPr>
          <w:p>
            <w:pPr>
              <w:spacing w:after="0"/>
              <w:rPr>
                <w:sz w:val="1"/>
                <w:szCs w:val="1"/>
                <w:color w:val="auto"/>
              </w:rPr>
            </w:pPr>
          </w:p>
        </w:tc>
      </w:tr>
      <w:tr>
        <w:trPr>
          <w:trHeight w:val="45"/>
        </w:trPr>
        <w:tc>
          <w:tcPr>
            <w:tcW w:w="400" w:type="dxa"/>
            <w:vAlign w:val="bottom"/>
            <w:tcBorders>
              <w:left w:val="single" w:sz="8" w:color="auto"/>
            </w:tcBorders>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1300" w:type="dxa"/>
            <w:vAlign w:val="bottom"/>
            <w:tcBorders>
              <w:right w:val="single" w:sz="8" w:color="auto"/>
            </w:tcBorders>
          </w:tcPr>
          <w:p>
            <w:pPr>
              <w:spacing w:after="0"/>
              <w:rPr>
                <w:sz w:val="3"/>
                <w:szCs w:val="3"/>
                <w:color w:val="auto"/>
              </w:rPr>
            </w:pPr>
          </w:p>
        </w:tc>
        <w:tc>
          <w:tcPr>
            <w:tcW w:w="1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40" w:type="dxa"/>
            <w:vAlign w:val="bottom"/>
            <w:tcBorders>
              <w:right w:val="single" w:sz="8" w:color="auto"/>
            </w:tcBorders>
            <w:gridSpan w:val="1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auto"/>
            </w:tcBorders>
          </w:tcPr>
          <w:p>
            <w:pPr>
              <w:spacing w:after="0"/>
              <w:rPr>
                <w:sz w:val="4"/>
                <w:szCs w:val="4"/>
                <w:color w:val="auto"/>
              </w:rPr>
            </w:pPr>
          </w:p>
        </w:tc>
        <w:tc>
          <w:tcPr>
            <w:tcW w:w="400" w:type="dxa"/>
            <w:vAlign w:val="bottom"/>
            <w:tcBorders>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80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0"/>
                <w:szCs w:val="10"/>
                <w:b w:val="1"/>
                <w:bCs w:val="1"/>
                <w:color w:val="auto"/>
                <w:w w:val="97"/>
              </w:rPr>
              <w:t>Operating</w:t>
            </w:r>
          </w:p>
        </w:tc>
        <w:tc>
          <w:tcPr>
            <w:tcW w:w="1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0"/>
                <w:szCs w:val="10"/>
                <w:b w:val="1"/>
                <w:bCs w:val="1"/>
                <w:color w:val="auto"/>
              </w:rPr>
              <w:t>Operating Income</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80" w:type="dxa"/>
            <w:vAlign w:val="bottom"/>
            <w:tcBorders>
              <w:right w:val="single" w:sz="8" w:color="auto"/>
            </w:tcBorders>
            <w:gridSpan w:val="22"/>
          </w:tcPr>
          <w:p>
            <w:pPr>
              <w:jc w:val="center"/>
              <w:ind w:right="1760"/>
              <w:spacing w:after="0"/>
              <w:rPr>
                <w:sz w:val="20"/>
                <w:szCs w:val="20"/>
                <w:color w:val="auto"/>
              </w:rPr>
            </w:pPr>
            <w:r>
              <w:rPr>
                <w:rFonts w:ascii="Times New Roman" w:cs="Times New Roman" w:eastAsia="Times New Roman" w:hAnsi="Times New Roman"/>
                <w:sz w:val="10"/>
                <w:szCs w:val="10"/>
                <w:color w:val="auto"/>
                <w:w w:val="96"/>
              </w:rPr>
              <w:t>Net interest, similar income, and expenses + Fee income + Net gain on foreign exchange transactions</w:t>
            </w:r>
          </w:p>
        </w:tc>
        <w:tc>
          <w:tcPr>
            <w:tcW w:w="0" w:type="dxa"/>
            <w:vAlign w:val="bottom"/>
          </w:tcPr>
          <w:p>
            <w:pPr>
              <w:spacing w:after="0"/>
              <w:rPr>
                <w:sz w:val="1"/>
                <w:szCs w:val="1"/>
                <w:color w:val="auto"/>
              </w:rPr>
            </w:pPr>
          </w:p>
        </w:tc>
      </w:tr>
      <w:tr>
        <w:trPr>
          <w:trHeight w:val="78"/>
        </w:trPr>
        <w:tc>
          <w:tcPr>
            <w:tcW w:w="800" w:type="dxa"/>
            <w:vAlign w:val="bottom"/>
            <w:tcBorders>
              <w:left w:val="single" w:sz="8" w:color="auto"/>
              <w:right w:val="single" w:sz="8" w:color="auto"/>
            </w:tcBorders>
            <w:gridSpan w:val="2"/>
            <w:vMerge w:val="continue"/>
          </w:tcPr>
          <w:p>
            <w:pPr>
              <w:spacing w:after="0"/>
              <w:rPr>
                <w:sz w:val="6"/>
                <w:szCs w:val="6"/>
                <w:color w:val="auto"/>
              </w:rPr>
            </w:pPr>
          </w:p>
        </w:tc>
        <w:tc>
          <w:tcPr>
            <w:tcW w:w="1300" w:type="dxa"/>
            <w:vAlign w:val="bottom"/>
            <w:tcBorders>
              <w:right w:val="single" w:sz="8" w:color="auto"/>
            </w:tcBorders>
            <w:vMerge w:val="continue"/>
          </w:tcPr>
          <w:p>
            <w:pPr>
              <w:spacing w:after="0"/>
              <w:rPr>
                <w:sz w:val="6"/>
                <w:szCs w:val="6"/>
                <w:color w:val="auto"/>
              </w:rPr>
            </w:pPr>
          </w:p>
        </w:tc>
        <w:tc>
          <w:tcPr>
            <w:tcW w:w="1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0" w:type="dxa"/>
            <w:vAlign w:val="bottom"/>
            <w:tcBorders>
              <w:right w:val="single" w:sz="8" w:color="auto"/>
            </w:tcBorders>
            <w:gridSpan w:val="23"/>
            <w:vMerge w:val="restart"/>
          </w:tcPr>
          <w:p>
            <w:pPr>
              <w:jc w:val="center"/>
              <w:ind w:right="1740"/>
              <w:spacing w:after="0" w:line="102" w:lineRule="exact"/>
              <w:rPr>
                <w:sz w:val="20"/>
                <w:szCs w:val="20"/>
                <w:color w:val="auto"/>
              </w:rPr>
            </w:pPr>
            <w:r>
              <w:rPr>
                <w:rFonts w:ascii="Times New Roman" w:cs="Times New Roman" w:eastAsia="Times New Roman" w:hAnsi="Times New Roman"/>
                <w:sz w:val="10"/>
                <w:szCs w:val="10"/>
                <w:color w:val="auto"/>
                <w:w w:val="95"/>
              </w:rPr>
              <w:t>+ Net gain from associates + Net gain on derivatives held for trading + Net gain from echange differences</w:t>
            </w:r>
          </w:p>
        </w:tc>
        <w:tc>
          <w:tcPr>
            <w:tcW w:w="0" w:type="dxa"/>
            <w:vAlign w:val="bottom"/>
          </w:tcPr>
          <w:p>
            <w:pPr>
              <w:spacing w:after="0"/>
              <w:rPr>
                <w:sz w:val="1"/>
                <w:szCs w:val="1"/>
                <w:color w:val="auto"/>
              </w:rPr>
            </w:pPr>
          </w:p>
        </w:tc>
      </w:tr>
      <w:tr>
        <w:trPr>
          <w:trHeight w:val="23"/>
        </w:trPr>
        <w:tc>
          <w:tcPr>
            <w:tcW w:w="800" w:type="dxa"/>
            <w:vAlign w:val="bottom"/>
            <w:tcBorders>
              <w:left w:val="single" w:sz="8" w:color="auto"/>
              <w:right w:val="single" w:sz="8" w:color="auto"/>
            </w:tcBorders>
            <w:gridSpan w:val="2"/>
            <w:vMerge w:val="continue"/>
          </w:tcPr>
          <w:p>
            <w:pPr>
              <w:spacing w:after="0"/>
              <w:rPr>
                <w:sz w:val="2"/>
                <w:szCs w:val="2"/>
                <w:color w:val="auto"/>
              </w:rPr>
            </w:pPr>
          </w:p>
        </w:tc>
        <w:tc>
          <w:tcPr>
            <w:tcW w:w="1300" w:type="dxa"/>
            <w:vAlign w:val="bottom"/>
            <w:tcBorders>
              <w:right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0" w:type="dxa"/>
            <w:vAlign w:val="bottom"/>
            <w:tcBorders>
              <w:right w:val="single" w:sz="8" w:color="auto"/>
            </w:tcBorders>
            <w:gridSpan w:val="2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6"/>
        </w:trPr>
        <w:tc>
          <w:tcPr>
            <w:tcW w:w="80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0"/>
                <w:szCs w:val="10"/>
                <w:b w:val="1"/>
                <w:bCs w:val="1"/>
                <w:color w:val="auto"/>
                <w:w w:val="95"/>
              </w:rPr>
              <w:t>performance</w:t>
            </w:r>
          </w:p>
        </w:tc>
        <w:tc>
          <w:tcPr>
            <w:tcW w:w="130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800" w:type="dxa"/>
            <w:vAlign w:val="bottom"/>
            <w:tcBorders>
              <w:left w:val="single" w:sz="8" w:color="auto"/>
              <w:right w:val="single" w:sz="8" w:color="auto"/>
            </w:tcBorders>
            <w:gridSpan w:val="2"/>
            <w:vMerge w:val="continue"/>
          </w:tcPr>
          <w:p>
            <w:pPr>
              <w:spacing w:after="0"/>
              <w:rPr>
                <w:sz w:val="3"/>
                <w:szCs w:val="3"/>
                <w:color w:val="auto"/>
              </w:rPr>
            </w:pPr>
          </w:p>
        </w:tc>
        <w:tc>
          <w:tcPr>
            <w:tcW w:w="1300" w:type="dxa"/>
            <w:vAlign w:val="bottom"/>
            <w:tcBorders>
              <w:right w:val="single" w:sz="8" w:color="auto"/>
            </w:tcBorders>
          </w:tcPr>
          <w:p>
            <w:pPr>
              <w:spacing w:after="0"/>
              <w:rPr>
                <w:sz w:val="3"/>
                <w:szCs w:val="3"/>
                <w:color w:val="auto"/>
              </w:rPr>
            </w:pPr>
          </w:p>
        </w:tc>
        <w:tc>
          <w:tcPr>
            <w:tcW w:w="1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40" w:type="dxa"/>
            <w:vAlign w:val="bottom"/>
            <w:tcBorders>
              <w:right w:val="single" w:sz="8" w:color="auto"/>
            </w:tcBorders>
            <w:gridSpan w:val="21"/>
            <w:vMerge w:val="restart"/>
          </w:tcPr>
          <w:p>
            <w:pPr>
              <w:jc w:val="center"/>
              <w:ind w:right="1900"/>
              <w:spacing w:after="0"/>
              <w:rPr>
                <w:sz w:val="20"/>
                <w:szCs w:val="20"/>
                <w:color w:val="auto"/>
              </w:rPr>
            </w:pPr>
            <w:r>
              <w:rPr>
                <w:rFonts w:ascii="Times New Roman" w:cs="Times New Roman" w:eastAsia="Times New Roman" w:hAnsi="Times New Roman"/>
                <w:sz w:val="10"/>
                <w:szCs w:val="10"/>
                <w:color w:val="auto"/>
                <w:w w:val="95"/>
              </w:rPr>
              <w:t>Salaries and employee benefits + Administrative expenses + Depreciation and amortization</w:t>
            </w:r>
          </w:p>
        </w:tc>
        <w:tc>
          <w:tcPr>
            <w:tcW w:w="0" w:type="dxa"/>
            <w:vAlign w:val="bottom"/>
          </w:tcPr>
          <w:p>
            <w:pPr>
              <w:spacing w:after="0" w:line="20" w:lineRule="exact"/>
              <w:rPr>
                <w:sz w:val="1"/>
                <w:szCs w:val="1"/>
                <w:color w:val="auto"/>
              </w:rPr>
            </w:pPr>
          </w:p>
        </w:tc>
      </w:tr>
      <w:tr>
        <w:trPr>
          <w:trHeight w:val="107"/>
        </w:trPr>
        <w:tc>
          <w:tcPr>
            <w:tcW w:w="400" w:type="dxa"/>
            <w:vAlign w:val="bottom"/>
            <w:tcBorders>
              <w:lef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40" w:type="dxa"/>
            <w:vAlign w:val="bottom"/>
            <w:tcBorders>
              <w:right w:val="single" w:sz="8" w:color="auto"/>
            </w:tcBorders>
            <w:gridSpan w:val="2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00" w:type="dxa"/>
            <w:vAlign w:val="bottom"/>
            <w:tcBorders>
              <w:lef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0"/>
                <w:szCs w:val="10"/>
                <w:b w:val="1"/>
                <w:bCs w:val="1"/>
                <w:color w:val="auto"/>
              </w:rPr>
              <w:t>Efficiency ratio</w:t>
            </w: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60" w:type="dxa"/>
            <w:vAlign w:val="bottom"/>
            <w:tcBorders>
              <w:right w:val="single" w:sz="8" w:color="auto"/>
            </w:tcBorders>
            <w:gridSpan w:val="16"/>
          </w:tcPr>
          <w:p>
            <w:pPr>
              <w:ind w:left="340"/>
              <w:spacing w:after="0" w:line="106" w:lineRule="exact"/>
              <w:rPr>
                <w:sz w:val="20"/>
                <w:szCs w:val="20"/>
                <w:color w:val="auto"/>
              </w:rPr>
            </w:pPr>
            <w:r>
              <w:rPr>
                <w:rFonts w:ascii="Times New Roman" w:cs="Times New Roman" w:eastAsia="Times New Roman" w:hAnsi="Times New Roman"/>
                <w:sz w:val="10"/>
                <w:szCs w:val="10"/>
                <w:color w:val="auto"/>
              </w:rPr>
              <w:t>+ Association in participation</w:t>
            </w:r>
          </w:p>
        </w:tc>
        <w:tc>
          <w:tcPr>
            <w:tcW w:w="0" w:type="dxa"/>
            <w:vAlign w:val="bottom"/>
          </w:tcPr>
          <w:p>
            <w:pPr>
              <w:spacing w:after="0"/>
              <w:rPr>
                <w:sz w:val="1"/>
                <w:szCs w:val="1"/>
                <w:color w:val="auto"/>
              </w:rPr>
            </w:pPr>
          </w:p>
        </w:tc>
      </w:tr>
      <w:tr>
        <w:trPr>
          <w:trHeight w:val="80"/>
        </w:trPr>
        <w:tc>
          <w:tcPr>
            <w:tcW w:w="400" w:type="dxa"/>
            <w:vAlign w:val="bottom"/>
            <w:tcBorders>
              <w:left w:val="single" w:sz="8" w:color="auto"/>
            </w:tcBorders>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vMerge w:val="continue"/>
          </w:tcPr>
          <w:p>
            <w:pPr>
              <w:spacing w:after="0"/>
              <w:rPr>
                <w:sz w:val="6"/>
                <w:szCs w:val="6"/>
                <w:color w:val="auto"/>
              </w:rPr>
            </w:pPr>
          </w:p>
        </w:tc>
        <w:tc>
          <w:tcPr>
            <w:tcW w:w="1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3880" w:type="dxa"/>
            <w:vAlign w:val="bottom"/>
            <w:tcBorders>
              <w:top w:val="single" w:sz="8" w:color="auto"/>
            </w:tcBorders>
            <w:gridSpan w:val="18"/>
          </w:tcPr>
          <w:p>
            <w:pPr>
              <w:jc w:val="center"/>
              <w:ind w:right="160"/>
              <w:spacing w:after="0" w:line="80" w:lineRule="exact"/>
              <w:rPr>
                <w:sz w:val="20"/>
                <w:szCs w:val="20"/>
                <w:color w:val="auto"/>
              </w:rPr>
            </w:pPr>
            <w:r>
              <w:rPr>
                <w:rFonts w:ascii="Times New Roman" w:cs="Times New Roman" w:eastAsia="Times New Roman" w:hAnsi="Times New Roman"/>
                <w:sz w:val="8"/>
                <w:szCs w:val="8"/>
                <w:color w:val="auto"/>
              </w:rPr>
              <w:t>Net interest, similar income and expenses + Fee Income + Net gain on foreign</w:t>
            </w:r>
          </w:p>
        </w:tc>
        <w:tc>
          <w:tcPr>
            <w:tcW w:w="1760" w:type="dxa"/>
            <w:vAlign w:val="bottom"/>
            <w:tcBorders>
              <w:right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03"/>
        </w:trPr>
        <w:tc>
          <w:tcPr>
            <w:tcW w:w="400" w:type="dxa"/>
            <w:vAlign w:val="bottom"/>
            <w:tcBorders>
              <w:left w:val="single" w:sz="8" w:color="auto"/>
            </w:tcBorders>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1300" w:type="dxa"/>
            <w:vAlign w:val="bottom"/>
            <w:tcBorders>
              <w:right w:val="single" w:sz="8" w:color="auto"/>
            </w:tcBorders>
          </w:tcPr>
          <w:p>
            <w:pPr>
              <w:spacing w:after="0"/>
              <w:rPr>
                <w:sz w:val="8"/>
                <w:szCs w:val="8"/>
                <w:color w:val="auto"/>
              </w:rPr>
            </w:pPr>
          </w:p>
        </w:tc>
        <w:tc>
          <w:tcPr>
            <w:tcW w:w="1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40" w:type="dxa"/>
            <w:vAlign w:val="bottom"/>
            <w:tcBorders>
              <w:right w:val="single" w:sz="8" w:color="auto"/>
            </w:tcBorders>
            <w:gridSpan w:val="21"/>
          </w:tcPr>
          <w:p>
            <w:pPr>
              <w:jc w:val="center"/>
              <w:ind w:right="1900"/>
              <w:spacing w:after="0" w:line="103" w:lineRule="exact"/>
              <w:rPr>
                <w:sz w:val="20"/>
                <w:szCs w:val="20"/>
                <w:color w:val="auto"/>
              </w:rPr>
            </w:pPr>
            <w:r>
              <w:rPr>
                <w:rFonts w:ascii="Times New Roman" w:cs="Times New Roman" w:eastAsia="Times New Roman" w:hAnsi="Times New Roman"/>
                <w:sz w:val="10"/>
                <w:szCs w:val="10"/>
                <w:color w:val="auto"/>
                <w:w w:val="95"/>
              </w:rPr>
              <w:t>exchange transactions + Net gain from associates+Net gain on derivatives held for trading</w:t>
            </w:r>
          </w:p>
        </w:tc>
        <w:tc>
          <w:tcPr>
            <w:tcW w:w="0" w:type="dxa"/>
            <w:vAlign w:val="bottom"/>
          </w:tcPr>
          <w:p>
            <w:pPr>
              <w:spacing w:after="0"/>
              <w:rPr>
                <w:sz w:val="1"/>
                <w:szCs w:val="1"/>
                <w:color w:val="auto"/>
              </w:rPr>
            </w:pPr>
          </w:p>
        </w:tc>
      </w:tr>
      <w:tr>
        <w:trPr>
          <w:trHeight w:val="124"/>
        </w:trPr>
        <w:tc>
          <w:tcPr>
            <w:tcW w:w="400" w:type="dxa"/>
            <w:vAlign w:val="bottom"/>
            <w:tcBorders>
              <w:lef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1300" w:type="dxa"/>
            <w:vAlign w:val="bottom"/>
            <w:tcBorders>
              <w:right w:val="single" w:sz="8" w:color="auto"/>
            </w:tcBorders>
          </w:tcPr>
          <w:p>
            <w:pPr>
              <w:spacing w:after="0"/>
              <w:rPr>
                <w:sz w:val="10"/>
                <w:szCs w:val="10"/>
                <w:color w:val="auto"/>
              </w:rPr>
            </w:pPr>
          </w:p>
        </w:tc>
        <w:tc>
          <w:tcPr>
            <w:tcW w:w="1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80" w:type="dxa"/>
            <w:vAlign w:val="bottom"/>
            <w:tcBorders>
              <w:right w:val="single" w:sz="8" w:color="auto"/>
            </w:tcBorders>
            <w:gridSpan w:val="18"/>
          </w:tcPr>
          <w:p>
            <w:pPr>
              <w:jc w:val="center"/>
              <w:ind w:right="2460"/>
              <w:spacing w:after="0"/>
              <w:rPr>
                <w:sz w:val="20"/>
                <w:szCs w:val="20"/>
                <w:color w:val="auto"/>
              </w:rPr>
            </w:pPr>
            <w:r>
              <w:rPr>
                <w:rFonts w:ascii="Times New Roman" w:cs="Times New Roman" w:eastAsia="Times New Roman" w:hAnsi="Times New Roman"/>
                <w:sz w:val="10"/>
                <w:szCs w:val="10"/>
                <w:color w:val="auto"/>
                <w:w w:val="95"/>
              </w:rPr>
              <w:t>+ Result on exchange differences+Insurance Underwriting Result</w:t>
            </w:r>
          </w:p>
        </w:tc>
        <w:tc>
          <w:tcPr>
            <w:tcW w:w="0" w:type="dxa"/>
            <w:vAlign w:val="bottom"/>
          </w:tcPr>
          <w:p>
            <w:pPr>
              <w:spacing w:after="0"/>
              <w:rPr>
                <w:sz w:val="1"/>
                <w:szCs w:val="1"/>
                <w:color w:val="auto"/>
              </w:rPr>
            </w:pPr>
          </w:p>
        </w:tc>
      </w:tr>
      <w:tr>
        <w:trPr>
          <w:trHeight w:val="54"/>
        </w:trPr>
        <w:tc>
          <w:tcPr>
            <w:tcW w:w="40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74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400" w:type="dxa"/>
            <w:vAlign w:val="bottom"/>
            <w:tcBorders>
              <w:left w:val="single" w:sz="8" w:color="auto"/>
            </w:tcBorders>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0"/>
                <w:szCs w:val="10"/>
                <w:b w:val="1"/>
                <w:bCs w:val="1"/>
                <w:color w:val="auto"/>
              </w:rPr>
              <w:t>Liquidity Coverage ratio</w:t>
            </w:r>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40" w:type="dxa"/>
            <w:vAlign w:val="bottom"/>
            <w:tcBorders>
              <w:bottom w:val="single" w:sz="8" w:color="auto"/>
            </w:tcBorders>
            <w:gridSpan w:val="17"/>
          </w:tcPr>
          <w:p>
            <w:pPr>
              <w:jc w:val="center"/>
              <w:ind w:right="80"/>
              <w:spacing w:after="0" w:line="115" w:lineRule="exact"/>
              <w:rPr>
                <w:sz w:val="20"/>
                <w:szCs w:val="20"/>
                <w:color w:val="auto"/>
              </w:rPr>
            </w:pPr>
            <w:r>
              <w:rPr>
                <w:rFonts w:ascii="Times New Roman" w:cs="Times New Roman" w:eastAsia="Times New Roman" w:hAnsi="Times New Roman"/>
                <w:sz w:val="10"/>
                <w:szCs w:val="10"/>
                <w:color w:val="auto"/>
                <w:w w:val="96"/>
              </w:rPr>
              <w:t xml:space="preserve">Total High Quality Liquid Assets + Min (Total Inflow 30 days ; 75% </w:t>
            </w:r>
            <w:r>
              <w:rPr>
                <w:rFonts w:ascii="MS PGothic" w:cs="MS PGothic" w:eastAsia="MS PGothic" w:hAnsi="MS PGothic"/>
                <w:sz w:val="10"/>
                <w:szCs w:val="10"/>
                <w:color w:val="auto"/>
                <w:w w:val="96"/>
              </w:rPr>
              <w:t>∗</w:t>
            </w:r>
            <w:r>
              <w:rPr>
                <w:rFonts w:ascii="Times New Roman" w:cs="Times New Roman" w:eastAsia="Times New Roman" w:hAnsi="Times New Roman"/>
                <w:sz w:val="10"/>
                <w:szCs w:val="10"/>
                <w:color w:val="auto"/>
                <w:w w:val="96"/>
              </w:rPr>
              <w:t xml:space="preserve"> Total Outflow 30 days)</w:t>
            </w:r>
          </w:p>
        </w:tc>
        <w:tc>
          <w:tcPr>
            <w:tcW w:w="1900" w:type="dxa"/>
            <w:vAlign w:val="bottom"/>
            <w:tcBorders>
              <w:right w:val="single" w:sz="8" w:color="auto"/>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400" w:type="dxa"/>
            <w:vAlign w:val="bottom"/>
            <w:tcBorders>
              <w:left w:val="single" w:sz="8" w:color="auto"/>
            </w:tcBorders>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1300" w:type="dxa"/>
            <w:vAlign w:val="bottom"/>
            <w:tcBorders>
              <w:right w:val="single" w:sz="8" w:color="auto"/>
            </w:tcBorders>
            <w:vMerge w:val="continue"/>
          </w:tcPr>
          <w:p>
            <w:pPr>
              <w:spacing w:after="0"/>
              <w:rPr>
                <w:sz w:val="3"/>
                <w:szCs w:val="3"/>
                <w:color w:val="auto"/>
              </w:rPr>
            </w:pPr>
          </w:p>
        </w:tc>
        <w:tc>
          <w:tcPr>
            <w:tcW w:w="1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gridSpan w:val="7"/>
          </w:tcPr>
          <w:p>
            <w:pPr>
              <w:spacing w:after="0"/>
              <w:rPr>
                <w:sz w:val="3"/>
                <w:szCs w:val="3"/>
                <w:color w:val="auto"/>
              </w:rPr>
            </w:pPr>
          </w:p>
        </w:tc>
        <w:tc>
          <w:tcPr>
            <w:tcW w:w="4220" w:type="dxa"/>
            <w:vAlign w:val="bottom"/>
            <w:tcBorders>
              <w:right w:val="single" w:sz="8" w:color="auto"/>
            </w:tcBorders>
            <w:gridSpan w:val="14"/>
            <w:vMerge w:val="restart"/>
          </w:tcPr>
          <w:p>
            <w:pPr>
              <w:jc w:val="center"/>
              <w:ind w:right="3320"/>
              <w:spacing w:after="0" w:line="114" w:lineRule="exact"/>
              <w:rPr>
                <w:sz w:val="20"/>
                <w:szCs w:val="20"/>
                <w:color w:val="auto"/>
              </w:rPr>
            </w:pPr>
            <w:r>
              <w:rPr>
                <w:rFonts w:ascii="Times New Roman" w:cs="Times New Roman" w:eastAsia="Times New Roman" w:hAnsi="Times New Roman"/>
                <w:sz w:val="10"/>
                <w:szCs w:val="10"/>
                <w:color w:val="auto"/>
                <w:w w:val="95"/>
              </w:rPr>
              <w:t>Total Outflow 30 days</w:t>
            </w:r>
          </w:p>
        </w:tc>
        <w:tc>
          <w:tcPr>
            <w:tcW w:w="0" w:type="dxa"/>
            <w:vAlign w:val="bottom"/>
          </w:tcPr>
          <w:p>
            <w:pPr>
              <w:spacing w:after="0"/>
              <w:rPr>
                <w:sz w:val="1"/>
                <w:szCs w:val="1"/>
                <w:color w:val="auto"/>
              </w:rPr>
            </w:pPr>
          </w:p>
        </w:tc>
      </w:tr>
      <w:tr>
        <w:trPr>
          <w:trHeight w:val="69"/>
        </w:trPr>
        <w:tc>
          <w:tcPr>
            <w:tcW w:w="400" w:type="dxa"/>
            <w:vAlign w:val="bottom"/>
            <w:tcBorders>
              <w:left w:val="single" w:sz="8" w:color="auto"/>
            </w:tcBorders>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1300" w:type="dxa"/>
            <w:vAlign w:val="bottom"/>
            <w:tcBorders>
              <w:right w:val="single" w:sz="8" w:color="auto"/>
            </w:tcBorders>
          </w:tcPr>
          <w:p>
            <w:pPr>
              <w:spacing w:after="0"/>
              <w:rPr>
                <w:sz w:val="5"/>
                <w:szCs w:val="5"/>
                <w:color w:val="auto"/>
              </w:rPr>
            </w:pPr>
          </w:p>
        </w:tc>
        <w:tc>
          <w:tcPr>
            <w:tcW w:w="1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20" w:type="dxa"/>
            <w:vAlign w:val="bottom"/>
            <w:tcBorders>
              <w:right w:val="single" w:sz="8" w:color="auto"/>
            </w:tcBorders>
            <w:gridSpan w:val="1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400" w:type="dxa"/>
            <w:vAlign w:val="bottom"/>
            <w:tcBorders>
              <w:left w:val="single" w:sz="8" w:color="auto"/>
            </w:tcBorders>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74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45"/>
        </w:trPr>
        <w:tc>
          <w:tcPr>
            <w:tcW w:w="400" w:type="dxa"/>
            <w:vAlign w:val="bottom"/>
            <w:tcBorders>
              <w:left w:val="single" w:sz="8" w:color="auto"/>
            </w:tcBorders>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0"/>
                <w:szCs w:val="10"/>
                <w:b w:val="1"/>
                <w:bCs w:val="1"/>
                <w:color w:val="auto"/>
              </w:rPr>
              <w:t>Regulatory Capital ratio</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0"/>
                <w:szCs w:val="10"/>
                <w:color w:val="auto"/>
                <w:w w:val="94"/>
              </w:rPr>
              <w:t>Regulatory Capital</w:t>
            </w:r>
          </w:p>
        </w:tc>
        <w:tc>
          <w:tcPr>
            <w:tcW w:w="3320" w:type="dxa"/>
            <w:vAlign w:val="bottom"/>
            <w:tcBorders>
              <w:right w:val="single" w:sz="8" w:color="auto"/>
            </w:tcBorders>
            <w:gridSpan w:val="11"/>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80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0"/>
                <w:szCs w:val="10"/>
                <w:b w:val="1"/>
                <w:bCs w:val="1"/>
                <w:color w:val="auto"/>
                <w:w w:val="95"/>
              </w:rPr>
              <w:t>Capital</w:t>
            </w:r>
          </w:p>
        </w:tc>
        <w:tc>
          <w:tcPr>
            <w:tcW w:w="1300" w:type="dxa"/>
            <w:vAlign w:val="bottom"/>
            <w:tcBorders>
              <w:right w:val="single" w:sz="8" w:color="auto"/>
            </w:tcBorders>
            <w:vMerge w:val="continue"/>
          </w:tcPr>
          <w:p>
            <w:pPr>
              <w:spacing w:after="0"/>
              <w:rPr>
                <w:sz w:val="4"/>
                <w:szCs w:val="4"/>
                <w:color w:val="auto"/>
              </w:rPr>
            </w:pPr>
          </w:p>
        </w:tc>
        <w:tc>
          <w:tcPr>
            <w:tcW w:w="1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20" w:type="dxa"/>
            <w:vAlign w:val="bottom"/>
            <w:tcBorders>
              <w:right w:val="single" w:sz="8" w:color="auto"/>
            </w:tcBorders>
            <w:gridSpan w:val="14"/>
            <w:vMerge w:val="restart"/>
          </w:tcPr>
          <w:p>
            <w:pPr>
              <w:jc w:val="center"/>
              <w:ind w:right="3340"/>
              <w:spacing w:after="0"/>
              <w:rPr>
                <w:sz w:val="20"/>
                <w:szCs w:val="20"/>
                <w:color w:val="auto"/>
              </w:rPr>
            </w:pPr>
            <w:r>
              <w:rPr>
                <w:rFonts w:ascii="Times New Roman" w:cs="Times New Roman" w:eastAsia="Times New Roman" w:hAnsi="Times New Roman"/>
                <w:sz w:val="10"/>
                <w:szCs w:val="10"/>
                <w:color w:val="auto"/>
                <w:w w:val="96"/>
              </w:rPr>
              <w:t>Risk − weighted assets</w:t>
            </w:r>
          </w:p>
        </w:tc>
        <w:tc>
          <w:tcPr>
            <w:tcW w:w="0" w:type="dxa"/>
            <w:vAlign w:val="bottom"/>
          </w:tcPr>
          <w:p>
            <w:pPr>
              <w:spacing w:after="0"/>
              <w:rPr>
                <w:sz w:val="1"/>
                <w:szCs w:val="1"/>
                <w:color w:val="auto"/>
              </w:rPr>
            </w:pPr>
          </w:p>
        </w:tc>
      </w:tr>
      <w:tr>
        <w:trPr>
          <w:trHeight w:val="75"/>
        </w:trPr>
        <w:tc>
          <w:tcPr>
            <w:tcW w:w="800" w:type="dxa"/>
            <w:vAlign w:val="bottom"/>
            <w:tcBorders>
              <w:left w:val="single" w:sz="8" w:color="auto"/>
              <w:right w:val="single" w:sz="8" w:color="auto"/>
            </w:tcBorders>
            <w:gridSpan w:val="2"/>
            <w:vMerge w:val="continue"/>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1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20" w:type="dxa"/>
            <w:vAlign w:val="bottom"/>
            <w:tcBorders>
              <w:right w:val="single" w:sz="8" w:color="auto"/>
            </w:tcBorders>
            <w:gridSpan w:val="1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80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0"/>
                <w:szCs w:val="10"/>
                <w:b w:val="1"/>
                <w:bCs w:val="1"/>
                <w:color w:val="auto"/>
                <w:w w:val="96"/>
              </w:rPr>
              <w:t>Adequacy</w:t>
            </w:r>
          </w:p>
        </w:tc>
        <w:tc>
          <w:tcPr>
            <w:tcW w:w="130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800" w:type="dxa"/>
            <w:vAlign w:val="bottom"/>
            <w:tcBorders>
              <w:left w:val="single" w:sz="8" w:color="auto"/>
              <w:right w:val="single" w:sz="8" w:color="auto"/>
            </w:tcBorders>
            <w:gridSpan w:val="2"/>
            <w:vMerge w:val="continue"/>
          </w:tcPr>
          <w:p>
            <w:pPr>
              <w:spacing w:after="0"/>
              <w:rPr>
                <w:sz w:val="7"/>
                <w:szCs w:val="7"/>
                <w:color w:val="auto"/>
              </w:rPr>
            </w:pPr>
          </w:p>
        </w:tc>
        <w:tc>
          <w:tcPr>
            <w:tcW w:w="1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0"/>
                <w:szCs w:val="10"/>
                <w:b w:val="1"/>
                <w:bCs w:val="1"/>
                <w:color w:val="auto"/>
              </w:rPr>
              <w:t>Tier 1 ratio</w:t>
            </w:r>
          </w:p>
        </w:tc>
        <w:tc>
          <w:tcPr>
            <w:tcW w:w="1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gridSpan w:val="2"/>
            <w:vMerge w:val="restart"/>
          </w:tcPr>
          <w:p>
            <w:pPr>
              <w:ind w:left="240"/>
              <w:spacing w:after="0" w:line="165" w:lineRule="exact"/>
              <w:rPr>
                <w:sz w:val="20"/>
                <w:szCs w:val="20"/>
                <w:color w:val="auto"/>
              </w:rPr>
            </w:pPr>
            <w:r>
              <w:rPr>
                <w:rFonts w:ascii="Times New Roman" w:cs="Times New Roman" w:eastAsia="Times New Roman" w:hAnsi="Times New Roman"/>
                <w:sz w:val="10"/>
                <w:szCs w:val="10"/>
                <w:color w:val="auto"/>
              </w:rPr>
              <w:t>Tier 1</w:t>
            </w:r>
            <w:r>
              <w:rPr>
                <w:rFonts w:ascii="Times New Roman" w:cs="Times New Roman" w:eastAsia="Times New Roman" w:hAnsi="Times New Roman"/>
                <w:sz w:val="15"/>
                <w:szCs w:val="15"/>
                <w:color w:val="auto"/>
                <w:vertAlign w:val="superscript"/>
              </w:rPr>
              <w:t>(2)</w:t>
            </w:r>
          </w:p>
        </w:tc>
        <w:tc>
          <w:tcPr>
            <w:tcW w:w="3320" w:type="dxa"/>
            <w:vAlign w:val="bottom"/>
            <w:tcBorders>
              <w:right w:val="single" w:sz="8" w:color="auto"/>
            </w:tcBorders>
            <w:gridSpan w:val="11"/>
            <w:vMerge w:val="restart"/>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400" w:type="dxa"/>
            <w:vAlign w:val="bottom"/>
            <w:tcBorders>
              <w:left w:val="single" w:sz="8" w:color="auto"/>
            </w:tcBorders>
          </w:tcPr>
          <w:p>
            <w:pPr>
              <w:spacing w:after="0"/>
              <w:rPr>
                <w:sz w:val="6"/>
                <w:szCs w:val="6"/>
                <w:color w:val="auto"/>
              </w:rPr>
            </w:pPr>
          </w:p>
        </w:tc>
        <w:tc>
          <w:tcPr>
            <w:tcW w:w="40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vMerge w:val="continue"/>
          </w:tcPr>
          <w:p>
            <w:pPr>
              <w:spacing w:after="0"/>
              <w:rPr>
                <w:sz w:val="6"/>
                <w:szCs w:val="6"/>
                <w:color w:val="auto"/>
              </w:rPr>
            </w:pPr>
          </w:p>
        </w:tc>
        <w:tc>
          <w:tcPr>
            <w:tcW w:w="1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gridSpan w:val="2"/>
            <w:vMerge w:val="continue"/>
          </w:tcPr>
          <w:p>
            <w:pPr>
              <w:spacing w:after="0"/>
              <w:rPr>
                <w:sz w:val="6"/>
                <w:szCs w:val="6"/>
                <w:color w:val="auto"/>
              </w:rPr>
            </w:pPr>
          </w:p>
        </w:tc>
        <w:tc>
          <w:tcPr>
            <w:tcW w:w="3320" w:type="dxa"/>
            <w:vAlign w:val="bottom"/>
            <w:tcBorders>
              <w:right w:val="single" w:sz="8" w:color="auto"/>
            </w:tcBorders>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400" w:type="dxa"/>
            <w:vAlign w:val="bottom"/>
            <w:tcBorders>
              <w:left w:val="single" w:sz="8" w:color="auto"/>
            </w:tcBorders>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1300" w:type="dxa"/>
            <w:vAlign w:val="bottom"/>
            <w:tcBorders>
              <w:right w:val="single" w:sz="8" w:color="auto"/>
            </w:tcBorders>
            <w:vMerge w:val="continue"/>
          </w:tcPr>
          <w:p>
            <w:pPr>
              <w:spacing w:after="0"/>
              <w:rPr>
                <w:sz w:val="3"/>
                <w:szCs w:val="3"/>
                <w:color w:val="auto"/>
              </w:rPr>
            </w:pPr>
          </w:p>
        </w:tc>
        <w:tc>
          <w:tcPr>
            <w:tcW w:w="1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20" w:type="dxa"/>
            <w:vAlign w:val="bottom"/>
            <w:tcBorders>
              <w:right w:val="single" w:sz="8" w:color="auto"/>
            </w:tcBorders>
            <w:gridSpan w:val="14"/>
            <w:vMerge w:val="restart"/>
          </w:tcPr>
          <w:p>
            <w:pPr>
              <w:jc w:val="center"/>
              <w:ind w:right="3300"/>
              <w:spacing w:after="0" w:line="114" w:lineRule="exact"/>
              <w:rPr>
                <w:sz w:val="20"/>
                <w:szCs w:val="20"/>
                <w:color w:val="auto"/>
              </w:rPr>
            </w:pPr>
            <w:r>
              <w:rPr>
                <w:rFonts w:ascii="Times New Roman" w:cs="Times New Roman" w:eastAsia="Times New Roman" w:hAnsi="Times New Roman"/>
                <w:sz w:val="10"/>
                <w:szCs w:val="10"/>
                <w:color w:val="auto"/>
                <w:w w:val="96"/>
              </w:rPr>
              <w:t>Risk − weighted assets</w:t>
            </w:r>
          </w:p>
        </w:tc>
        <w:tc>
          <w:tcPr>
            <w:tcW w:w="0" w:type="dxa"/>
            <w:vAlign w:val="bottom"/>
          </w:tcPr>
          <w:p>
            <w:pPr>
              <w:spacing w:after="0"/>
              <w:rPr>
                <w:sz w:val="1"/>
                <w:szCs w:val="1"/>
                <w:color w:val="auto"/>
              </w:rPr>
            </w:pPr>
          </w:p>
        </w:tc>
      </w:tr>
      <w:tr>
        <w:trPr>
          <w:trHeight w:val="69"/>
        </w:trPr>
        <w:tc>
          <w:tcPr>
            <w:tcW w:w="400" w:type="dxa"/>
            <w:vAlign w:val="bottom"/>
            <w:tcBorders>
              <w:left w:val="single" w:sz="8" w:color="auto"/>
            </w:tcBorders>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1300" w:type="dxa"/>
            <w:vAlign w:val="bottom"/>
            <w:tcBorders>
              <w:right w:val="single" w:sz="8" w:color="auto"/>
            </w:tcBorders>
          </w:tcPr>
          <w:p>
            <w:pPr>
              <w:spacing w:after="0"/>
              <w:rPr>
                <w:sz w:val="5"/>
                <w:szCs w:val="5"/>
                <w:color w:val="auto"/>
              </w:rPr>
            </w:pPr>
          </w:p>
        </w:tc>
        <w:tc>
          <w:tcPr>
            <w:tcW w:w="1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20" w:type="dxa"/>
            <w:vAlign w:val="bottom"/>
            <w:tcBorders>
              <w:right w:val="single" w:sz="8" w:color="auto"/>
            </w:tcBorders>
            <w:gridSpan w:val="1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400" w:type="dxa"/>
            <w:vAlign w:val="bottom"/>
            <w:tcBorders>
              <w:left w:val="single" w:sz="8" w:color="auto"/>
            </w:tcBorders>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400" w:type="dxa"/>
            <w:vAlign w:val="bottom"/>
            <w:tcBorders>
              <w:left w:val="single" w:sz="8" w:color="auto"/>
            </w:tcBorders>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tcPr>
          <w:p>
            <w:pPr>
              <w:ind w:left="20"/>
              <w:spacing w:after="0"/>
              <w:rPr>
                <w:sz w:val="20"/>
                <w:szCs w:val="20"/>
                <w:color w:val="auto"/>
              </w:rPr>
            </w:pPr>
            <w:r>
              <w:rPr>
                <w:rFonts w:ascii="Arial" w:cs="Arial" w:eastAsia="Arial" w:hAnsi="Arial"/>
                <w:sz w:val="10"/>
                <w:szCs w:val="10"/>
                <w:b w:val="1"/>
                <w:bCs w:val="1"/>
                <w:color w:val="auto"/>
              </w:rPr>
              <w:t>Common Equity Tier 1</w:t>
            </w:r>
          </w:p>
        </w:tc>
        <w:tc>
          <w:tcPr>
            <w:tcW w:w="14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300" w:type="dxa"/>
            <w:vAlign w:val="bottom"/>
            <w:tcBorders>
              <w:bottom w:val="single" w:sz="8" w:color="auto"/>
            </w:tcBorders>
            <w:gridSpan w:val="22"/>
          </w:tcPr>
          <w:p>
            <w:pPr>
              <w:jc w:val="center"/>
              <w:ind w:right="260"/>
              <w:spacing w:after="0" w:line="145" w:lineRule="exact"/>
              <w:rPr>
                <w:sz w:val="20"/>
                <w:szCs w:val="20"/>
                <w:color w:val="auto"/>
              </w:rPr>
            </w:pPr>
            <w:r>
              <w:rPr>
                <w:rFonts w:ascii="Times New Roman" w:cs="Times New Roman" w:eastAsia="Times New Roman" w:hAnsi="Times New Roman"/>
                <w:sz w:val="10"/>
                <w:szCs w:val="10"/>
                <w:color w:val="auto"/>
                <w:w w:val="95"/>
              </w:rPr>
              <w:t xml:space="preserve">Capital + Reserves − 100% of applicable deductions </w:t>
            </w:r>
            <w:r>
              <w:rPr>
                <w:rFonts w:ascii="Times New Roman" w:cs="Times New Roman" w:eastAsia="Times New Roman" w:hAnsi="Times New Roman"/>
                <w:sz w:val="15"/>
                <w:szCs w:val="15"/>
                <w:color w:val="auto"/>
                <w:w w:val="95"/>
                <w:vertAlign w:val="superscript"/>
              </w:rPr>
              <w:t>(4)</w:t>
            </w:r>
            <w:r>
              <w:rPr>
                <w:rFonts w:ascii="Times New Roman" w:cs="Times New Roman" w:eastAsia="Times New Roman" w:hAnsi="Times New Roman"/>
                <w:sz w:val="10"/>
                <w:szCs w:val="10"/>
                <w:color w:val="auto"/>
                <w:w w:val="95"/>
              </w:rPr>
              <w:t xml:space="preserve"> + Retained Earnings + Unrealized gains or losses</w:t>
            </w:r>
          </w:p>
        </w:tc>
        <w:tc>
          <w:tcPr>
            <w:tcW w:w="15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00" w:type="dxa"/>
            <w:vAlign w:val="bottom"/>
            <w:tcBorders>
              <w:left w:val="single" w:sz="8" w:color="auto"/>
              <w:bottom w:val="single" w:sz="8" w:color="auto"/>
            </w:tcBorders>
          </w:tcPr>
          <w:p>
            <w:pPr>
              <w:spacing w:after="0"/>
              <w:rPr>
                <w:sz w:val="17"/>
                <w:szCs w:val="17"/>
                <w:color w:val="auto"/>
              </w:rPr>
            </w:pPr>
          </w:p>
        </w:tc>
        <w:tc>
          <w:tcPr>
            <w:tcW w:w="40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 xml:space="preserve">ratio </w:t>
            </w:r>
            <w:r>
              <w:rPr>
                <w:rFonts w:ascii="Arial" w:cs="Arial" w:eastAsia="Arial" w:hAnsi="Arial"/>
                <w:sz w:val="15"/>
                <w:szCs w:val="15"/>
                <w:b w:val="1"/>
                <w:bCs w:val="1"/>
                <w:color w:val="auto"/>
                <w:vertAlign w:val="superscript"/>
              </w:rPr>
              <w:t>(3)</w:t>
            </w:r>
          </w:p>
        </w:tc>
        <w:tc>
          <w:tcPr>
            <w:tcW w:w="14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13"/>
          </w:tcPr>
          <w:p>
            <w:pPr>
              <w:jc w:val="center"/>
              <w:ind w:right="1840"/>
              <w:spacing w:after="0"/>
              <w:rPr>
                <w:sz w:val="20"/>
                <w:szCs w:val="20"/>
                <w:color w:val="auto"/>
              </w:rPr>
            </w:pPr>
            <w:r>
              <w:rPr>
                <w:rFonts w:ascii="Times New Roman" w:cs="Times New Roman" w:eastAsia="Times New Roman" w:hAnsi="Times New Roman"/>
                <w:sz w:val="10"/>
                <w:szCs w:val="10"/>
                <w:color w:val="auto"/>
                <w:w w:val="96"/>
              </w:rPr>
              <w:t>Risk − weighted assets</w:t>
            </w:r>
          </w:p>
        </w:tc>
        <w:tc>
          <w:tcPr>
            <w:tcW w:w="15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138" w:hanging="138"/>
        <w:spacing w:after="0"/>
        <w:tabs>
          <w:tab w:leader="none" w:pos="138" w:val="left"/>
        </w:tabs>
        <w:numPr>
          <w:ilvl w:val="0"/>
          <w:numId w:val="63"/>
        </w:numPr>
        <w:rPr>
          <w:rFonts w:ascii="Arial" w:cs="Arial" w:eastAsia="Arial" w:hAnsi="Arial"/>
          <w:sz w:val="10"/>
          <w:szCs w:val="10"/>
          <w:color w:val="auto"/>
        </w:rPr>
      </w:pPr>
      <w:r>
        <w:rPr>
          <w:rFonts w:ascii="Arial" w:cs="Arial" w:eastAsia="Arial" w:hAnsi="Arial"/>
          <w:sz w:val="10"/>
          <w:szCs w:val="10"/>
          <w:color w:val="auto"/>
        </w:rPr>
        <w:t>Averages are determined as the average of period-beginning and period-ending balances.</w:t>
      </w:r>
    </w:p>
    <w:p>
      <w:pPr>
        <w:ind w:left="138" w:hanging="138"/>
        <w:spacing w:after="0" w:line="214" w:lineRule="auto"/>
        <w:tabs>
          <w:tab w:leader="none" w:pos="138" w:val="left"/>
        </w:tabs>
        <w:numPr>
          <w:ilvl w:val="0"/>
          <w:numId w:val="63"/>
        </w:numPr>
        <w:rPr>
          <w:rFonts w:ascii="Arial" w:cs="Arial" w:eastAsia="Arial" w:hAnsi="Arial"/>
          <w:sz w:val="10"/>
          <w:szCs w:val="10"/>
          <w:color w:val="auto"/>
        </w:rPr>
      </w:pPr>
      <w:r>
        <w:rPr>
          <w:rFonts w:ascii="Arial" w:cs="Arial" w:eastAsia="Arial" w:hAnsi="Arial"/>
          <w:sz w:val="10"/>
          <w:szCs w:val="10"/>
          <w:color w:val="auto"/>
        </w:rPr>
        <w:t>Includes investment in subsidiaries, goodwill, intangibles and deferred tax that rely on future profitability.</w:t>
      </w:r>
    </w:p>
    <w:p>
      <w:pPr>
        <w:ind w:left="138" w:hanging="138"/>
        <w:spacing w:after="0" w:line="214" w:lineRule="auto"/>
        <w:tabs>
          <w:tab w:leader="none" w:pos="138" w:val="left"/>
        </w:tabs>
        <w:numPr>
          <w:ilvl w:val="0"/>
          <w:numId w:val="63"/>
        </w:numPr>
        <w:rPr>
          <w:rFonts w:ascii="Arial" w:cs="Arial" w:eastAsia="Arial" w:hAnsi="Arial"/>
          <w:sz w:val="10"/>
          <w:szCs w:val="10"/>
          <w:color w:val="auto"/>
        </w:rPr>
      </w:pPr>
      <w:r>
        <w:rPr>
          <w:rFonts w:ascii="Arial" w:cs="Arial" w:eastAsia="Arial" w:hAnsi="Arial"/>
          <w:sz w:val="10"/>
          <w:szCs w:val="10"/>
          <w:color w:val="auto"/>
        </w:rPr>
        <w:t>Common Equity Tier 1 = Capital Stock + Reserves + Accumulated earnings – Unrealized profits or losses - 100% deductions (investment in subsidiaries, goodwill, intangible assets and deferred tax assets based on future returns).</w:t>
      </w:r>
    </w:p>
    <w:p>
      <w:pPr>
        <w:ind w:left="138" w:hanging="138"/>
        <w:spacing w:after="0"/>
        <w:tabs>
          <w:tab w:leader="none" w:pos="138" w:val="left"/>
        </w:tabs>
        <w:numPr>
          <w:ilvl w:val="0"/>
          <w:numId w:val="63"/>
        </w:numPr>
        <w:rPr>
          <w:rFonts w:ascii="Arial" w:cs="Arial" w:eastAsia="Arial" w:hAnsi="Arial"/>
          <w:sz w:val="10"/>
          <w:szCs w:val="10"/>
          <w:color w:val="auto"/>
        </w:rPr>
      </w:pPr>
      <w:r>
        <w:rPr>
          <w:rFonts w:ascii="Arial" w:cs="Arial" w:eastAsia="Arial" w:hAnsi="Arial"/>
          <w:sz w:val="10"/>
          <w:szCs w:val="10"/>
          <w:color w:val="auto"/>
        </w:rPr>
        <w:t>Includes investment in subsidiaries, goodwill, intangible assets and deferred taxes based on future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753110</wp:posOffset>
            </wp:positionV>
            <wp:extent cx="7164705" cy="133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64705" cy="133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93345</wp:posOffset>
            </wp:positionV>
            <wp:extent cx="1502410" cy="4438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210820</wp:posOffset>
            </wp:positionV>
            <wp:extent cx="1750695" cy="3263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750695" cy="326390"/>
                    </a:xfrm>
                    <a:prstGeom prst="rect">
                      <a:avLst/>
                    </a:prstGeom>
                    <a:noFill/>
                  </pic:spPr>
                </pic:pic>
              </a:graphicData>
            </a:graphic>
          </wp:anchor>
        </w:drawing>
      </w:r>
    </w:p>
    <w:p>
      <w:pPr>
        <w:sectPr>
          <w:pgSz w:w="11900" w:h="16838" w:orient="portrait"/>
          <w:cols w:equalWidth="0" w:num="1">
            <w:col w:w="10478"/>
          </w:cols>
          <w:pgMar w:left="302" w:top="300" w:right="1119" w:bottom="1440" w:gutter="0" w:footer="0" w:header="0"/>
        </w:sectPr>
      </w:pPr>
    </w:p>
    <w:bookmarkStart w:id="72" w:name="page73"/>
    <w:bookmarkEnd w:id="72"/>
    <w:p>
      <w:pPr>
        <w:ind w:left="2720"/>
        <w:spacing w:after="0"/>
        <w:tabs>
          <w:tab w:leader="none" w:pos="2920" w:val="left"/>
          <w:tab w:leader="none" w:pos="7920" w:val="left"/>
        </w:tabs>
        <w:rPr>
          <w:sz w:val="20"/>
          <w:szCs w:val="20"/>
          <w:color w:val="auto"/>
        </w:rPr>
      </w:pPr>
      <w:r>
        <w:rPr>
          <w:rFonts w:ascii="Arial" w:cs="Arial" w:eastAsia="Arial" w:hAnsi="Arial"/>
          <w:sz w:val="27"/>
          <w:szCs w:val="27"/>
          <w:color w:val="A6A6A6"/>
          <w:vertAlign w:val="superscript"/>
        </w:rPr>
        <w:drawing>
          <wp:anchor simplePos="0" relativeHeight="251657728" behindDoc="1" locked="0" layoutInCell="0" allowOverlap="1">
            <wp:simplePos x="0" y="0"/>
            <wp:positionH relativeFrom="page">
              <wp:posOffset>191770</wp:posOffset>
            </wp:positionH>
            <wp:positionV relativeFrom="page">
              <wp:posOffset>88900</wp:posOffset>
            </wp:positionV>
            <wp:extent cx="7164705" cy="5810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64705" cy="581025"/>
                    </a:xfrm>
                    <a:prstGeom prst="rect">
                      <a:avLst/>
                    </a:prstGeom>
                    <a:noFill/>
                  </pic:spPr>
                </pic:pic>
              </a:graphicData>
            </a:graphic>
          </wp:anchor>
        </w:drawing>
        <w:t>|</w:t>
      </w:r>
      <w:r>
        <w:rPr>
          <w:sz w:val="20"/>
          <w:szCs w:val="20"/>
          <w:color w:val="auto"/>
        </w:rPr>
        <w:tab/>
      </w:r>
      <w:r>
        <w:rPr>
          <w:rFonts w:ascii="Arial" w:cs="Arial" w:eastAsia="Arial" w:hAnsi="Arial"/>
          <w:sz w:val="27"/>
          <w:szCs w:val="27"/>
          <w:b w:val="1"/>
          <w:bCs w:val="1"/>
          <w:color w:val="A6A6A6"/>
          <w:vertAlign w:val="superscript"/>
        </w:rPr>
        <w:t>Earnings Release 2Q / 2024</w:t>
      </w:r>
      <w:r>
        <w:rPr>
          <w:sz w:val="20"/>
          <w:szCs w:val="20"/>
          <w:color w:val="auto"/>
        </w:rPr>
        <w:tab/>
      </w:r>
      <w:r>
        <w:rPr>
          <w:rFonts w:ascii="Arial" w:cs="Arial" w:eastAsia="Arial" w:hAnsi="Arial"/>
          <w:sz w:val="13"/>
          <w:szCs w:val="13"/>
          <w:b w:val="1"/>
          <w:bCs w:val="1"/>
          <w:color w:val="E93BAC"/>
        </w:rPr>
        <w:t>Analysis of 2Q24 Consolidated Results</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FFFFFF"/>
        </w:rPr>
        <w:t>12. Appendix</w:t>
      </w:r>
    </w:p>
    <w:p>
      <w:pPr>
        <w:spacing w:after="0" w:line="244" w:lineRule="exact"/>
        <w:rPr>
          <w:sz w:val="20"/>
          <w:szCs w:val="20"/>
          <w:color w:val="auto"/>
        </w:rPr>
      </w:pPr>
    </w:p>
    <w:p>
      <w:pPr>
        <w:ind w:left="860"/>
        <w:spacing w:after="0"/>
        <w:tabs>
          <w:tab w:leader="none" w:pos="1320" w:val="left"/>
        </w:tabs>
        <w:rPr>
          <w:sz w:val="20"/>
          <w:szCs w:val="20"/>
          <w:color w:val="auto"/>
        </w:rPr>
      </w:pPr>
      <w:r>
        <w:rPr>
          <w:rFonts w:ascii="Arial" w:cs="Arial" w:eastAsia="Arial" w:hAnsi="Arial"/>
          <w:sz w:val="14"/>
          <w:szCs w:val="14"/>
          <w:b w:val="1"/>
          <w:bCs w:val="1"/>
          <w:color w:val="auto"/>
        </w:rPr>
        <w:t>12.8.</w:t>
      </w:r>
      <w:r>
        <w:rPr>
          <w:sz w:val="20"/>
          <w:szCs w:val="20"/>
          <w:color w:val="auto"/>
        </w:rPr>
        <w:tab/>
      </w:r>
      <w:r>
        <w:rPr>
          <w:rFonts w:ascii="Arial" w:cs="Arial" w:eastAsia="Arial" w:hAnsi="Arial"/>
          <w:sz w:val="13"/>
          <w:szCs w:val="13"/>
          <w:b w:val="1"/>
          <w:bCs w:val="1"/>
          <w:color w:val="auto"/>
        </w:rPr>
        <w:t>Glossary of terms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80" w:type="dxa"/>
            <w:vAlign w:val="bottom"/>
            <w:tcBorders>
              <w:right w:val="single" w:sz="8" w:color="auto"/>
            </w:tcBorders>
          </w:tcPr>
          <w:p>
            <w:pPr>
              <w:spacing w:after="0"/>
              <w:rPr>
                <w:sz w:val="11"/>
                <w:szCs w:val="11"/>
                <w:color w:val="auto"/>
              </w:rPr>
            </w:pPr>
          </w:p>
        </w:tc>
        <w:tc>
          <w:tcPr>
            <w:tcW w:w="3460" w:type="dxa"/>
            <w:vAlign w:val="bottom"/>
            <w:tcBorders>
              <w:top w:val="single" w:sz="8" w:color="auto"/>
              <w:bottom w:val="single" w:sz="8" w:color="auto"/>
              <w:right w:val="single" w:sz="8" w:color="auto"/>
            </w:tcBorders>
            <w:shd w:val="clear" w:color="auto" w:fill="2AD2C9"/>
          </w:tcPr>
          <w:p>
            <w:pPr>
              <w:ind w:left="1560"/>
              <w:spacing w:after="0"/>
              <w:rPr>
                <w:sz w:val="20"/>
                <w:szCs w:val="20"/>
                <w:color w:val="auto"/>
              </w:rPr>
            </w:pPr>
            <w:r>
              <w:rPr>
                <w:rFonts w:ascii="Arial" w:cs="Arial" w:eastAsia="Arial" w:hAnsi="Arial"/>
                <w:sz w:val="11"/>
                <w:szCs w:val="11"/>
                <w:b w:val="1"/>
                <w:bCs w:val="1"/>
                <w:color w:val="FFFFFF"/>
              </w:rPr>
              <w:t>Term</w:t>
            </w:r>
          </w:p>
        </w:tc>
        <w:tc>
          <w:tcPr>
            <w:tcW w:w="6120" w:type="dxa"/>
            <w:vAlign w:val="bottom"/>
            <w:tcBorders>
              <w:top w:val="single" w:sz="8" w:color="auto"/>
              <w:bottom w:val="single" w:sz="8" w:color="auto"/>
              <w:right w:val="single" w:sz="8" w:color="auto"/>
            </w:tcBorders>
            <w:shd w:val="clear" w:color="auto" w:fill="2AD2C9"/>
          </w:tcPr>
          <w:p>
            <w:pPr>
              <w:ind w:left="2780"/>
              <w:spacing w:after="0"/>
              <w:rPr>
                <w:sz w:val="20"/>
                <w:szCs w:val="20"/>
                <w:color w:val="auto"/>
              </w:rPr>
            </w:pPr>
            <w:r>
              <w:rPr>
                <w:rFonts w:ascii="Arial" w:cs="Arial" w:eastAsia="Arial" w:hAnsi="Arial"/>
                <w:sz w:val="11"/>
                <w:szCs w:val="11"/>
                <w:b w:val="1"/>
                <w:bCs w:val="1"/>
                <w:color w:val="FFFFFF"/>
              </w:rPr>
              <w:t>Definition</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880" w:type="dxa"/>
            <w:vAlign w:val="bottom"/>
            <w:tcBorders>
              <w:right w:val="single" w:sz="8" w:color="auto"/>
            </w:tcBorders>
          </w:tcPr>
          <w:p>
            <w:pPr>
              <w:spacing w:after="0"/>
              <w:rPr>
                <w:sz w:val="9"/>
                <w:szCs w:val="9"/>
                <w:color w:val="auto"/>
              </w:rPr>
            </w:pPr>
          </w:p>
        </w:tc>
        <w:tc>
          <w:tcPr>
            <w:tcW w:w="3460" w:type="dxa"/>
            <w:vAlign w:val="bottom"/>
            <w:tcBorders>
              <w:bottom w:val="single" w:sz="8" w:color="auto"/>
              <w:right w:val="single" w:sz="8" w:color="auto"/>
            </w:tcBorders>
          </w:tcPr>
          <w:p>
            <w:pPr>
              <w:spacing w:after="0" w:line="114" w:lineRule="exact"/>
              <w:rPr>
                <w:sz w:val="20"/>
                <w:szCs w:val="20"/>
                <w:color w:val="auto"/>
              </w:rPr>
            </w:pPr>
            <w:r>
              <w:rPr>
                <w:rFonts w:ascii="Arial" w:cs="Arial" w:eastAsia="Arial" w:hAnsi="Arial"/>
                <w:sz w:val="11"/>
                <w:szCs w:val="11"/>
                <w:b w:val="1"/>
                <w:bCs w:val="1"/>
                <w:color w:val="auto"/>
              </w:rPr>
              <w:t>AFP</w:t>
            </w:r>
          </w:p>
        </w:tc>
        <w:tc>
          <w:tcPr>
            <w:tcW w:w="6120" w:type="dxa"/>
            <w:vAlign w:val="bottom"/>
            <w:tcBorders>
              <w:bottom w:val="single" w:sz="8" w:color="auto"/>
              <w:right w:val="single" w:sz="8" w:color="auto"/>
            </w:tcBorders>
          </w:tcPr>
          <w:p>
            <w:pPr>
              <w:spacing w:after="0" w:line="114" w:lineRule="exact"/>
              <w:rPr>
                <w:sz w:val="20"/>
                <w:szCs w:val="20"/>
                <w:color w:val="auto"/>
              </w:rPr>
            </w:pPr>
            <w:r>
              <w:rPr>
                <w:rFonts w:ascii="Arial" w:cs="Arial" w:eastAsia="Arial" w:hAnsi="Arial"/>
                <w:sz w:val="11"/>
                <w:szCs w:val="11"/>
                <w:color w:val="auto"/>
              </w:rPr>
              <w:t>Administradora de Fondo de Pensiones or Private Pension Funds Administrators</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880" w:type="dxa"/>
            <w:vAlign w:val="bottom"/>
            <w:tcBorders>
              <w:right w:val="single" w:sz="8" w:color="auto"/>
            </w:tcBorders>
          </w:tcPr>
          <w:p>
            <w:pPr>
              <w:spacing w:after="0"/>
              <w:rPr>
                <w:sz w:val="9"/>
                <w:szCs w:val="9"/>
                <w:color w:val="auto"/>
              </w:rPr>
            </w:pPr>
          </w:p>
        </w:tc>
        <w:tc>
          <w:tcPr>
            <w:tcW w:w="3460" w:type="dxa"/>
            <w:vAlign w:val="bottom"/>
            <w:tcBorders>
              <w:bottom w:val="single" w:sz="8" w:color="auto"/>
              <w:right w:val="single" w:sz="8" w:color="auto"/>
            </w:tcBorders>
          </w:tcPr>
          <w:p>
            <w:pPr>
              <w:spacing w:after="0" w:line="114" w:lineRule="exact"/>
              <w:rPr>
                <w:sz w:val="20"/>
                <w:szCs w:val="20"/>
                <w:color w:val="auto"/>
              </w:rPr>
            </w:pPr>
            <w:r>
              <w:rPr>
                <w:rFonts w:ascii="Arial" w:cs="Arial" w:eastAsia="Arial" w:hAnsi="Arial"/>
                <w:sz w:val="11"/>
                <w:szCs w:val="11"/>
                <w:b w:val="1"/>
                <w:bCs w:val="1"/>
                <w:color w:val="auto"/>
              </w:rPr>
              <w:t>BCRP</w:t>
            </w:r>
          </w:p>
        </w:tc>
        <w:tc>
          <w:tcPr>
            <w:tcW w:w="6120" w:type="dxa"/>
            <w:vAlign w:val="bottom"/>
            <w:tcBorders>
              <w:bottom w:val="single" w:sz="8" w:color="auto"/>
              <w:right w:val="single" w:sz="8" w:color="auto"/>
            </w:tcBorders>
          </w:tcPr>
          <w:p>
            <w:pPr>
              <w:spacing w:after="0" w:line="114" w:lineRule="exact"/>
              <w:rPr>
                <w:sz w:val="20"/>
                <w:szCs w:val="20"/>
                <w:color w:val="auto"/>
              </w:rPr>
            </w:pPr>
            <w:r>
              <w:rPr>
                <w:rFonts w:ascii="Arial" w:cs="Arial" w:eastAsia="Arial" w:hAnsi="Arial"/>
                <w:sz w:val="11"/>
                <w:szCs w:val="11"/>
                <w:color w:val="auto"/>
              </w:rPr>
              <w:t>Banco Central de Reserva del Perú or Peruvian Central Bank</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80" w:type="dxa"/>
            <w:vAlign w:val="bottom"/>
            <w:tcBorders>
              <w:right w:val="single" w:sz="8" w:color="auto"/>
            </w:tcBorders>
          </w:tcPr>
          <w:p>
            <w:pPr>
              <w:spacing w:after="0"/>
              <w:rPr>
                <w:sz w:val="9"/>
                <w:szCs w:val="9"/>
                <w:color w:val="auto"/>
              </w:rPr>
            </w:pPr>
          </w:p>
        </w:tc>
        <w:tc>
          <w:tcPr>
            <w:tcW w:w="3460" w:type="dxa"/>
            <w:vAlign w:val="bottom"/>
            <w:tcBorders>
              <w:right w:val="single" w:sz="8" w:color="auto"/>
            </w:tcBorders>
          </w:tcPr>
          <w:p>
            <w:pPr>
              <w:spacing w:after="0"/>
              <w:rPr>
                <w:sz w:val="9"/>
                <w:szCs w:val="9"/>
                <w:color w:val="auto"/>
              </w:rPr>
            </w:pPr>
          </w:p>
        </w:tc>
        <w:tc>
          <w:tcPr>
            <w:tcW w:w="6120" w:type="dxa"/>
            <w:vAlign w:val="bottom"/>
            <w:tcBorders>
              <w:right w:val="single" w:sz="8" w:color="auto"/>
            </w:tcBorders>
          </w:tcPr>
          <w:p>
            <w:pPr>
              <w:spacing w:after="0" w:line="107" w:lineRule="exact"/>
              <w:rPr>
                <w:sz w:val="20"/>
                <w:szCs w:val="20"/>
                <w:color w:val="auto"/>
              </w:rPr>
            </w:pPr>
            <w:r>
              <w:rPr>
                <w:rFonts w:ascii="Arial" w:cs="Arial" w:eastAsia="Arial" w:hAnsi="Arial"/>
                <w:sz w:val="11"/>
                <w:szCs w:val="11"/>
                <w:color w:val="auto"/>
              </w:rPr>
              <w:t>Stock of financially included clients through BCP since 2020. New clients with BCP savings accounts or new Yape affiliates</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880" w:type="dxa"/>
            <w:vAlign w:val="bottom"/>
            <w:tcBorders>
              <w:right w:val="single" w:sz="8" w:color="auto"/>
            </w:tcBorders>
          </w:tcPr>
          <w:p>
            <w:pPr>
              <w:spacing w:after="0"/>
              <w:rPr>
                <w:sz w:val="10"/>
                <w:szCs w:val="10"/>
                <w:color w:val="auto"/>
              </w:rPr>
            </w:pPr>
          </w:p>
        </w:tc>
        <w:tc>
          <w:tcPr>
            <w:tcW w:w="3460" w:type="dxa"/>
            <w:vAlign w:val="bottom"/>
            <w:tcBorders>
              <w:right w:val="single" w:sz="8" w:color="auto"/>
            </w:tcBorders>
          </w:tcPr>
          <w:p>
            <w:pPr>
              <w:spacing w:after="0" w:line="124" w:lineRule="exact"/>
              <w:rPr>
                <w:sz w:val="20"/>
                <w:szCs w:val="20"/>
                <w:color w:val="auto"/>
              </w:rPr>
            </w:pPr>
            <w:r>
              <w:rPr>
                <w:rFonts w:ascii="Arial" w:cs="Arial" w:eastAsia="Arial" w:hAnsi="Arial"/>
                <w:sz w:val="11"/>
                <w:szCs w:val="11"/>
                <w:b w:val="1"/>
                <w:bCs w:val="1"/>
                <w:color w:val="auto"/>
              </w:rPr>
              <w:t>Financially Included</w:t>
            </w:r>
          </w:p>
        </w:tc>
        <w:tc>
          <w:tcPr>
            <w:tcW w:w="6120" w:type="dxa"/>
            <w:vAlign w:val="bottom"/>
            <w:tcBorders>
              <w:right w:val="single" w:sz="8" w:color="auto"/>
            </w:tcBorders>
          </w:tcPr>
          <w:p>
            <w:pPr>
              <w:spacing w:after="0" w:line="124" w:lineRule="exact"/>
              <w:rPr>
                <w:sz w:val="20"/>
                <w:szCs w:val="20"/>
                <w:color w:val="auto"/>
              </w:rPr>
            </w:pPr>
            <w:r>
              <w:rPr>
                <w:rFonts w:ascii="Arial" w:cs="Arial" w:eastAsia="Arial" w:hAnsi="Arial"/>
                <w:sz w:val="11"/>
                <w:szCs w:val="11"/>
                <w:color w:val="auto"/>
              </w:rPr>
              <w:t>that: (i) Do not have debt in the financial system nor other BCP products in the 12 months prior to their inclusion, and (ii)</w:t>
            </w: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880" w:type="dxa"/>
            <w:vAlign w:val="bottom"/>
            <w:tcBorders>
              <w:right w:val="single" w:sz="8" w:color="auto"/>
            </w:tcBorders>
          </w:tcPr>
          <w:p>
            <w:pPr>
              <w:spacing w:after="0"/>
              <w:rPr>
                <w:sz w:val="11"/>
                <w:szCs w:val="11"/>
                <w:color w:val="auto"/>
              </w:rPr>
            </w:pPr>
          </w:p>
        </w:tc>
        <w:tc>
          <w:tcPr>
            <w:tcW w:w="3460" w:type="dxa"/>
            <w:vAlign w:val="bottom"/>
            <w:tcBorders>
              <w:bottom w:val="single" w:sz="8" w:color="auto"/>
              <w:right w:val="single" w:sz="8" w:color="auto"/>
            </w:tcBorders>
          </w:tcPr>
          <w:p>
            <w:pPr>
              <w:spacing w:after="0"/>
              <w:rPr>
                <w:sz w:val="11"/>
                <w:szCs w:val="11"/>
                <w:color w:val="auto"/>
              </w:rPr>
            </w:pPr>
          </w:p>
        </w:tc>
        <w:tc>
          <w:tcPr>
            <w:tcW w:w="6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Have performed at least 3 monthly transactions on average through any BCP channel in the last 3 months</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880" w:type="dxa"/>
            <w:vAlign w:val="bottom"/>
            <w:tcBorders>
              <w:right w:val="single" w:sz="8" w:color="auto"/>
            </w:tcBorders>
          </w:tcPr>
          <w:p>
            <w:pPr>
              <w:spacing w:after="0"/>
              <w:rPr>
                <w:sz w:val="9"/>
                <w:szCs w:val="9"/>
                <w:color w:val="auto"/>
              </w:rPr>
            </w:pPr>
          </w:p>
        </w:tc>
        <w:tc>
          <w:tcPr>
            <w:tcW w:w="3460" w:type="dxa"/>
            <w:vAlign w:val="bottom"/>
            <w:tcBorders>
              <w:bottom w:val="single" w:sz="8" w:color="auto"/>
              <w:right w:val="single" w:sz="8" w:color="auto"/>
            </w:tcBorders>
          </w:tcPr>
          <w:p>
            <w:pPr>
              <w:spacing w:after="0" w:line="114" w:lineRule="exact"/>
              <w:rPr>
                <w:sz w:val="20"/>
                <w:szCs w:val="20"/>
                <w:color w:val="auto"/>
              </w:rPr>
            </w:pPr>
            <w:r>
              <w:rPr>
                <w:rFonts w:ascii="Arial" w:cs="Arial" w:eastAsia="Arial" w:hAnsi="Arial"/>
                <w:sz w:val="11"/>
                <w:szCs w:val="11"/>
                <w:b w:val="1"/>
                <w:bCs w:val="1"/>
                <w:color w:val="auto"/>
              </w:rPr>
              <w:t>GMV</w:t>
            </w:r>
          </w:p>
        </w:tc>
        <w:tc>
          <w:tcPr>
            <w:tcW w:w="6120" w:type="dxa"/>
            <w:vAlign w:val="bottom"/>
            <w:tcBorders>
              <w:bottom w:val="single" w:sz="8" w:color="auto"/>
              <w:right w:val="single" w:sz="8" w:color="auto"/>
            </w:tcBorders>
          </w:tcPr>
          <w:p>
            <w:pPr>
              <w:spacing w:after="0" w:line="114" w:lineRule="exact"/>
              <w:rPr>
                <w:sz w:val="20"/>
                <w:szCs w:val="20"/>
                <w:color w:val="auto"/>
              </w:rPr>
            </w:pPr>
            <w:r>
              <w:rPr>
                <w:rFonts w:ascii="Arial" w:cs="Arial" w:eastAsia="Arial" w:hAnsi="Arial"/>
                <w:sz w:val="11"/>
                <w:szCs w:val="11"/>
                <w:color w:val="auto"/>
              </w:rPr>
              <w:t>Gross Merchant Volume</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880" w:type="dxa"/>
            <w:vAlign w:val="bottom"/>
            <w:tcBorders>
              <w:right w:val="single" w:sz="8" w:color="auto"/>
            </w:tcBorders>
          </w:tcPr>
          <w:p>
            <w:pPr>
              <w:spacing w:after="0"/>
              <w:rPr>
                <w:sz w:val="9"/>
                <w:szCs w:val="9"/>
                <w:color w:val="auto"/>
              </w:rPr>
            </w:pPr>
          </w:p>
        </w:tc>
        <w:tc>
          <w:tcPr>
            <w:tcW w:w="346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b w:val="1"/>
                <w:bCs w:val="1"/>
                <w:color w:val="auto"/>
              </w:rPr>
              <w:t>Government Program Loans (“GP” or “GP Loans”)</w:t>
            </w:r>
          </w:p>
        </w:tc>
        <w:tc>
          <w:tcPr>
            <w:tcW w:w="6120" w:type="dxa"/>
            <w:vAlign w:val="bottom"/>
            <w:tcBorders>
              <w:right w:val="single" w:sz="8" w:color="auto"/>
            </w:tcBorders>
          </w:tcPr>
          <w:p>
            <w:pPr>
              <w:spacing w:after="0" w:line="107" w:lineRule="exact"/>
              <w:rPr>
                <w:sz w:val="20"/>
                <w:szCs w:val="20"/>
                <w:color w:val="auto"/>
              </w:rPr>
            </w:pPr>
            <w:r>
              <w:rPr>
                <w:rFonts w:ascii="Arial" w:cs="Arial" w:eastAsia="Arial" w:hAnsi="Arial"/>
                <w:sz w:val="11"/>
                <w:szCs w:val="11"/>
                <w:color w:val="auto"/>
              </w:rPr>
              <w:t>Loan Portfolio related to Reactiva Peru, FAE-Mype and Impulso Myperu programs to respond quickly and effectively to</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880" w:type="dxa"/>
            <w:vAlign w:val="bottom"/>
            <w:tcBorders>
              <w:right w:val="single" w:sz="8" w:color="auto"/>
            </w:tcBorders>
          </w:tcPr>
          <w:p>
            <w:pPr>
              <w:spacing w:after="0"/>
              <w:rPr>
                <w:sz w:val="7"/>
                <w:szCs w:val="7"/>
                <w:color w:val="auto"/>
              </w:rPr>
            </w:pPr>
          </w:p>
        </w:tc>
        <w:tc>
          <w:tcPr>
            <w:tcW w:w="3460" w:type="dxa"/>
            <w:vAlign w:val="bottom"/>
            <w:tcBorders>
              <w:right w:val="single" w:sz="8" w:color="auto"/>
            </w:tcBorders>
            <w:vMerge w:val="continue"/>
          </w:tcPr>
          <w:p>
            <w:pPr>
              <w:spacing w:after="0"/>
              <w:rPr>
                <w:sz w:val="7"/>
                <w:szCs w:val="7"/>
                <w:color w:val="auto"/>
              </w:rPr>
            </w:pPr>
          </w:p>
        </w:tc>
        <w:tc>
          <w:tcPr>
            <w:tcW w:w="612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liquidity needs and maintain the payment chain</w:t>
            </w: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880" w:type="dxa"/>
            <w:vAlign w:val="bottom"/>
            <w:tcBorders>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c>
          <w:tcPr>
            <w:tcW w:w="6120" w:type="dxa"/>
            <w:vAlign w:val="bottom"/>
            <w:tcBorders>
              <w:bottom w:val="single" w:sz="8" w:color="auto"/>
              <w:right w:val="single" w:sz="8" w:color="auto"/>
            </w:tcBorders>
            <w:vMerge w:val="continue"/>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4"/>
        </w:trPr>
        <w:tc>
          <w:tcPr>
            <w:tcW w:w="880" w:type="dxa"/>
            <w:vAlign w:val="bottom"/>
            <w:tcBorders>
              <w:right w:val="single" w:sz="8" w:color="auto"/>
            </w:tcBorders>
          </w:tcPr>
          <w:p>
            <w:pPr>
              <w:spacing w:after="0"/>
              <w:rPr>
                <w:sz w:val="9"/>
                <w:szCs w:val="9"/>
                <w:color w:val="auto"/>
              </w:rPr>
            </w:pPr>
          </w:p>
        </w:tc>
        <w:tc>
          <w:tcPr>
            <w:tcW w:w="3460" w:type="dxa"/>
            <w:vAlign w:val="bottom"/>
            <w:tcBorders>
              <w:bottom w:val="single" w:sz="8" w:color="auto"/>
              <w:right w:val="single" w:sz="8" w:color="auto"/>
            </w:tcBorders>
          </w:tcPr>
          <w:p>
            <w:pPr>
              <w:spacing w:after="0" w:line="114" w:lineRule="exact"/>
              <w:rPr>
                <w:sz w:val="20"/>
                <w:szCs w:val="20"/>
                <w:color w:val="auto"/>
              </w:rPr>
            </w:pPr>
            <w:r>
              <w:rPr>
                <w:rFonts w:ascii="Arial" w:cs="Arial" w:eastAsia="Arial" w:hAnsi="Arial"/>
                <w:sz w:val="11"/>
                <w:szCs w:val="11"/>
                <w:b w:val="1"/>
                <w:bCs w:val="1"/>
                <w:color w:val="auto"/>
              </w:rPr>
              <w:t>MAU</w:t>
            </w:r>
          </w:p>
        </w:tc>
        <w:tc>
          <w:tcPr>
            <w:tcW w:w="6120" w:type="dxa"/>
            <w:vAlign w:val="bottom"/>
            <w:tcBorders>
              <w:bottom w:val="single" w:sz="8" w:color="auto"/>
              <w:right w:val="single" w:sz="8" w:color="auto"/>
            </w:tcBorders>
          </w:tcPr>
          <w:p>
            <w:pPr>
              <w:spacing w:after="0" w:line="114" w:lineRule="exact"/>
              <w:rPr>
                <w:sz w:val="20"/>
                <w:szCs w:val="20"/>
                <w:color w:val="auto"/>
              </w:rPr>
            </w:pPr>
            <w:r>
              <w:rPr>
                <w:rFonts w:ascii="Arial" w:cs="Arial" w:eastAsia="Arial" w:hAnsi="Arial"/>
                <w:sz w:val="11"/>
                <w:szCs w:val="11"/>
                <w:color w:val="auto"/>
              </w:rPr>
              <w:t>Monthly Active Users</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880" w:type="dxa"/>
            <w:vAlign w:val="bottom"/>
            <w:tcBorders>
              <w:right w:val="single" w:sz="8" w:color="auto"/>
            </w:tcBorders>
          </w:tcPr>
          <w:p>
            <w:pPr>
              <w:spacing w:after="0"/>
              <w:rPr>
                <w:sz w:val="9"/>
                <w:szCs w:val="9"/>
                <w:color w:val="auto"/>
              </w:rPr>
            </w:pPr>
          </w:p>
        </w:tc>
        <w:tc>
          <w:tcPr>
            <w:tcW w:w="3460" w:type="dxa"/>
            <w:vAlign w:val="bottom"/>
            <w:tcBorders>
              <w:bottom w:val="single" w:sz="8" w:color="auto"/>
              <w:right w:val="single" w:sz="8" w:color="auto"/>
            </w:tcBorders>
          </w:tcPr>
          <w:p>
            <w:pPr>
              <w:spacing w:after="0" w:line="114" w:lineRule="exact"/>
              <w:rPr>
                <w:sz w:val="20"/>
                <w:szCs w:val="20"/>
                <w:color w:val="auto"/>
              </w:rPr>
            </w:pPr>
            <w:r>
              <w:rPr>
                <w:rFonts w:ascii="Arial" w:cs="Arial" w:eastAsia="Arial" w:hAnsi="Arial"/>
                <w:sz w:val="11"/>
                <w:szCs w:val="11"/>
                <w:b w:val="1"/>
                <w:bCs w:val="1"/>
                <w:color w:val="auto"/>
              </w:rPr>
              <w:t>MEF</w:t>
            </w:r>
          </w:p>
        </w:tc>
        <w:tc>
          <w:tcPr>
            <w:tcW w:w="6120" w:type="dxa"/>
            <w:vAlign w:val="bottom"/>
            <w:tcBorders>
              <w:bottom w:val="single" w:sz="8" w:color="auto"/>
              <w:right w:val="single" w:sz="8" w:color="auto"/>
            </w:tcBorders>
          </w:tcPr>
          <w:p>
            <w:pPr>
              <w:spacing w:after="0" w:line="114" w:lineRule="exact"/>
              <w:rPr>
                <w:sz w:val="20"/>
                <w:szCs w:val="20"/>
                <w:color w:val="auto"/>
              </w:rPr>
            </w:pPr>
            <w:r>
              <w:rPr>
                <w:rFonts w:ascii="Arial" w:cs="Arial" w:eastAsia="Arial" w:hAnsi="Arial"/>
                <w:sz w:val="11"/>
                <w:szCs w:val="11"/>
                <w:color w:val="auto"/>
              </w:rPr>
              <w:t>Ministry of Economy and Finance of Peru</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880" w:type="dxa"/>
            <w:vAlign w:val="bottom"/>
            <w:tcBorders>
              <w:right w:val="single" w:sz="8" w:color="auto"/>
            </w:tcBorders>
          </w:tcPr>
          <w:p>
            <w:pPr>
              <w:spacing w:after="0"/>
              <w:rPr>
                <w:sz w:val="9"/>
                <w:szCs w:val="9"/>
                <w:color w:val="auto"/>
              </w:rPr>
            </w:pPr>
          </w:p>
        </w:tc>
        <w:tc>
          <w:tcPr>
            <w:tcW w:w="3460" w:type="dxa"/>
            <w:vAlign w:val="bottom"/>
            <w:tcBorders>
              <w:bottom w:val="single" w:sz="8" w:color="auto"/>
              <w:right w:val="single" w:sz="8" w:color="auto"/>
            </w:tcBorders>
          </w:tcPr>
          <w:p>
            <w:pPr>
              <w:spacing w:after="0" w:line="114" w:lineRule="exact"/>
              <w:rPr>
                <w:sz w:val="20"/>
                <w:szCs w:val="20"/>
                <w:color w:val="auto"/>
              </w:rPr>
            </w:pPr>
            <w:r>
              <w:rPr>
                <w:rFonts w:ascii="Arial" w:cs="Arial" w:eastAsia="Arial" w:hAnsi="Arial"/>
                <w:sz w:val="11"/>
                <w:szCs w:val="11"/>
                <w:b w:val="1"/>
                <w:bCs w:val="1"/>
                <w:color w:val="auto"/>
              </w:rPr>
              <w:t>TPV</w:t>
            </w:r>
          </w:p>
        </w:tc>
        <w:tc>
          <w:tcPr>
            <w:tcW w:w="6120" w:type="dxa"/>
            <w:vAlign w:val="bottom"/>
            <w:tcBorders>
              <w:bottom w:val="single" w:sz="8" w:color="auto"/>
              <w:right w:val="single" w:sz="8" w:color="auto"/>
            </w:tcBorders>
          </w:tcPr>
          <w:p>
            <w:pPr>
              <w:spacing w:after="0" w:line="114" w:lineRule="exact"/>
              <w:rPr>
                <w:sz w:val="20"/>
                <w:szCs w:val="20"/>
                <w:color w:val="auto"/>
              </w:rPr>
            </w:pPr>
            <w:r>
              <w:rPr>
                <w:rFonts w:ascii="Arial" w:cs="Arial" w:eastAsia="Arial" w:hAnsi="Arial"/>
                <w:sz w:val="11"/>
                <w:szCs w:val="11"/>
                <w:color w:val="auto"/>
              </w:rPr>
              <w:t>Total Payment Volume</w:t>
            </w: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7"/>
        </w:trPr>
        <w:tc>
          <w:tcPr>
            <w:tcW w:w="8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-502285</wp:posOffset>
            </wp:positionV>
            <wp:extent cx="1502410" cy="4438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502410" cy="443865"/>
                    </a:xfrm>
                    <a:prstGeom prst="rect">
                      <a:avLst/>
                    </a:prstGeom>
                    <a:noFill/>
                  </pic:spPr>
                </pic:pic>
              </a:graphicData>
            </a:graphic>
          </wp:anchor>
        </w:drawing>
        <w:drawing>
          <wp:anchor simplePos="0" relativeHeight="251657728" behindDoc="1" locked="0" layoutInCell="0" allowOverlap="1">
            <wp:simplePos x="0" y="0"/>
            <wp:positionH relativeFrom="column">
              <wp:posOffset>5415915</wp:posOffset>
            </wp:positionH>
            <wp:positionV relativeFrom="paragraph">
              <wp:posOffset>-384810</wp:posOffset>
            </wp:positionV>
            <wp:extent cx="1750695" cy="3263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750695" cy="326390"/>
                    </a:xfrm>
                    <a:prstGeom prst="rect">
                      <a:avLst/>
                    </a:prstGeom>
                    <a:noFill/>
                  </pic:spPr>
                </pic:pic>
              </a:graphicData>
            </a:graphic>
          </wp:anchor>
        </w:drawing>
      </w:r>
    </w:p>
    <w:sectPr>
      <w:pgSz w:w="11900" w:h="16838" w:orient="portrait"/>
      <w:cols w:equalWidth="0" w:num="1">
        <w:col w:w="11280"/>
      </w:cols>
      <w:pgMar w:left="300" w:top="30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1."/>
      <w:numFmt w:val="decimal"/>
      <w:start w:val="1"/>
    </w:lvl>
  </w:abstractNum>
  <w:abstractNum w:abstractNumId="2">
    <w:nsid w:val="4516DDE9"/>
    <w:multiLevelType w:val="hybridMultilevel"/>
    <w:lvl w:ilvl="0">
      <w:lvlJc w:val="left"/>
      <w:lvlText w:val="(%1)"/>
      <w:numFmt w:val="decimal"/>
      <w:start w:val="1"/>
    </w:lvl>
  </w:abstractNum>
  <w:abstractNum w:abstractNumId="3">
    <w:nsid w:val="3006C83E"/>
    <w:multiLevelType w:val="hybridMultilevel"/>
    <w:lvl w:ilvl="0">
      <w:lvlJc w:val="left"/>
      <w:lvlText w:val="(%1)"/>
      <w:numFmt w:val="decimal"/>
      <w:start w:val="1"/>
    </w:lvl>
  </w:abstractNum>
  <w:abstractNum w:abstractNumId="4">
    <w:nsid w:val="614FD4A1"/>
    <w:multiLevelType w:val="hybridMultilevel"/>
    <w:lvl w:ilvl="0">
      <w:lvlJc w:val="left"/>
      <w:lvlText w:val="(%1)"/>
      <w:numFmt w:val="decimal"/>
      <w:start w:val="11"/>
    </w:lvl>
  </w:abstractNum>
  <w:abstractNum w:abstractNumId="5">
    <w:nsid w:val="419AC241"/>
    <w:multiLevelType w:val="hybridMultilevel"/>
    <w:lvl w:ilvl="0">
      <w:lvlJc w:val="left"/>
      <w:lvlText w:val="(%1)"/>
      <w:numFmt w:val="decimal"/>
      <w:start w:val="1"/>
    </w:lvl>
  </w:abstractNum>
  <w:abstractNum w:abstractNumId="6">
    <w:nsid w:val="5577F8E1"/>
    <w:multiLevelType w:val="hybridMultilevel"/>
    <w:lvl w:ilvl="0">
      <w:lvlJc w:val="left"/>
      <w:lvlText w:val="(%1)"/>
      <w:numFmt w:val="decimal"/>
      <w:start w:val="1"/>
    </w:lvl>
  </w:abstractNum>
  <w:abstractNum w:abstractNumId="7">
    <w:nsid w:val="440BADFC"/>
    <w:multiLevelType w:val="hybridMultilevel"/>
    <w:lvl w:ilvl="0">
      <w:lvlJc w:val="left"/>
      <w:lvlText w:val="(%1)"/>
      <w:numFmt w:val="decimal"/>
      <w:start w:val="1"/>
    </w:lvl>
  </w:abstractNum>
  <w:abstractNum w:abstractNumId="8">
    <w:nsid w:val="5072367"/>
    <w:multiLevelType w:val="hybridMultilevel"/>
    <w:lvl w:ilvl="0">
      <w:lvlJc w:val="left"/>
      <w:lvlText w:val="●"/>
      <w:numFmt w:val="bullet"/>
      <w:start w:val="1"/>
    </w:lvl>
    <w:lvl w:ilvl="1">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1)"/>
      <w:numFmt w:val="decimal"/>
      <w:start w:val="1"/>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1)"/>
      <w:numFmt w:val="decimal"/>
      <w:start w:val="1"/>
    </w:lvl>
  </w:abstractNum>
  <w:abstractNum w:abstractNumId="19">
    <w:nsid w:val="3855585C"/>
    <w:multiLevelType w:val="hybridMultilevel"/>
    <w:lvl w:ilvl="0">
      <w:lvlJc w:val="left"/>
      <w:lvlText w:val="(%1)"/>
      <w:numFmt w:val="decimal"/>
      <w:start w:val="1"/>
    </w:lvl>
  </w:abstractNum>
  <w:abstractNum w:abstractNumId="20">
    <w:nsid w:val="70A64E2A"/>
    <w:multiLevelType w:val="hybridMultilevel"/>
    <w:lvl w:ilvl="0">
      <w:lvlJc w:val="left"/>
      <w:lvlText w:val="(%1)"/>
      <w:numFmt w:val="decimal"/>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1)"/>
      <w:numFmt w:val="decimal"/>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1"/>
      <w:numFmt w:val="bullet"/>
      <w:start w:val="1"/>
    </w:lvl>
  </w:abstractNum>
  <w:abstractNum w:abstractNumId="34">
    <w:nsid w:val="684A481A"/>
    <w:multiLevelType w:val="hybridMultilevel"/>
    <w:lvl w:ilvl="0">
      <w:lvlJc w:val="left"/>
      <w:lvlText w:val="%1."/>
      <w:numFmt w:val="decimal"/>
      <w:start w:val="7"/>
    </w:lvl>
    <w:lvl w:ilvl="1">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2"/>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1)"/>
      <w:numFmt w:val="decimal"/>
      <w:start w:val="1"/>
    </w:lvl>
  </w:abstractNum>
  <w:abstractNum w:abstractNumId="41">
    <w:nsid w:val="12E685FB"/>
    <w:multiLevelType w:val="hybridMultilevel"/>
    <w:lvl w:ilvl="0">
      <w:lvlJc w:val="left"/>
      <w:lvlText w:val="●"/>
      <w:numFmt w:val="bullet"/>
      <w:start w:val="1"/>
    </w:lvl>
    <w:lvl w:ilvl="1">
      <w:lvlJc w:val="left"/>
      <w:lvlText w:val="●"/>
      <w:numFmt w:val="bullet"/>
      <w:start w:val="1"/>
    </w:lvl>
  </w:abstractNum>
  <w:abstractNum w:abstractNumId="42">
    <w:nsid w:val="70C6A529"/>
    <w:multiLevelType w:val="hybridMultilevel"/>
    <w:lvl w:ilvl="0">
      <w:lvlJc w:val="left"/>
      <w:lvlText w:val="(%1)"/>
      <w:numFmt w:val="decimal"/>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1"/>
      <w:numFmt w:val="bullet"/>
      <w:start w:val="1"/>
    </w:lvl>
  </w:abstractNum>
  <w:abstractNum w:abstractNumId="45">
    <w:nsid w:val="4F4EF005"/>
    <w:multiLevelType w:val="hybridMultilevel"/>
    <w:lvl w:ilvl="0">
      <w:lvlJc w:val="left"/>
      <w:lvlText w:val="2"/>
      <w:numFmt w:val="bullet"/>
      <w:start w:val="1"/>
    </w:lvl>
  </w:abstractNum>
  <w:abstractNum w:abstractNumId="46">
    <w:nsid w:val="23F9C13C"/>
    <w:multiLevelType w:val="hybridMultilevel"/>
    <w:lvl w:ilvl="0">
      <w:lvlJc w:val="left"/>
      <w:lvlText w:val="(%1)"/>
      <w:numFmt w:val="decimal"/>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1)"/>
      <w:numFmt w:val="decimal"/>
      <w:start w:val="1"/>
    </w:lvl>
  </w:abstractNum>
  <w:abstractNum w:abstractNumId="49">
    <w:nsid w:val="39386575"/>
    <w:multiLevelType w:val="hybridMultilevel"/>
    <w:lvl w:ilvl="0">
      <w:lvlJc w:val="left"/>
      <w:lvlText w:val="(%1)"/>
      <w:numFmt w:val="decimal"/>
      <w:start w:val="1"/>
    </w:lvl>
  </w:abstractNum>
  <w:abstractNum w:abstractNumId="50">
    <w:nsid w:val="1CF10FD8"/>
    <w:multiLevelType w:val="hybridMultilevel"/>
    <w:lvl w:ilvl="0">
      <w:lvlJc w:val="left"/>
      <w:lvlText w:val="[%1]"/>
      <w:numFmt w:val="decimal"/>
      <w:start w:val="1"/>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1)"/>
      <w:numFmt w:val="decimal"/>
      <w:start w:val="1"/>
    </w:lvl>
  </w:abstractNum>
  <w:abstractNum w:abstractNumId="53">
    <w:nsid w:val="47398C89"/>
    <w:multiLevelType w:val="hybridMultilevel"/>
    <w:lvl w:ilvl="0">
      <w:lvlJc w:val="left"/>
      <w:lvlText w:val="(%1)"/>
      <w:numFmt w:val="decimal"/>
      <w:start w:val="1"/>
    </w:lvl>
  </w:abstractNum>
  <w:abstractNum w:abstractNumId="54">
    <w:nsid w:val="354FE9F9"/>
    <w:multiLevelType w:val="hybridMultilevel"/>
    <w:lvl w:ilvl="0">
      <w:lvlJc w:val="left"/>
      <w:lvlText w:val="(%1)"/>
      <w:numFmt w:val="decimal"/>
      <w:start w:val="1"/>
    </w:lvl>
  </w:abstractNum>
  <w:abstractNum w:abstractNumId="55">
    <w:nsid w:val="15B5AF5C"/>
    <w:multiLevelType w:val="hybridMultilevel"/>
    <w:lvl w:ilvl="0">
      <w:lvlJc w:val="left"/>
      <w:lvlText w:val="(%1)"/>
      <w:numFmt w:val="decimal"/>
      <w:start w:val="1"/>
    </w:lvl>
  </w:abstractNum>
  <w:abstractNum w:abstractNumId="56">
    <w:nsid w:val="741226BB"/>
    <w:multiLevelType w:val="hybridMultilevel"/>
    <w:lvl w:ilvl="0">
      <w:lvlJc w:val="left"/>
      <w:lvlText w:val="(%1)"/>
      <w:numFmt w:val="decimal"/>
      <w:start w:val="1"/>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
      <w:numFmt w:val="bullet"/>
      <w:start w:val="1"/>
    </w:lvl>
  </w:abstractNum>
  <w:abstractNum w:abstractNumId="59">
    <w:nsid w:val="3F6AB60F"/>
    <w:multiLevelType w:val="hybridMultilevel"/>
    <w:lvl w:ilvl="0">
      <w:lvlJc w:val="left"/>
      <w:lvlText w:val="(%1)"/>
      <w:numFmt w:val="decimal"/>
      <w:start w:val="1"/>
    </w:lvl>
  </w:abstractNum>
  <w:abstractNum w:abstractNumId="60">
    <w:nsid w:val="61574095"/>
    <w:multiLevelType w:val="hybridMultilevel"/>
    <w:lvl w:ilvl="0">
      <w:lvlJc w:val="left"/>
      <w:lvlText w:val="(%1)"/>
      <w:numFmt w:val="lowerRoman"/>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2024-08-15T05:21:29Z</dcterms:created>
  <dcterms:modified xsi:type="dcterms:W3CDTF">2024-08-15T05:21:29Z</dcterms:modified>
</cp:coreProperties>
</file>